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11C30" w14:textId="77777777" w:rsidR="008A305B" w:rsidRPr="008C6FF0" w:rsidRDefault="008A305B" w:rsidP="008A305B">
      <w:pPr>
        <w:pStyle w:val="Heading2"/>
        <w:jc w:val="center"/>
      </w:pPr>
      <w:bookmarkStart w:id="0" w:name="_Toc9100377"/>
      <w:bookmarkStart w:id="1" w:name="_Toc9344427"/>
      <w:r>
        <w:t>Appendix 1</w:t>
      </w:r>
      <w:r w:rsidRPr="008C6FF0">
        <w:t xml:space="preserve">. </w:t>
      </w:r>
      <w:bookmarkEnd w:id="0"/>
      <w:bookmarkEnd w:id="1"/>
      <w:r w:rsidRPr="008C6FF0">
        <w:t>Antibiotics included in analysis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615"/>
        <w:gridCol w:w="2430"/>
        <w:gridCol w:w="5305"/>
      </w:tblGrid>
      <w:tr w:rsidR="008A305B" w:rsidRPr="002D5B87" w14:paraId="7DF6D8CF" w14:textId="77777777" w:rsidTr="0017204B">
        <w:trPr>
          <w:trHeight w:val="3383"/>
        </w:trPr>
        <w:tc>
          <w:tcPr>
            <w:tcW w:w="1615" w:type="dxa"/>
          </w:tcPr>
          <w:p w14:paraId="7F334A61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 xml:space="preserve">All antibiotics included </w:t>
            </w:r>
          </w:p>
        </w:tc>
        <w:tc>
          <w:tcPr>
            <w:tcW w:w="7735" w:type="dxa"/>
            <w:gridSpan w:val="2"/>
          </w:tcPr>
          <w:p w14:paraId="6DB96F7C" w14:textId="322E915E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 xml:space="preserve">amikacin; </w:t>
            </w:r>
            <w:r w:rsidR="00C92898" w:rsidRPr="00D844C6">
              <w:rPr>
                <w:sz w:val="22"/>
                <w:szCs w:val="22"/>
              </w:rPr>
              <w:t>amoxicillin</w:t>
            </w:r>
            <w:r w:rsidR="00C92898">
              <w:rPr>
                <w:sz w:val="22"/>
                <w:szCs w:val="22"/>
              </w:rPr>
              <w:t xml:space="preserve">; </w:t>
            </w:r>
            <w:r w:rsidR="00C92898" w:rsidRPr="00D844C6">
              <w:rPr>
                <w:sz w:val="22"/>
                <w:szCs w:val="22"/>
              </w:rPr>
              <w:t>ampicillin</w:t>
            </w:r>
            <w:r w:rsidR="00C92898">
              <w:rPr>
                <w:sz w:val="22"/>
                <w:szCs w:val="22"/>
              </w:rPr>
              <w:t>;</w:t>
            </w:r>
            <w:r w:rsidR="00C92898" w:rsidRPr="00D844C6">
              <w:rPr>
                <w:sz w:val="22"/>
                <w:szCs w:val="22"/>
              </w:rPr>
              <w:t xml:space="preserve"> </w:t>
            </w:r>
            <w:r w:rsidRPr="00D844C6">
              <w:rPr>
                <w:sz w:val="22"/>
                <w:szCs w:val="22"/>
              </w:rPr>
              <w:t xml:space="preserve">amoxicillin/clavulanate; ampicillin/sulbactam; azithromycin; aztreonam; </w:t>
            </w:r>
            <w:r w:rsidRPr="00D844C6">
              <w:rPr>
                <w:sz w:val="22"/>
                <w:szCs w:val="22"/>
                <w:shd w:val="clear" w:color="auto" w:fill="FFFFFF"/>
              </w:rPr>
              <w:t>carbenicillin; c</w:t>
            </w:r>
            <w:r w:rsidRPr="00D844C6">
              <w:rPr>
                <w:sz w:val="22"/>
                <w:szCs w:val="22"/>
              </w:rPr>
              <w:t xml:space="preserve">efadroxil; cefazolin; </w:t>
            </w:r>
            <w:hyperlink r:id="rId6" w:history="1">
              <w:r w:rsidRPr="00D844C6">
                <w:rPr>
                  <w:sz w:val="22"/>
                  <w:szCs w:val="22"/>
                </w:rPr>
                <w:t>cefepime</w:t>
              </w:r>
            </w:hyperlink>
            <w:r w:rsidRPr="00D844C6">
              <w:rPr>
                <w:sz w:val="22"/>
                <w:szCs w:val="22"/>
              </w:rPr>
              <w:t xml:space="preserve">; cefixime; cefotaxime; cefotetan; cefoxitin; cefpodoxime; </w:t>
            </w:r>
            <w:hyperlink r:id="rId7" w:history="1">
              <w:r w:rsidRPr="00D844C6">
                <w:rPr>
                  <w:sz w:val="22"/>
                  <w:szCs w:val="22"/>
                </w:rPr>
                <w:t>ceftaroline</w:t>
              </w:r>
            </w:hyperlink>
            <w:r w:rsidRPr="00D844C6">
              <w:rPr>
                <w:sz w:val="22"/>
                <w:szCs w:val="22"/>
              </w:rPr>
              <w:t xml:space="preserve">; ceftazidime; ceftazidime/avibactam; ceftriaxone; ceftolozane/tazobactam; cefuroxime; cephalexin; cilastatin/imipenem; ciprofloxacin; clarithromycin; clindamycin; daptomycin; delafloxacin; doripenem; doxycycline; ertapenem; erythromycin; gentamicin; imipenem; levofloxacin; linezolid; meropenem; minocycline; moxifloxacin; oxacillin; penicillin G; piperacillin/tazobactam; polymyxin B; tetracycline; </w:t>
            </w:r>
            <w:r w:rsidRPr="00D844C6">
              <w:rPr>
                <w:sz w:val="22"/>
                <w:szCs w:val="22"/>
                <w:shd w:val="clear" w:color="auto" w:fill="FFFFFF"/>
              </w:rPr>
              <w:t xml:space="preserve">ticarcillin; </w:t>
            </w:r>
            <w:r w:rsidRPr="00D844C6">
              <w:rPr>
                <w:sz w:val="22"/>
                <w:szCs w:val="22"/>
              </w:rPr>
              <w:t>ticacillin/clavulanate; tigecycline; trimethoprim (TMP)/sulfamethoxazole; vancomycin (except oral)</w:t>
            </w:r>
          </w:p>
        </w:tc>
      </w:tr>
      <w:tr w:rsidR="008A305B" w:rsidRPr="002D5B87" w14:paraId="651284D8" w14:textId="77777777" w:rsidTr="0017204B">
        <w:trPr>
          <w:trHeight w:val="2546"/>
        </w:trPr>
        <w:tc>
          <w:tcPr>
            <w:tcW w:w="1615" w:type="dxa"/>
            <w:vMerge w:val="restart"/>
          </w:tcPr>
          <w:p w14:paraId="01E88BA4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 xml:space="preserve">Antibiotics designated as high risk </w:t>
            </w:r>
          </w:p>
        </w:tc>
        <w:tc>
          <w:tcPr>
            <w:tcW w:w="7735" w:type="dxa"/>
            <w:gridSpan w:val="2"/>
          </w:tcPr>
          <w:p w14:paraId="5141D198" w14:textId="2A72DDB9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552CFE">
              <w:rPr>
                <w:sz w:val="22"/>
                <w:szCs w:val="22"/>
              </w:rPr>
              <w:t xml:space="preserve">amikacin; amoxicillin/clavulanate; ampicillin/sulbactam; aztreonam; carbenicillin; </w:t>
            </w:r>
            <w:hyperlink r:id="rId8" w:history="1">
              <w:r w:rsidRPr="00552CFE">
                <w:rPr>
                  <w:sz w:val="22"/>
                  <w:szCs w:val="22"/>
                </w:rPr>
                <w:t>cefepime</w:t>
              </w:r>
            </w:hyperlink>
            <w:r w:rsidRPr="00552CFE">
              <w:rPr>
                <w:sz w:val="22"/>
                <w:szCs w:val="22"/>
              </w:rPr>
              <w:t xml:space="preserve">; cefixime; cefotaxime; cefotetan; cefoxitin; cefpodoxime; </w:t>
            </w:r>
            <w:hyperlink r:id="rId9" w:history="1">
              <w:r w:rsidRPr="00552CFE">
                <w:rPr>
                  <w:sz w:val="22"/>
                  <w:szCs w:val="22"/>
                </w:rPr>
                <w:t>ceftaroline</w:t>
              </w:r>
            </w:hyperlink>
            <w:r w:rsidRPr="00552CFE">
              <w:rPr>
                <w:sz w:val="22"/>
                <w:szCs w:val="22"/>
              </w:rPr>
              <w:t xml:space="preserve">; ceftazidime; ceftazidime/avibactam; ceftriaxone; ceftolozane/tazobactam; cefuroxime; cilastatin/imipenem; ciprofloxacin; clindamycin; delafloxacin; doripenem; ertapenem; imipenem; levofloxacin; meropenem; moxifloxacin; </w:t>
            </w:r>
            <w:hyperlink r:id="rId10" w:history="1">
              <w:r w:rsidRPr="00552CFE">
                <w:rPr>
                  <w:sz w:val="22"/>
                  <w:szCs w:val="22"/>
                </w:rPr>
                <w:t>piperacillin</w:t>
              </w:r>
            </w:hyperlink>
            <w:r w:rsidRPr="00552CFE">
              <w:rPr>
                <w:sz w:val="22"/>
                <w:szCs w:val="22"/>
              </w:rPr>
              <w:t>; piperacillin/tazobactam, ticarcillin; ticacillin/clavulanate; tigecycline</w:t>
            </w:r>
          </w:p>
        </w:tc>
      </w:tr>
      <w:tr w:rsidR="008A305B" w:rsidRPr="002D5B87" w14:paraId="123F05CF" w14:textId="77777777" w:rsidTr="0017204B">
        <w:trPr>
          <w:trHeight w:val="145"/>
        </w:trPr>
        <w:tc>
          <w:tcPr>
            <w:tcW w:w="1615" w:type="dxa"/>
            <w:vMerge/>
          </w:tcPr>
          <w:p w14:paraId="127F2E09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3415C166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aminoglycoside</w:t>
            </w:r>
          </w:p>
        </w:tc>
        <w:tc>
          <w:tcPr>
            <w:tcW w:w="5305" w:type="dxa"/>
          </w:tcPr>
          <w:p w14:paraId="41A92D63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amikacin</w:t>
            </w:r>
          </w:p>
        </w:tc>
      </w:tr>
      <w:tr w:rsidR="008A305B" w:rsidRPr="002D5B87" w14:paraId="29F3BA1F" w14:textId="77777777" w:rsidTr="0017204B">
        <w:trPr>
          <w:trHeight w:val="1025"/>
        </w:trPr>
        <w:tc>
          <w:tcPr>
            <w:tcW w:w="1615" w:type="dxa"/>
            <w:vMerge/>
          </w:tcPr>
          <w:p w14:paraId="16CE9DAF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0F8400FE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broad-spectrum penicillins</w:t>
            </w:r>
          </w:p>
        </w:tc>
        <w:tc>
          <w:tcPr>
            <w:tcW w:w="5305" w:type="dxa"/>
          </w:tcPr>
          <w:p w14:paraId="5626CF83" w14:textId="13B0DEE5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 xml:space="preserve">amoxicillin/clavulanate; ampicillin/sulbactam; carbenicillin; </w:t>
            </w:r>
            <w:hyperlink r:id="rId11" w:history="1">
              <w:r w:rsidRPr="00D844C6">
                <w:rPr>
                  <w:sz w:val="22"/>
                  <w:szCs w:val="22"/>
                </w:rPr>
                <w:t>piperacillin</w:t>
              </w:r>
            </w:hyperlink>
            <w:r w:rsidRPr="00D844C6">
              <w:rPr>
                <w:sz w:val="22"/>
                <w:szCs w:val="22"/>
              </w:rPr>
              <w:t>; piperacillin/tazobactam, ticarcillin; ticacillin/clavulanate</w:t>
            </w:r>
          </w:p>
        </w:tc>
      </w:tr>
      <w:tr w:rsidR="008A305B" w:rsidRPr="002D5B87" w14:paraId="4A373611" w14:textId="77777777" w:rsidTr="0017204B">
        <w:trPr>
          <w:trHeight w:val="140"/>
        </w:trPr>
        <w:tc>
          <w:tcPr>
            <w:tcW w:w="1615" w:type="dxa"/>
            <w:vMerge/>
          </w:tcPr>
          <w:p w14:paraId="0637EF76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2AEA3E30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carbapenem</w:t>
            </w:r>
          </w:p>
        </w:tc>
        <w:tc>
          <w:tcPr>
            <w:tcW w:w="5305" w:type="dxa"/>
          </w:tcPr>
          <w:p w14:paraId="77607361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cilastatin/imipenem; doripenem; ertapenem; imipenem; meropenem;</w:t>
            </w:r>
          </w:p>
        </w:tc>
      </w:tr>
      <w:tr w:rsidR="008A305B" w:rsidRPr="002D5B87" w14:paraId="3D9EA045" w14:textId="77777777" w:rsidTr="0017204B">
        <w:trPr>
          <w:trHeight w:val="140"/>
        </w:trPr>
        <w:tc>
          <w:tcPr>
            <w:tcW w:w="1615" w:type="dxa"/>
            <w:vMerge/>
          </w:tcPr>
          <w:p w14:paraId="4321FE52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0A2668F5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cephalosporins (except 1</w:t>
            </w:r>
            <w:r w:rsidRPr="00D844C6">
              <w:rPr>
                <w:sz w:val="22"/>
                <w:szCs w:val="22"/>
                <w:vertAlign w:val="superscript"/>
              </w:rPr>
              <w:t xml:space="preserve">st </w:t>
            </w:r>
            <w:r w:rsidRPr="00D844C6">
              <w:rPr>
                <w:sz w:val="22"/>
                <w:szCs w:val="22"/>
              </w:rPr>
              <w:t>generation)</w:t>
            </w:r>
          </w:p>
        </w:tc>
        <w:tc>
          <w:tcPr>
            <w:tcW w:w="5305" w:type="dxa"/>
          </w:tcPr>
          <w:p w14:paraId="7E953852" w14:textId="77777777" w:rsidR="008A305B" w:rsidRPr="00D844C6" w:rsidRDefault="00883870" w:rsidP="0017204B">
            <w:pPr>
              <w:spacing w:line="360" w:lineRule="auto"/>
              <w:rPr>
                <w:sz w:val="22"/>
                <w:szCs w:val="22"/>
              </w:rPr>
            </w:pPr>
            <w:hyperlink r:id="rId12" w:history="1">
              <w:r w:rsidR="008A305B" w:rsidRPr="00D844C6">
                <w:rPr>
                  <w:sz w:val="22"/>
                  <w:szCs w:val="22"/>
                </w:rPr>
                <w:t>cefepime</w:t>
              </w:r>
            </w:hyperlink>
            <w:r w:rsidR="008A305B" w:rsidRPr="00D844C6">
              <w:rPr>
                <w:sz w:val="22"/>
                <w:szCs w:val="22"/>
              </w:rPr>
              <w:t xml:space="preserve">; cefixime; cefotaxime; cefotetan; cefoxitin; cefpodoxime; </w:t>
            </w:r>
            <w:hyperlink r:id="rId13" w:history="1">
              <w:r w:rsidR="008A305B" w:rsidRPr="00D844C6">
                <w:rPr>
                  <w:sz w:val="22"/>
                  <w:szCs w:val="22"/>
                </w:rPr>
                <w:t>ceftaroline</w:t>
              </w:r>
            </w:hyperlink>
            <w:r w:rsidR="008A305B" w:rsidRPr="00D844C6">
              <w:rPr>
                <w:sz w:val="22"/>
                <w:szCs w:val="22"/>
              </w:rPr>
              <w:t>; ceftazidime; ceftazidime/avibactam; ceftriaxone; ceftolozane/tazobactam; cefuroxime</w:t>
            </w:r>
          </w:p>
        </w:tc>
      </w:tr>
      <w:tr w:rsidR="008A305B" w:rsidRPr="002D5B87" w14:paraId="38506794" w14:textId="77777777" w:rsidTr="0017204B">
        <w:trPr>
          <w:trHeight w:val="140"/>
        </w:trPr>
        <w:tc>
          <w:tcPr>
            <w:tcW w:w="1615" w:type="dxa"/>
            <w:vMerge/>
          </w:tcPr>
          <w:p w14:paraId="097741EC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3F28BFD2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clindamycin</w:t>
            </w:r>
          </w:p>
        </w:tc>
        <w:tc>
          <w:tcPr>
            <w:tcW w:w="5305" w:type="dxa"/>
          </w:tcPr>
          <w:p w14:paraId="1953A0E6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clindamycin</w:t>
            </w:r>
          </w:p>
        </w:tc>
      </w:tr>
      <w:tr w:rsidR="008A305B" w:rsidRPr="002D5B87" w14:paraId="6A780F8E" w14:textId="77777777" w:rsidTr="0017204B">
        <w:trPr>
          <w:trHeight w:val="140"/>
        </w:trPr>
        <w:tc>
          <w:tcPr>
            <w:tcW w:w="1615" w:type="dxa"/>
            <w:vMerge/>
          </w:tcPr>
          <w:p w14:paraId="7FA2724D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1607F680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fluoroquinolones</w:t>
            </w:r>
          </w:p>
        </w:tc>
        <w:tc>
          <w:tcPr>
            <w:tcW w:w="5305" w:type="dxa"/>
          </w:tcPr>
          <w:p w14:paraId="4A885029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 w:rsidRPr="00D844C6">
              <w:rPr>
                <w:sz w:val="22"/>
                <w:szCs w:val="22"/>
              </w:rPr>
              <w:t>ciprofloxacin; delafloxacin; levofloxacin; moxifloxacin;</w:t>
            </w:r>
          </w:p>
        </w:tc>
      </w:tr>
      <w:tr w:rsidR="008A305B" w:rsidRPr="002D5B87" w14:paraId="78AF3B50" w14:textId="77777777" w:rsidTr="0017204B">
        <w:trPr>
          <w:trHeight w:val="140"/>
        </w:trPr>
        <w:tc>
          <w:tcPr>
            <w:tcW w:w="1615" w:type="dxa"/>
            <w:vMerge/>
          </w:tcPr>
          <w:p w14:paraId="1AF9B28C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78437747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glycylcycline</w:t>
            </w:r>
          </w:p>
        </w:tc>
        <w:tc>
          <w:tcPr>
            <w:tcW w:w="5305" w:type="dxa"/>
          </w:tcPr>
          <w:p w14:paraId="4F43D780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tigecycline</w:t>
            </w:r>
          </w:p>
        </w:tc>
      </w:tr>
      <w:tr w:rsidR="008A305B" w:rsidRPr="002D5B87" w14:paraId="02851376" w14:textId="77777777" w:rsidTr="0017204B">
        <w:trPr>
          <w:trHeight w:val="140"/>
        </w:trPr>
        <w:tc>
          <w:tcPr>
            <w:tcW w:w="1615" w:type="dxa"/>
            <w:vMerge/>
          </w:tcPr>
          <w:p w14:paraId="758368E4" w14:textId="77777777" w:rsidR="008A305B" w:rsidRPr="00D844C6" w:rsidRDefault="008A305B" w:rsidP="0017204B">
            <w:pPr>
              <w:pStyle w:val="NoSpacing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30" w:type="dxa"/>
          </w:tcPr>
          <w:p w14:paraId="4D5BE458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monobactam</w:t>
            </w:r>
          </w:p>
        </w:tc>
        <w:tc>
          <w:tcPr>
            <w:tcW w:w="5305" w:type="dxa"/>
          </w:tcPr>
          <w:p w14:paraId="5953E500" w14:textId="77777777" w:rsidR="008A305B" w:rsidRPr="00D844C6" w:rsidRDefault="008A305B" w:rsidP="0017204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aztreonam</w:t>
            </w:r>
          </w:p>
        </w:tc>
      </w:tr>
    </w:tbl>
    <w:p w14:paraId="46483CE8" w14:textId="77777777" w:rsidR="008A305B" w:rsidRDefault="008A305B" w:rsidP="008A305B"/>
    <w:p w14:paraId="5C555C1C" w14:textId="77777777" w:rsidR="008A305B" w:rsidRPr="000F5222" w:rsidRDefault="008A305B" w:rsidP="008A305B">
      <w:pPr>
        <w:pStyle w:val="Heading2"/>
        <w:jc w:val="center"/>
      </w:pPr>
      <w:r w:rsidRPr="000F5222">
        <w:lastRenderedPageBreak/>
        <w:t xml:space="preserve">Appendix </w:t>
      </w:r>
      <w:r>
        <w:t>2</w:t>
      </w:r>
      <w:r w:rsidRPr="000F5222">
        <w:t>. Graph of temporal change</w:t>
      </w:r>
      <w:r w:rsidR="004A19F1">
        <w:t xml:space="preserve">s in </w:t>
      </w:r>
      <w:r w:rsidRPr="000F5222">
        <w:t>risk factors for HA-CDI</w:t>
      </w:r>
    </w:p>
    <w:p w14:paraId="51BB881F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5E3E9EF" wp14:editId="43926ACA">
            <wp:extent cx="6003230" cy="4792913"/>
            <wp:effectExtent l="0" t="0" r="0" b="8255"/>
            <wp:docPr id="15" name="Picture 15" descr="1215_Graph Temporal change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C032B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4" t="17031" r="25475" b="10844"/>
                    <a:stretch/>
                  </pic:blipFill>
                  <pic:spPr bwMode="auto">
                    <a:xfrm>
                      <a:off x="0" y="0"/>
                      <a:ext cx="6035518" cy="481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1E0F5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78FB0" wp14:editId="19F037A5">
            <wp:simplePos x="0" y="0"/>
            <wp:positionH relativeFrom="margin">
              <wp:posOffset>1639019</wp:posOffset>
            </wp:positionH>
            <wp:positionV relativeFrom="paragraph">
              <wp:posOffset>174642</wp:posOffset>
            </wp:positionV>
            <wp:extent cx="2820837" cy="35179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8" t="77202" r="27211" b="16693"/>
                    <a:stretch/>
                  </pic:blipFill>
                  <pic:spPr bwMode="auto">
                    <a:xfrm>
                      <a:off x="0" y="0"/>
                      <a:ext cx="2820837" cy="3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FECB9" w14:textId="77777777" w:rsidR="008A305B" w:rsidRDefault="008A305B" w:rsidP="008A305B">
      <w:pPr>
        <w:spacing w:line="240" w:lineRule="auto"/>
        <w:jc w:val="center"/>
        <w:rPr>
          <w:noProof/>
        </w:rPr>
      </w:pPr>
    </w:p>
    <w:p w14:paraId="38294741" w14:textId="77777777" w:rsidR="008A305B" w:rsidRDefault="008A305B" w:rsidP="008A305B">
      <w:pPr>
        <w:spacing w:line="240" w:lineRule="auto"/>
        <w:jc w:val="center"/>
      </w:pPr>
    </w:p>
    <w:p w14:paraId="229F5E7C" w14:textId="77777777" w:rsidR="008A305B" w:rsidRDefault="008A305B" w:rsidP="008A305B">
      <w:pPr>
        <w:spacing w:line="240" w:lineRule="auto"/>
        <w:jc w:val="center"/>
      </w:pPr>
    </w:p>
    <w:p w14:paraId="56F874AA" w14:textId="77777777" w:rsidR="008A305B" w:rsidRDefault="008A305B" w:rsidP="008A305B">
      <w:pPr>
        <w:spacing w:line="240" w:lineRule="auto"/>
        <w:jc w:val="center"/>
      </w:pPr>
    </w:p>
    <w:p w14:paraId="14A091C0" w14:textId="77777777" w:rsidR="008A305B" w:rsidRDefault="008A305B" w:rsidP="008A305B">
      <w:pPr>
        <w:spacing w:line="240" w:lineRule="auto"/>
        <w:jc w:val="center"/>
      </w:pPr>
    </w:p>
    <w:p w14:paraId="6F042D1E" w14:textId="77777777" w:rsidR="008A305B" w:rsidRDefault="008A305B" w:rsidP="008A305B">
      <w:pPr>
        <w:spacing w:line="240" w:lineRule="auto"/>
        <w:jc w:val="center"/>
      </w:pPr>
    </w:p>
    <w:p w14:paraId="0E43C4D9" w14:textId="77777777" w:rsidR="008A305B" w:rsidRDefault="008A305B" w:rsidP="008A305B">
      <w:pPr>
        <w:spacing w:line="240" w:lineRule="auto"/>
        <w:jc w:val="center"/>
      </w:pPr>
    </w:p>
    <w:p w14:paraId="58E37081" w14:textId="77777777" w:rsidR="008A305B" w:rsidRDefault="008A305B" w:rsidP="008A305B">
      <w:pPr>
        <w:spacing w:line="240" w:lineRule="auto"/>
        <w:jc w:val="center"/>
      </w:pPr>
    </w:p>
    <w:p w14:paraId="285FDD21" w14:textId="77777777" w:rsidR="008A305B" w:rsidRDefault="008A305B" w:rsidP="008A305B">
      <w:pPr>
        <w:spacing w:line="240" w:lineRule="auto"/>
        <w:jc w:val="center"/>
      </w:pPr>
    </w:p>
    <w:p w14:paraId="00B313C8" w14:textId="77777777" w:rsidR="008A305B" w:rsidRDefault="008A305B" w:rsidP="008A305B">
      <w:pPr>
        <w:spacing w:line="240" w:lineRule="auto"/>
        <w:jc w:val="center"/>
      </w:pPr>
    </w:p>
    <w:p w14:paraId="710A9C7F" w14:textId="77777777" w:rsidR="008A305B" w:rsidRDefault="008A305B" w:rsidP="008A305B">
      <w:pPr>
        <w:spacing w:line="240" w:lineRule="auto"/>
        <w:jc w:val="center"/>
      </w:pPr>
    </w:p>
    <w:p w14:paraId="3F22A0DC" w14:textId="77777777" w:rsidR="008A305B" w:rsidRDefault="008A305B" w:rsidP="008A305B">
      <w:pPr>
        <w:spacing w:line="240" w:lineRule="auto"/>
        <w:jc w:val="center"/>
      </w:pPr>
    </w:p>
    <w:p w14:paraId="2E81EC84" w14:textId="77777777" w:rsidR="008A305B" w:rsidRDefault="008A305B" w:rsidP="008A305B">
      <w:pPr>
        <w:spacing w:line="240" w:lineRule="auto"/>
        <w:jc w:val="center"/>
      </w:pPr>
    </w:p>
    <w:p w14:paraId="495B6090" w14:textId="77777777" w:rsidR="008A305B" w:rsidRDefault="008A305B" w:rsidP="008A305B">
      <w:pPr>
        <w:spacing w:line="240" w:lineRule="auto"/>
        <w:jc w:val="center"/>
      </w:pPr>
    </w:p>
    <w:p w14:paraId="519461A2" w14:textId="77777777" w:rsidR="008A305B" w:rsidRDefault="008A305B" w:rsidP="008A305B">
      <w:pPr>
        <w:spacing w:line="240" w:lineRule="auto"/>
        <w:jc w:val="center"/>
      </w:pPr>
    </w:p>
    <w:p w14:paraId="44725E37" w14:textId="77777777" w:rsidR="008A305B" w:rsidRDefault="008A305B" w:rsidP="008A305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F936D37" wp14:editId="45D19A44">
            <wp:extent cx="6124182" cy="4742913"/>
            <wp:effectExtent l="0" t="0" r="0" b="635"/>
            <wp:docPr id="14" name="Picture 14" descr="1215_Graph Temporal change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C0D061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16765" r="21185" b="7387"/>
                    <a:stretch/>
                  </pic:blipFill>
                  <pic:spPr bwMode="auto">
                    <a:xfrm>
                      <a:off x="0" y="0"/>
                      <a:ext cx="6143178" cy="475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4011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1800E4" wp14:editId="54E6EAAB">
            <wp:simplePos x="0" y="0"/>
            <wp:positionH relativeFrom="column">
              <wp:posOffset>120</wp:posOffset>
            </wp:positionH>
            <wp:positionV relativeFrom="paragraph">
              <wp:posOffset>14302</wp:posOffset>
            </wp:positionV>
            <wp:extent cx="2889849" cy="2207973"/>
            <wp:effectExtent l="0" t="0" r="6350" b="1905"/>
            <wp:wrapNone/>
            <wp:docPr id="21" name="Picture 21" descr="1215_Graph Temporal change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C0751C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3" t="31135" r="49198" b="32668"/>
                    <a:stretch/>
                  </pic:blipFill>
                  <pic:spPr bwMode="auto">
                    <a:xfrm>
                      <a:off x="0" y="0"/>
                      <a:ext cx="2889849" cy="220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7AF14" w14:textId="77777777" w:rsidR="008A305B" w:rsidRDefault="008A305B" w:rsidP="008A305B">
      <w:pPr>
        <w:spacing w:line="240" w:lineRule="auto"/>
        <w:jc w:val="center"/>
      </w:pPr>
    </w:p>
    <w:p w14:paraId="2194897B" w14:textId="77777777" w:rsidR="008A305B" w:rsidRDefault="008A305B" w:rsidP="008A305B">
      <w:pPr>
        <w:spacing w:line="240" w:lineRule="auto"/>
        <w:jc w:val="center"/>
      </w:pPr>
    </w:p>
    <w:p w14:paraId="5A6AE6C9" w14:textId="77777777" w:rsidR="008A305B" w:rsidRDefault="008A305B" w:rsidP="008A305B">
      <w:pPr>
        <w:spacing w:line="240" w:lineRule="auto"/>
        <w:jc w:val="center"/>
      </w:pPr>
    </w:p>
    <w:p w14:paraId="52248236" w14:textId="77777777" w:rsidR="008A305B" w:rsidRDefault="008A305B" w:rsidP="008A305B">
      <w:pPr>
        <w:spacing w:line="240" w:lineRule="auto"/>
        <w:jc w:val="center"/>
      </w:pPr>
    </w:p>
    <w:p w14:paraId="5DA43F9C" w14:textId="77777777" w:rsidR="008A305B" w:rsidRDefault="008A305B" w:rsidP="008A305B">
      <w:pPr>
        <w:spacing w:line="240" w:lineRule="auto"/>
        <w:jc w:val="center"/>
      </w:pPr>
    </w:p>
    <w:p w14:paraId="01293664" w14:textId="77777777" w:rsidR="008A305B" w:rsidRDefault="008A305B" w:rsidP="008A305B">
      <w:pPr>
        <w:spacing w:line="240" w:lineRule="auto"/>
        <w:jc w:val="center"/>
      </w:pPr>
    </w:p>
    <w:p w14:paraId="25185154" w14:textId="77777777" w:rsidR="008A305B" w:rsidRDefault="008A305B" w:rsidP="008A305B">
      <w:pPr>
        <w:spacing w:line="240" w:lineRule="auto"/>
        <w:jc w:val="center"/>
      </w:pPr>
    </w:p>
    <w:p w14:paraId="30F4C36F" w14:textId="77777777" w:rsidR="008A305B" w:rsidRDefault="008A305B" w:rsidP="008A305B">
      <w:pPr>
        <w:spacing w:line="240" w:lineRule="auto"/>
        <w:jc w:val="center"/>
      </w:pPr>
    </w:p>
    <w:p w14:paraId="38FA35FB" w14:textId="77777777" w:rsidR="008A305B" w:rsidRDefault="008A305B" w:rsidP="008A305B">
      <w:pPr>
        <w:spacing w:line="240" w:lineRule="auto"/>
        <w:jc w:val="center"/>
      </w:pPr>
    </w:p>
    <w:p w14:paraId="71F5A64D" w14:textId="77777777" w:rsidR="008A305B" w:rsidRDefault="008A305B" w:rsidP="008A305B">
      <w:pPr>
        <w:spacing w:line="240" w:lineRule="auto"/>
        <w:jc w:val="center"/>
      </w:pPr>
    </w:p>
    <w:p w14:paraId="77F9BE79" w14:textId="77777777" w:rsidR="008A305B" w:rsidRDefault="008A305B" w:rsidP="008A305B">
      <w:pPr>
        <w:spacing w:line="240" w:lineRule="auto"/>
        <w:jc w:val="center"/>
      </w:pPr>
    </w:p>
    <w:p w14:paraId="430D1461" w14:textId="77777777" w:rsidR="008A305B" w:rsidRDefault="008A305B" w:rsidP="008A305B">
      <w:pPr>
        <w:spacing w:line="240" w:lineRule="auto"/>
        <w:jc w:val="center"/>
      </w:pPr>
    </w:p>
    <w:p w14:paraId="67D3A0C8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C572AB" wp14:editId="66CCEE13">
            <wp:simplePos x="0" y="0"/>
            <wp:positionH relativeFrom="margin">
              <wp:posOffset>1543110</wp:posOffset>
            </wp:positionH>
            <wp:positionV relativeFrom="paragraph">
              <wp:posOffset>133721</wp:posOffset>
            </wp:positionV>
            <wp:extent cx="2820837" cy="35179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8" t="77202" r="27211" b="16693"/>
                    <a:stretch/>
                  </pic:blipFill>
                  <pic:spPr bwMode="auto">
                    <a:xfrm>
                      <a:off x="0" y="0"/>
                      <a:ext cx="2820837" cy="3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C06CD" w14:textId="77777777" w:rsidR="008A305B" w:rsidRDefault="008A305B" w:rsidP="008A305B">
      <w:pPr>
        <w:spacing w:line="240" w:lineRule="auto"/>
        <w:jc w:val="center"/>
      </w:pPr>
    </w:p>
    <w:p w14:paraId="7A2DC0C2" w14:textId="77777777" w:rsidR="008A305B" w:rsidRDefault="008A305B" w:rsidP="008A305B">
      <w:pPr>
        <w:spacing w:line="240" w:lineRule="auto"/>
        <w:jc w:val="center"/>
      </w:pPr>
    </w:p>
    <w:p w14:paraId="4848CDF5" w14:textId="77777777" w:rsidR="008A305B" w:rsidRDefault="008A305B" w:rsidP="008A305B">
      <w:pPr>
        <w:spacing w:line="240" w:lineRule="auto"/>
        <w:jc w:val="center"/>
      </w:pPr>
    </w:p>
    <w:p w14:paraId="2C121708" w14:textId="77777777" w:rsidR="008A305B" w:rsidRDefault="008A305B" w:rsidP="008A305B">
      <w:pPr>
        <w:spacing w:line="240" w:lineRule="auto"/>
        <w:jc w:val="center"/>
      </w:pPr>
    </w:p>
    <w:p w14:paraId="4D0A5E61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ED63494" wp14:editId="5AABFE43">
            <wp:extent cx="6184541" cy="4979574"/>
            <wp:effectExtent l="0" t="0" r="6985" b="0"/>
            <wp:docPr id="17" name="Picture 17" descr="1215_Graph Temporal change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C0A891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7" t="17829" r="22726" b="5943"/>
                    <a:stretch/>
                  </pic:blipFill>
                  <pic:spPr bwMode="auto">
                    <a:xfrm>
                      <a:off x="0" y="0"/>
                      <a:ext cx="6232928" cy="501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38C3A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462AC8" wp14:editId="05E3F75A">
            <wp:simplePos x="0" y="0"/>
            <wp:positionH relativeFrom="margin">
              <wp:posOffset>1578562</wp:posOffset>
            </wp:positionH>
            <wp:positionV relativeFrom="paragraph">
              <wp:posOffset>129851</wp:posOffset>
            </wp:positionV>
            <wp:extent cx="2820837" cy="35179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8" t="77202" r="27211" b="16693"/>
                    <a:stretch/>
                  </pic:blipFill>
                  <pic:spPr bwMode="auto">
                    <a:xfrm>
                      <a:off x="0" y="0"/>
                      <a:ext cx="2820837" cy="3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5081" w14:textId="77777777" w:rsidR="008A305B" w:rsidRDefault="008A305B" w:rsidP="008A305B">
      <w:pPr>
        <w:spacing w:line="240" w:lineRule="auto"/>
        <w:jc w:val="center"/>
      </w:pPr>
    </w:p>
    <w:p w14:paraId="529850FC" w14:textId="77777777" w:rsidR="008A305B" w:rsidRDefault="008A305B" w:rsidP="008A305B">
      <w:pPr>
        <w:spacing w:line="240" w:lineRule="auto"/>
        <w:jc w:val="center"/>
      </w:pPr>
    </w:p>
    <w:p w14:paraId="3867B182" w14:textId="77777777" w:rsidR="008A305B" w:rsidRDefault="008A305B" w:rsidP="008A305B">
      <w:pPr>
        <w:spacing w:line="240" w:lineRule="auto"/>
        <w:jc w:val="center"/>
      </w:pPr>
    </w:p>
    <w:p w14:paraId="7D119985" w14:textId="77777777" w:rsidR="008A305B" w:rsidRDefault="008A305B" w:rsidP="008A305B">
      <w:pPr>
        <w:spacing w:line="240" w:lineRule="auto"/>
        <w:jc w:val="center"/>
      </w:pPr>
    </w:p>
    <w:p w14:paraId="273B8698" w14:textId="77777777" w:rsidR="008A305B" w:rsidRDefault="008A305B" w:rsidP="008A305B">
      <w:pPr>
        <w:spacing w:line="240" w:lineRule="auto"/>
        <w:jc w:val="center"/>
      </w:pPr>
    </w:p>
    <w:p w14:paraId="31A731B0" w14:textId="77777777" w:rsidR="008A305B" w:rsidRDefault="008A305B" w:rsidP="008A305B">
      <w:pPr>
        <w:spacing w:line="240" w:lineRule="auto"/>
        <w:jc w:val="center"/>
      </w:pPr>
    </w:p>
    <w:p w14:paraId="7629F6D0" w14:textId="77777777" w:rsidR="008A305B" w:rsidRDefault="008A305B" w:rsidP="008A305B">
      <w:pPr>
        <w:spacing w:line="240" w:lineRule="auto"/>
        <w:jc w:val="center"/>
      </w:pPr>
    </w:p>
    <w:p w14:paraId="42EE8D83" w14:textId="77777777" w:rsidR="008A305B" w:rsidRDefault="008A305B" w:rsidP="008A305B">
      <w:pPr>
        <w:spacing w:line="240" w:lineRule="auto"/>
        <w:jc w:val="center"/>
      </w:pPr>
    </w:p>
    <w:p w14:paraId="54B7AF7C" w14:textId="77777777" w:rsidR="008A305B" w:rsidRDefault="008A305B" w:rsidP="008A305B">
      <w:pPr>
        <w:spacing w:line="240" w:lineRule="auto"/>
        <w:jc w:val="center"/>
      </w:pPr>
    </w:p>
    <w:p w14:paraId="25D3FA2C" w14:textId="77777777" w:rsidR="008A305B" w:rsidRDefault="008A305B" w:rsidP="008A305B">
      <w:pPr>
        <w:spacing w:line="240" w:lineRule="auto"/>
        <w:jc w:val="center"/>
      </w:pPr>
    </w:p>
    <w:p w14:paraId="50312075" w14:textId="77777777" w:rsidR="008A305B" w:rsidRDefault="008A305B" w:rsidP="008A305B">
      <w:pPr>
        <w:spacing w:line="240" w:lineRule="auto"/>
        <w:jc w:val="center"/>
      </w:pPr>
    </w:p>
    <w:p w14:paraId="07B7045F" w14:textId="77777777" w:rsidR="008A305B" w:rsidRDefault="008A305B" w:rsidP="008A305B">
      <w:pPr>
        <w:spacing w:line="240" w:lineRule="auto"/>
        <w:jc w:val="center"/>
      </w:pPr>
    </w:p>
    <w:p w14:paraId="132F5827" w14:textId="77777777" w:rsidR="008A305B" w:rsidRDefault="008A305B" w:rsidP="008A305B">
      <w:pPr>
        <w:spacing w:line="240" w:lineRule="auto"/>
        <w:jc w:val="center"/>
      </w:pPr>
    </w:p>
    <w:p w14:paraId="1A558705" w14:textId="77777777" w:rsidR="008A305B" w:rsidRDefault="008A305B" w:rsidP="008A305B">
      <w:pPr>
        <w:spacing w:line="240" w:lineRule="auto"/>
        <w:jc w:val="center"/>
      </w:pPr>
    </w:p>
    <w:p w14:paraId="5E297CCB" w14:textId="77777777" w:rsidR="008A305B" w:rsidRDefault="008A305B" w:rsidP="008A305B">
      <w:pPr>
        <w:spacing w:line="240" w:lineRule="auto"/>
        <w:jc w:val="center"/>
      </w:pPr>
    </w:p>
    <w:p w14:paraId="78A55780" w14:textId="77777777" w:rsidR="008A305B" w:rsidRDefault="008A305B" w:rsidP="008A305B">
      <w:pPr>
        <w:spacing w:line="240" w:lineRule="auto"/>
        <w:jc w:val="center"/>
      </w:pPr>
    </w:p>
    <w:p w14:paraId="7A1ACEF2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594F01F" wp14:editId="0DCC8020">
            <wp:extent cx="6098264" cy="5008662"/>
            <wp:effectExtent l="0" t="0" r="0" b="1905"/>
            <wp:docPr id="19" name="Picture 19" descr="1215_Graph Temporal change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C0C888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17297" r="24226" b="6844"/>
                    <a:stretch/>
                  </pic:blipFill>
                  <pic:spPr bwMode="auto">
                    <a:xfrm>
                      <a:off x="0" y="0"/>
                      <a:ext cx="6114382" cy="502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20715" w14:textId="77777777" w:rsidR="008A305B" w:rsidRDefault="008A305B" w:rsidP="008A305B">
      <w:pPr>
        <w:spacing w:line="240" w:lineRule="auto"/>
        <w:jc w:val="center"/>
      </w:pPr>
    </w:p>
    <w:p w14:paraId="2456A37F" w14:textId="77777777" w:rsidR="008A305B" w:rsidRDefault="008A305B" w:rsidP="008A305B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5BFB34" wp14:editId="58C0E0D7">
            <wp:simplePos x="0" y="0"/>
            <wp:positionH relativeFrom="margin">
              <wp:posOffset>1604513</wp:posOffset>
            </wp:positionH>
            <wp:positionV relativeFrom="paragraph">
              <wp:posOffset>23991</wp:posOffset>
            </wp:positionV>
            <wp:extent cx="2820837" cy="35179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8" t="77202" r="27211" b="16693"/>
                    <a:stretch/>
                  </pic:blipFill>
                  <pic:spPr bwMode="auto">
                    <a:xfrm>
                      <a:off x="0" y="0"/>
                      <a:ext cx="2820837" cy="3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B0426" w14:textId="77777777" w:rsidR="008A305B" w:rsidRDefault="008A305B" w:rsidP="008A305B">
      <w:pPr>
        <w:spacing w:line="240" w:lineRule="auto"/>
        <w:jc w:val="center"/>
      </w:pPr>
    </w:p>
    <w:p w14:paraId="496AE472" w14:textId="77777777" w:rsidR="008A305B" w:rsidRDefault="008A305B" w:rsidP="008A305B">
      <w:pPr>
        <w:spacing w:line="240" w:lineRule="auto"/>
        <w:jc w:val="center"/>
        <w:rPr>
          <w:noProof/>
        </w:rPr>
      </w:pPr>
    </w:p>
    <w:p w14:paraId="24CABD8F" w14:textId="77777777" w:rsidR="008A305B" w:rsidRDefault="008A305B" w:rsidP="008A305B">
      <w:pPr>
        <w:spacing w:line="240" w:lineRule="auto"/>
        <w:jc w:val="center"/>
      </w:pPr>
    </w:p>
    <w:p w14:paraId="10D6F01E" w14:textId="77777777" w:rsidR="008A305B" w:rsidRDefault="008A305B" w:rsidP="008A305B">
      <w:pPr>
        <w:spacing w:line="240" w:lineRule="auto"/>
        <w:jc w:val="center"/>
      </w:pPr>
    </w:p>
    <w:p w14:paraId="20C66839" w14:textId="77777777" w:rsidR="008A305B" w:rsidRDefault="008A305B" w:rsidP="008A305B">
      <w:pPr>
        <w:spacing w:line="240" w:lineRule="auto"/>
        <w:jc w:val="center"/>
      </w:pPr>
    </w:p>
    <w:p w14:paraId="76990475" w14:textId="77777777" w:rsidR="008A305B" w:rsidRDefault="008A305B" w:rsidP="008A305B">
      <w:pPr>
        <w:spacing w:line="240" w:lineRule="auto"/>
        <w:jc w:val="center"/>
      </w:pPr>
    </w:p>
    <w:p w14:paraId="674CEDB8" w14:textId="77777777" w:rsidR="008A305B" w:rsidRDefault="008A305B" w:rsidP="008A305B">
      <w:pPr>
        <w:spacing w:line="240" w:lineRule="auto"/>
        <w:jc w:val="center"/>
      </w:pPr>
    </w:p>
    <w:p w14:paraId="0D48975F" w14:textId="77777777" w:rsidR="008A305B" w:rsidRDefault="008A305B" w:rsidP="008A305B">
      <w:pPr>
        <w:spacing w:line="240" w:lineRule="auto"/>
        <w:jc w:val="center"/>
      </w:pPr>
    </w:p>
    <w:p w14:paraId="34E3BDBA" w14:textId="77777777" w:rsidR="008A305B" w:rsidRDefault="008A305B" w:rsidP="008A305B">
      <w:pPr>
        <w:spacing w:line="240" w:lineRule="auto"/>
        <w:jc w:val="center"/>
      </w:pPr>
    </w:p>
    <w:p w14:paraId="1FF2547A" w14:textId="77777777" w:rsidR="008A305B" w:rsidRDefault="008A305B" w:rsidP="008A305B">
      <w:pPr>
        <w:spacing w:line="240" w:lineRule="auto"/>
        <w:jc w:val="center"/>
      </w:pPr>
    </w:p>
    <w:p w14:paraId="2E9F7FDF" w14:textId="77777777" w:rsidR="008A305B" w:rsidRDefault="008A305B" w:rsidP="008A305B">
      <w:pPr>
        <w:spacing w:line="240" w:lineRule="auto"/>
        <w:jc w:val="center"/>
      </w:pPr>
    </w:p>
    <w:p w14:paraId="37F966A7" w14:textId="77777777" w:rsidR="00207554" w:rsidRDefault="00207554"/>
    <w:sectPr w:rsidR="0020755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D205B" w14:textId="77777777" w:rsidR="00883870" w:rsidRDefault="00883870" w:rsidP="008A305B">
      <w:pPr>
        <w:spacing w:line="240" w:lineRule="auto"/>
      </w:pPr>
      <w:r>
        <w:separator/>
      </w:r>
    </w:p>
  </w:endnote>
  <w:endnote w:type="continuationSeparator" w:id="0">
    <w:p w14:paraId="2B7BCB37" w14:textId="77777777" w:rsidR="00883870" w:rsidRDefault="00883870" w:rsidP="008A3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A64D9" w14:textId="77777777" w:rsidR="00883870" w:rsidRDefault="00883870" w:rsidP="008A305B">
      <w:pPr>
        <w:spacing w:line="240" w:lineRule="auto"/>
      </w:pPr>
      <w:r>
        <w:separator/>
      </w:r>
    </w:p>
  </w:footnote>
  <w:footnote w:type="continuationSeparator" w:id="0">
    <w:p w14:paraId="03392A6C" w14:textId="77777777" w:rsidR="00883870" w:rsidRDefault="00883870" w:rsidP="008A30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9D216" w14:textId="77777777" w:rsidR="008A305B" w:rsidRDefault="008A305B">
    <w:pPr>
      <w:pStyle w:val="Header"/>
      <w:jc w:val="right"/>
    </w:pPr>
    <w:r>
      <w:t>ANALYZING R</w:t>
    </w:r>
    <w:r w:rsidRPr="00453CC7">
      <w:rPr>
        <w:sz w:val="22"/>
        <w:szCs w:val="22"/>
      </w:rPr>
      <w:t xml:space="preserve">ISK FACTORS FOR </w:t>
    </w:r>
    <w:r>
      <w:rPr>
        <w:sz w:val="22"/>
        <w:szCs w:val="22"/>
      </w:rPr>
      <w:t>HAIs</w:t>
    </w:r>
    <w:r>
      <w:t xml:space="preserve"> </w:t>
    </w:r>
    <w:r>
      <w:tab/>
    </w:r>
    <w:r>
      <w:tab/>
    </w:r>
    <w:sdt>
      <w:sdtPr>
        <w:id w:val="12289319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AAD6E68" w14:textId="77777777" w:rsidR="008A305B" w:rsidRDefault="008A30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05B"/>
    <w:rsid w:val="000510E9"/>
    <w:rsid w:val="001D2ABD"/>
    <w:rsid w:val="00207554"/>
    <w:rsid w:val="004A19F1"/>
    <w:rsid w:val="00774352"/>
    <w:rsid w:val="007A6129"/>
    <w:rsid w:val="00883870"/>
    <w:rsid w:val="008A305B"/>
    <w:rsid w:val="008C5CA3"/>
    <w:rsid w:val="00C92898"/>
    <w:rsid w:val="00E3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09EBA"/>
  <w15:chartTrackingRefBased/>
  <w15:docId w15:val="{030AB901-3E68-4996-9D89-FC8D142D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JY_content"/>
    <w:qFormat/>
    <w:rsid w:val="008A305B"/>
    <w:pPr>
      <w:spacing w:after="0" w:line="48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2">
    <w:name w:val="heading 2"/>
    <w:aliases w:val="JY_2Heading"/>
    <w:basedOn w:val="Normal"/>
    <w:next w:val="Normal"/>
    <w:link w:val="Heading2Char"/>
    <w:uiPriority w:val="9"/>
    <w:unhideWhenUsed/>
    <w:qFormat/>
    <w:rsid w:val="008A305B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JY_2Heading Char"/>
    <w:basedOn w:val="DefaultParagraphFont"/>
    <w:link w:val="Heading2"/>
    <w:uiPriority w:val="9"/>
    <w:rsid w:val="008A305B"/>
    <w:rPr>
      <w:rFonts w:ascii="Times New Roman" w:eastAsiaTheme="majorEastAsia" w:hAnsi="Times New Roman" w:cstheme="majorBidi"/>
      <w:b/>
      <w:sz w:val="24"/>
      <w:szCs w:val="26"/>
    </w:rPr>
  </w:style>
  <w:style w:type="paragraph" w:styleId="NoSpacing">
    <w:name w:val="No Spacing"/>
    <w:uiPriority w:val="1"/>
    <w:qFormat/>
    <w:rsid w:val="008A305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8A305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8A30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05B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30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05B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CA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CA3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todate.com/contents/cefepime-drug-information?search=cephalosporins&amp;topicRef=480&amp;source=see_link" TargetMode="External"/><Relationship Id="rId13" Type="http://schemas.openxmlformats.org/officeDocument/2006/relationships/hyperlink" Target="https://www.uptodate.com/contents/ceftaroline-drug-information?search=cephalosporins&amp;topicRef=480&amp;source=see_link" TargetMode="External"/><Relationship Id="rId18" Type="http://schemas.openxmlformats.org/officeDocument/2006/relationships/image" Target="media/image5.tm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uptodate.com/contents/ceftaroline-drug-information?search=cephalosporins&amp;topicRef=480&amp;source=see_link" TargetMode="External"/><Relationship Id="rId12" Type="http://schemas.openxmlformats.org/officeDocument/2006/relationships/hyperlink" Target="https://www.uptodate.com/contents/cefepime-drug-information?search=cephalosporins&amp;topicRef=480&amp;source=see_link" TargetMode="External"/><Relationship Id="rId17" Type="http://schemas.openxmlformats.org/officeDocument/2006/relationships/image" Target="media/image4.tmp"/><Relationship Id="rId2" Type="http://schemas.openxmlformats.org/officeDocument/2006/relationships/settings" Target="settings.xml"/><Relationship Id="rId16" Type="http://schemas.openxmlformats.org/officeDocument/2006/relationships/image" Target="media/image3.tmp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uptodate.com/contents/cefepime-drug-information?search=cephalosporins&amp;topicRef=480&amp;source=see_link" TargetMode="External"/><Relationship Id="rId11" Type="http://schemas.openxmlformats.org/officeDocument/2006/relationships/hyperlink" Target="https://www.uptodate.com/contents/piperacillin-united-states-not-available-drug-information?topicRef=473&amp;source=see_lin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0" Type="http://schemas.openxmlformats.org/officeDocument/2006/relationships/hyperlink" Target="https://www.uptodate.com/contents/piperacillin-united-states-not-available-drug-information?topicRef=473&amp;source=see_link" TargetMode="External"/><Relationship Id="rId19" Type="http://schemas.openxmlformats.org/officeDocument/2006/relationships/image" Target="media/image6.tmp"/><Relationship Id="rId4" Type="http://schemas.openxmlformats.org/officeDocument/2006/relationships/footnotes" Target="footnotes.xml"/><Relationship Id="rId9" Type="http://schemas.openxmlformats.org/officeDocument/2006/relationships/hyperlink" Target="https://www.uptodate.com/contents/ceftaroline-drug-information?search=cephalosporins&amp;topicRef=480&amp;source=see_link" TargetMode="External"/><Relationship Id="rId14" Type="http://schemas.openxmlformats.org/officeDocument/2006/relationships/image" Target="media/image1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CUMCIT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Song, Jiyoun</dc:creator>
  <cp:keywords/>
  <dc:description/>
  <cp:lastModifiedBy>Jiyoun Song</cp:lastModifiedBy>
  <cp:revision>5</cp:revision>
  <dcterms:created xsi:type="dcterms:W3CDTF">2020-01-24T18:42:00Z</dcterms:created>
  <dcterms:modified xsi:type="dcterms:W3CDTF">2020-04-23T03:15:00Z</dcterms:modified>
</cp:coreProperties>
</file>