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8F" w:rsidRPr="005527BB" w:rsidRDefault="00B1258F" w:rsidP="00B1258F">
      <w:pPr>
        <w:outlineLvl w:val="0"/>
        <w:rPr>
          <w:b/>
          <w:szCs w:val="20"/>
        </w:rPr>
      </w:pPr>
      <w:r>
        <w:rPr>
          <w:b/>
          <w:szCs w:val="20"/>
        </w:rPr>
        <w:t>Appendix 1</w:t>
      </w:r>
      <w:r w:rsidRPr="005527BB">
        <w:rPr>
          <w:b/>
          <w:szCs w:val="20"/>
        </w:rPr>
        <w:t>: PRISMA Checklist</w:t>
      </w:r>
      <w:r w:rsidR="00271E61">
        <w:rPr>
          <w:b/>
          <w:szCs w:val="20"/>
        </w:rPr>
        <w:t>.</w:t>
      </w:r>
    </w:p>
    <w:p w:rsidR="00B1258F" w:rsidRDefault="00B1258F" w:rsidP="00B1258F">
      <w:pPr>
        <w:rPr>
          <w:szCs w:val="20"/>
        </w:rPr>
      </w:pPr>
    </w:p>
    <w:tbl>
      <w:tblPr>
        <w:tblW w:w="12774" w:type="dxa"/>
        <w:tblBorders>
          <w:top w:val="nil"/>
          <w:left w:val="nil"/>
          <w:bottom w:val="nil"/>
          <w:right w:val="nil"/>
        </w:tblBorders>
        <w:tblLook w:val="0000"/>
      </w:tblPr>
      <w:tblGrid>
        <w:gridCol w:w="1614"/>
        <w:gridCol w:w="540"/>
        <w:gridCol w:w="9270"/>
        <w:gridCol w:w="1350"/>
      </w:tblGrid>
      <w:tr w:rsidR="00B1258F" w:rsidRPr="00904FBC" w:rsidTr="00082AA5">
        <w:trPr>
          <w:trHeight w:val="495"/>
        </w:trPr>
        <w:tc>
          <w:tcPr>
            <w:tcW w:w="1614"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B1258F" w:rsidRPr="005527BB" w:rsidRDefault="00B1258F" w:rsidP="00082AA5">
            <w:pPr>
              <w:pStyle w:val="Default"/>
              <w:rPr>
                <w:rFonts w:ascii="Times New Roman" w:hAnsi="Times New Roman" w:cs="Times New Roman"/>
                <w:color w:val="FFFFFF"/>
                <w:sz w:val="20"/>
                <w:szCs w:val="20"/>
              </w:rPr>
            </w:pPr>
            <w:r w:rsidRPr="005527BB">
              <w:rPr>
                <w:rFonts w:ascii="Times New Roman" w:hAnsi="Times New Roman" w:cs="Times New Roman"/>
                <w:b/>
                <w:bCs/>
                <w:color w:val="FFFFFF"/>
                <w:sz w:val="20"/>
                <w:szCs w:val="20"/>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B1258F" w:rsidRPr="005527BB" w:rsidRDefault="00B1258F" w:rsidP="00082AA5">
            <w:pPr>
              <w:pStyle w:val="Default"/>
              <w:jc w:val="right"/>
              <w:rPr>
                <w:rFonts w:ascii="Times New Roman" w:hAnsi="Times New Roman" w:cs="Times New Roman"/>
                <w:b/>
                <w:bCs/>
                <w:color w:val="FFFFFF"/>
                <w:sz w:val="20"/>
                <w:szCs w:val="20"/>
              </w:rPr>
            </w:pPr>
            <w:r w:rsidRPr="005527BB">
              <w:rPr>
                <w:rFonts w:ascii="Times New Roman" w:hAnsi="Times New Roman" w:cs="Times New Roman"/>
                <w:b/>
                <w:bCs/>
                <w:color w:val="FFFFFF"/>
                <w:sz w:val="20"/>
                <w:szCs w:val="20"/>
              </w:rPr>
              <w:t>#</w:t>
            </w:r>
          </w:p>
        </w:tc>
        <w:tc>
          <w:tcPr>
            <w:tcW w:w="927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1258F" w:rsidRPr="005527BB" w:rsidRDefault="00B1258F" w:rsidP="00082AA5">
            <w:pPr>
              <w:pStyle w:val="Default"/>
              <w:rPr>
                <w:rFonts w:ascii="Times New Roman" w:hAnsi="Times New Roman" w:cs="Times New Roman"/>
                <w:color w:val="FFFFFF"/>
                <w:sz w:val="20"/>
                <w:szCs w:val="20"/>
              </w:rPr>
            </w:pPr>
            <w:r w:rsidRPr="005527BB">
              <w:rPr>
                <w:rFonts w:ascii="Times New Roman" w:hAnsi="Times New Roman" w:cs="Times New Roman"/>
                <w:b/>
                <w:bCs/>
                <w:color w:val="FFFFFF"/>
                <w:sz w:val="20"/>
                <w:szCs w:val="20"/>
              </w:rPr>
              <w:t xml:space="preserve">Checklist item </w:t>
            </w:r>
          </w:p>
        </w:tc>
        <w:tc>
          <w:tcPr>
            <w:tcW w:w="135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1258F" w:rsidRPr="005527BB" w:rsidRDefault="00B1258F" w:rsidP="00082AA5">
            <w:pPr>
              <w:pStyle w:val="Default"/>
              <w:rPr>
                <w:rFonts w:ascii="Times New Roman" w:hAnsi="Times New Roman" w:cs="Times New Roman"/>
                <w:color w:val="FFFFFF"/>
                <w:sz w:val="20"/>
                <w:szCs w:val="20"/>
              </w:rPr>
            </w:pPr>
            <w:r w:rsidRPr="005527BB">
              <w:rPr>
                <w:rFonts w:ascii="Times New Roman" w:hAnsi="Times New Roman" w:cs="Times New Roman"/>
                <w:b/>
                <w:bCs/>
                <w:color w:val="FFFFFF"/>
                <w:sz w:val="20"/>
                <w:szCs w:val="20"/>
              </w:rPr>
              <w:t xml:space="preserve">Reported on page # </w:t>
            </w:r>
          </w:p>
        </w:tc>
      </w:tr>
      <w:tr w:rsidR="00B1258F" w:rsidRPr="00904FBC" w:rsidTr="00082AA5">
        <w:trPr>
          <w:trHeight w:val="335"/>
        </w:trPr>
        <w:tc>
          <w:tcPr>
            <w:tcW w:w="114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1258F" w:rsidRPr="005527BB" w:rsidRDefault="00B1258F" w:rsidP="00082AA5">
            <w:pPr>
              <w:pStyle w:val="Default"/>
              <w:rPr>
                <w:rFonts w:ascii="Times New Roman" w:hAnsi="Times New Roman" w:cs="Times New Roman"/>
                <w:sz w:val="20"/>
                <w:szCs w:val="20"/>
              </w:rPr>
            </w:pPr>
            <w:r w:rsidRPr="005527BB">
              <w:rPr>
                <w:rFonts w:ascii="Times New Roman" w:hAnsi="Times New Roman" w:cs="Times New Roman"/>
                <w:b/>
                <w:bCs/>
                <w:sz w:val="20"/>
                <w:szCs w:val="20"/>
              </w:rPr>
              <w:t xml:space="preserve">TITLE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rsidR="00B1258F" w:rsidRPr="005527BB" w:rsidRDefault="00B1258F" w:rsidP="00082AA5">
            <w:pPr>
              <w:pStyle w:val="Default"/>
              <w:jc w:val="right"/>
              <w:rPr>
                <w:rFonts w:ascii="Times New Roman" w:hAnsi="Times New Roman" w:cs="Times New Roman"/>
                <w:color w:val="auto"/>
                <w:sz w:val="20"/>
                <w:szCs w:val="20"/>
              </w:rPr>
            </w:pPr>
          </w:p>
        </w:tc>
      </w:tr>
      <w:tr w:rsidR="00B1258F" w:rsidRPr="00904FBC" w:rsidTr="00082AA5">
        <w:trPr>
          <w:trHeight w:val="323"/>
        </w:trPr>
        <w:tc>
          <w:tcPr>
            <w:tcW w:w="1614" w:type="dxa"/>
            <w:tcBorders>
              <w:top w:val="single" w:sz="5" w:space="0" w:color="000000"/>
              <w:left w:val="single" w:sz="5" w:space="0" w:color="000000"/>
              <w:bottom w:val="double" w:sz="2" w:space="0" w:color="FFFFCC"/>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1</w:t>
            </w:r>
          </w:p>
        </w:tc>
        <w:tc>
          <w:tcPr>
            <w:tcW w:w="9270" w:type="dxa"/>
            <w:tcBorders>
              <w:top w:val="single" w:sz="5" w:space="0" w:color="000000"/>
              <w:left w:val="single" w:sz="5" w:space="0" w:color="000000"/>
              <w:bottom w:val="doub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Identify the report as a systematic review, meta-analysis, or both. </w:t>
            </w:r>
          </w:p>
        </w:tc>
        <w:tc>
          <w:tcPr>
            <w:tcW w:w="1350" w:type="dxa"/>
            <w:tcBorders>
              <w:top w:val="single" w:sz="5" w:space="0" w:color="000000"/>
              <w:left w:val="single" w:sz="5" w:space="0" w:color="000000"/>
              <w:bottom w:val="doub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Title page</w:t>
            </w:r>
          </w:p>
        </w:tc>
      </w:tr>
      <w:tr w:rsidR="00B1258F" w:rsidRPr="00904FBC" w:rsidTr="00082AA5">
        <w:trPr>
          <w:trHeight w:val="335"/>
        </w:trPr>
        <w:tc>
          <w:tcPr>
            <w:tcW w:w="114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1258F" w:rsidRPr="005527BB" w:rsidRDefault="00B1258F" w:rsidP="00082AA5">
            <w:pPr>
              <w:pStyle w:val="Default"/>
              <w:rPr>
                <w:rFonts w:ascii="Times New Roman" w:hAnsi="Times New Roman" w:cs="Times New Roman"/>
                <w:sz w:val="20"/>
                <w:szCs w:val="20"/>
              </w:rPr>
            </w:pPr>
            <w:r w:rsidRPr="005527BB">
              <w:rPr>
                <w:rFonts w:ascii="Times New Roman" w:hAnsi="Times New Roman" w:cs="Times New Roman"/>
                <w:b/>
                <w:bCs/>
                <w:sz w:val="20"/>
                <w:szCs w:val="20"/>
              </w:rPr>
              <w:t xml:space="preserve">ABSTRACT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rsidR="00B1258F" w:rsidRPr="005527BB" w:rsidRDefault="00B1258F" w:rsidP="00082AA5">
            <w:pPr>
              <w:pStyle w:val="Default"/>
              <w:jc w:val="right"/>
              <w:rPr>
                <w:rFonts w:ascii="Times New Roman" w:hAnsi="Times New Roman" w:cs="Times New Roman"/>
                <w:color w:val="auto"/>
                <w:sz w:val="20"/>
                <w:szCs w:val="20"/>
              </w:rPr>
            </w:pPr>
          </w:p>
        </w:tc>
      </w:tr>
      <w:tr w:rsidR="00B1258F" w:rsidRPr="00904FBC" w:rsidTr="00082AA5">
        <w:trPr>
          <w:trHeight w:val="810"/>
        </w:trPr>
        <w:tc>
          <w:tcPr>
            <w:tcW w:w="1614" w:type="dxa"/>
            <w:tcBorders>
              <w:top w:val="single" w:sz="5" w:space="0" w:color="000000"/>
              <w:left w:val="single" w:sz="5" w:space="0" w:color="000000"/>
              <w:bottom w:val="double" w:sz="2" w:space="0" w:color="FFFFCC"/>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2</w:t>
            </w:r>
          </w:p>
        </w:tc>
        <w:tc>
          <w:tcPr>
            <w:tcW w:w="9270" w:type="dxa"/>
            <w:tcBorders>
              <w:top w:val="single" w:sz="5" w:space="0" w:color="000000"/>
              <w:left w:val="single" w:sz="5" w:space="0" w:color="000000"/>
              <w:bottom w:val="doub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350" w:type="dxa"/>
            <w:tcBorders>
              <w:top w:val="single" w:sz="5" w:space="0" w:color="000000"/>
              <w:left w:val="single" w:sz="5" w:space="0" w:color="000000"/>
              <w:bottom w:val="doub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1</w:t>
            </w:r>
          </w:p>
        </w:tc>
      </w:tr>
      <w:tr w:rsidR="00B1258F" w:rsidRPr="00904FBC" w:rsidTr="00082AA5">
        <w:trPr>
          <w:trHeight w:val="335"/>
        </w:trPr>
        <w:tc>
          <w:tcPr>
            <w:tcW w:w="114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1258F" w:rsidRPr="005527BB" w:rsidRDefault="00B1258F" w:rsidP="00082AA5">
            <w:pPr>
              <w:pStyle w:val="Default"/>
              <w:rPr>
                <w:rFonts w:ascii="Times New Roman" w:hAnsi="Times New Roman" w:cs="Times New Roman"/>
                <w:sz w:val="20"/>
                <w:szCs w:val="20"/>
              </w:rPr>
            </w:pPr>
            <w:r w:rsidRPr="005527BB">
              <w:rPr>
                <w:rFonts w:ascii="Times New Roman" w:hAnsi="Times New Roman" w:cs="Times New Roman"/>
                <w:b/>
                <w:bCs/>
                <w:sz w:val="20"/>
                <w:szCs w:val="20"/>
              </w:rPr>
              <w:t xml:space="preserve">INTRODUCTION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rsidR="00B1258F" w:rsidRPr="005527BB" w:rsidRDefault="00B1258F" w:rsidP="00082AA5">
            <w:pPr>
              <w:pStyle w:val="Default"/>
              <w:jc w:val="right"/>
              <w:rPr>
                <w:rFonts w:ascii="Times New Roman" w:hAnsi="Times New Roman" w:cs="Times New Roman"/>
                <w:color w:val="auto"/>
                <w:sz w:val="20"/>
                <w:szCs w:val="20"/>
              </w:rPr>
            </w:pPr>
          </w:p>
        </w:tc>
      </w:tr>
      <w:tr w:rsidR="00B1258F" w:rsidRPr="00904FBC" w:rsidTr="00082AA5">
        <w:trPr>
          <w:trHeight w:val="333"/>
        </w:trPr>
        <w:tc>
          <w:tcPr>
            <w:tcW w:w="1614"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3</w:t>
            </w:r>
          </w:p>
        </w:tc>
        <w:tc>
          <w:tcPr>
            <w:tcW w:w="927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Describe the rationale for the review in the context of what is already known. </w:t>
            </w:r>
          </w:p>
        </w:tc>
        <w:tc>
          <w:tcPr>
            <w:tcW w:w="135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2-3</w:t>
            </w:r>
          </w:p>
        </w:tc>
      </w:tr>
      <w:tr w:rsidR="00B1258F" w:rsidRPr="00904FBC" w:rsidTr="00082AA5">
        <w:trPr>
          <w:trHeight w:val="568"/>
        </w:trPr>
        <w:tc>
          <w:tcPr>
            <w:tcW w:w="1614" w:type="dxa"/>
            <w:tcBorders>
              <w:top w:val="single" w:sz="5" w:space="0" w:color="000000"/>
              <w:left w:val="single" w:sz="5" w:space="0" w:color="000000"/>
              <w:bottom w:val="double" w:sz="2" w:space="0" w:color="FFFFCC"/>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4</w:t>
            </w:r>
          </w:p>
        </w:tc>
        <w:tc>
          <w:tcPr>
            <w:tcW w:w="9270" w:type="dxa"/>
            <w:tcBorders>
              <w:top w:val="single" w:sz="5" w:space="0" w:color="000000"/>
              <w:left w:val="single" w:sz="5" w:space="0" w:color="000000"/>
              <w:bottom w:val="doub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Provide an explicit statement of questions being addressed with reference to participants, interventions, comparisons, outcomes, and study design (PICOS). </w:t>
            </w:r>
          </w:p>
        </w:tc>
        <w:tc>
          <w:tcPr>
            <w:tcW w:w="1350" w:type="dxa"/>
            <w:tcBorders>
              <w:top w:val="single" w:sz="5" w:space="0" w:color="000000"/>
              <w:left w:val="single" w:sz="5" w:space="0" w:color="000000"/>
              <w:bottom w:val="doub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3</w:t>
            </w:r>
          </w:p>
        </w:tc>
      </w:tr>
      <w:tr w:rsidR="00B1258F" w:rsidRPr="00904FBC" w:rsidTr="00082AA5">
        <w:trPr>
          <w:trHeight w:val="335"/>
        </w:trPr>
        <w:tc>
          <w:tcPr>
            <w:tcW w:w="114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1258F" w:rsidRPr="005527BB" w:rsidRDefault="00B1258F" w:rsidP="00082AA5">
            <w:pPr>
              <w:pStyle w:val="Default"/>
              <w:rPr>
                <w:rFonts w:ascii="Times New Roman" w:hAnsi="Times New Roman" w:cs="Times New Roman"/>
                <w:sz w:val="20"/>
                <w:szCs w:val="20"/>
              </w:rPr>
            </w:pPr>
            <w:r w:rsidRPr="005527BB">
              <w:rPr>
                <w:rFonts w:ascii="Times New Roman" w:hAnsi="Times New Roman" w:cs="Times New Roman"/>
                <w:b/>
                <w:bCs/>
                <w:sz w:val="20"/>
                <w:szCs w:val="20"/>
              </w:rPr>
              <w:t xml:space="preserve">METHODS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rsidR="00B1258F" w:rsidRPr="005527BB" w:rsidRDefault="00B1258F" w:rsidP="00082AA5">
            <w:pPr>
              <w:pStyle w:val="Default"/>
              <w:jc w:val="right"/>
              <w:rPr>
                <w:rFonts w:ascii="Times New Roman" w:hAnsi="Times New Roman" w:cs="Times New Roman"/>
                <w:color w:val="auto"/>
                <w:sz w:val="20"/>
                <w:szCs w:val="20"/>
              </w:rPr>
            </w:pPr>
          </w:p>
        </w:tc>
      </w:tr>
      <w:tr w:rsidR="00B1258F" w:rsidRPr="00904FBC" w:rsidTr="00082AA5">
        <w:trPr>
          <w:trHeight w:val="578"/>
        </w:trPr>
        <w:tc>
          <w:tcPr>
            <w:tcW w:w="1614"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5</w:t>
            </w:r>
          </w:p>
        </w:tc>
        <w:tc>
          <w:tcPr>
            <w:tcW w:w="927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Indicate if a review protocol exists, if and where it can be accessed (e.g., Web address), and, if available, provide registration information including registration number. </w:t>
            </w:r>
          </w:p>
        </w:tc>
        <w:tc>
          <w:tcPr>
            <w:tcW w:w="135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3</w:t>
            </w:r>
          </w:p>
        </w:tc>
      </w:tr>
      <w:tr w:rsidR="00B1258F" w:rsidRPr="00904FBC" w:rsidTr="00082AA5">
        <w:trPr>
          <w:trHeight w:val="578"/>
        </w:trPr>
        <w:tc>
          <w:tcPr>
            <w:tcW w:w="1614"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6</w:t>
            </w:r>
          </w:p>
        </w:tc>
        <w:tc>
          <w:tcPr>
            <w:tcW w:w="927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Specify study characteristics (e.g., PICOS, length of follow-up) and report characteristics (e.g., years considered, language, publication status) used as criteria for eligibility, giving rationale. </w:t>
            </w:r>
          </w:p>
        </w:tc>
        <w:tc>
          <w:tcPr>
            <w:tcW w:w="135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4</w:t>
            </w:r>
          </w:p>
        </w:tc>
      </w:tr>
      <w:tr w:rsidR="00B1258F" w:rsidRPr="00904FBC" w:rsidTr="00082AA5">
        <w:trPr>
          <w:trHeight w:val="578"/>
        </w:trPr>
        <w:tc>
          <w:tcPr>
            <w:tcW w:w="1614"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7</w:t>
            </w:r>
          </w:p>
        </w:tc>
        <w:tc>
          <w:tcPr>
            <w:tcW w:w="927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Describe all information sources (e.g., databases with dates of coverage, contact with study authors to identify additional studies) in the search and date last searched. </w:t>
            </w:r>
          </w:p>
        </w:tc>
        <w:tc>
          <w:tcPr>
            <w:tcW w:w="135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3</w:t>
            </w:r>
          </w:p>
        </w:tc>
      </w:tr>
      <w:tr w:rsidR="00B1258F" w:rsidRPr="00904FBC" w:rsidTr="00082AA5">
        <w:trPr>
          <w:trHeight w:val="578"/>
        </w:trPr>
        <w:tc>
          <w:tcPr>
            <w:tcW w:w="1614"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8</w:t>
            </w:r>
          </w:p>
        </w:tc>
        <w:tc>
          <w:tcPr>
            <w:tcW w:w="927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Present full electronic search strategy for at least one database, including any limits used, such that it could be repeated. </w:t>
            </w:r>
          </w:p>
        </w:tc>
        <w:tc>
          <w:tcPr>
            <w:tcW w:w="135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3-4</w:t>
            </w:r>
          </w:p>
        </w:tc>
      </w:tr>
      <w:tr w:rsidR="00B1258F" w:rsidRPr="00904FBC" w:rsidTr="00082AA5">
        <w:trPr>
          <w:trHeight w:val="578"/>
        </w:trPr>
        <w:tc>
          <w:tcPr>
            <w:tcW w:w="1614"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9</w:t>
            </w:r>
          </w:p>
        </w:tc>
        <w:tc>
          <w:tcPr>
            <w:tcW w:w="927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State the process for selecting studies (i.e., screening, eligibility, included in systematic review, and, if applicable, included in the meta-analysis). </w:t>
            </w:r>
          </w:p>
        </w:tc>
        <w:tc>
          <w:tcPr>
            <w:tcW w:w="135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4</w:t>
            </w:r>
          </w:p>
        </w:tc>
      </w:tr>
      <w:tr w:rsidR="00B1258F" w:rsidRPr="00904FBC" w:rsidTr="00082AA5">
        <w:trPr>
          <w:trHeight w:val="578"/>
        </w:trPr>
        <w:tc>
          <w:tcPr>
            <w:tcW w:w="1614"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10</w:t>
            </w:r>
          </w:p>
        </w:tc>
        <w:tc>
          <w:tcPr>
            <w:tcW w:w="927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Describe method of data extraction from reports (e.g., piloted forms, independently, in duplicate) and any processes for obtaining and confirming data from investigators. </w:t>
            </w:r>
          </w:p>
        </w:tc>
        <w:tc>
          <w:tcPr>
            <w:tcW w:w="135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4-5</w:t>
            </w:r>
          </w:p>
        </w:tc>
      </w:tr>
      <w:tr w:rsidR="00B1258F" w:rsidRPr="00904FBC" w:rsidTr="00082AA5">
        <w:trPr>
          <w:trHeight w:val="578"/>
        </w:trPr>
        <w:tc>
          <w:tcPr>
            <w:tcW w:w="1614"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11</w:t>
            </w:r>
          </w:p>
        </w:tc>
        <w:tc>
          <w:tcPr>
            <w:tcW w:w="927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List and define all variables for which data were sought (e.g., PICOS, funding sources) and any assumptions and simplifications made. </w:t>
            </w:r>
          </w:p>
        </w:tc>
        <w:tc>
          <w:tcPr>
            <w:tcW w:w="135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4-5</w:t>
            </w:r>
          </w:p>
        </w:tc>
      </w:tr>
      <w:tr w:rsidR="00B1258F" w:rsidRPr="00904FBC" w:rsidTr="00082AA5">
        <w:trPr>
          <w:trHeight w:val="578"/>
        </w:trPr>
        <w:tc>
          <w:tcPr>
            <w:tcW w:w="1614"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lastRenderedPageBreak/>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12</w:t>
            </w:r>
          </w:p>
        </w:tc>
        <w:tc>
          <w:tcPr>
            <w:tcW w:w="927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35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1258F" w:rsidRPr="00904FBC" w:rsidTr="00082AA5">
        <w:trPr>
          <w:trHeight w:val="333"/>
        </w:trPr>
        <w:tc>
          <w:tcPr>
            <w:tcW w:w="1614"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13</w:t>
            </w:r>
          </w:p>
        </w:tc>
        <w:tc>
          <w:tcPr>
            <w:tcW w:w="927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State the principal summary measures (e.g., risk ratio, difference in means). </w:t>
            </w:r>
          </w:p>
        </w:tc>
        <w:tc>
          <w:tcPr>
            <w:tcW w:w="135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1258F" w:rsidRPr="00904FBC" w:rsidTr="00082AA5">
        <w:trPr>
          <w:trHeight w:val="580"/>
        </w:trPr>
        <w:tc>
          <w:tcPr>
            <w:tcW w:w="1614"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14</w:t>
            </w:r>
          </w:p>
        </w:tc>
        <w:tc>
          <w:tcPr>
            <w:tcW w:w="927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Describe the methods of handling data and combining results of studies, if done, including measures of consistency (e.g., I</w:t>
            </w:r>
            <w:r w:rsidRPr="005527BB">
              <w:rPr>
                <w:rFonts w:ascii="Times New Roman" w:hAnsi="Times New Roman" w:cs="Times New Roman"/>
                <w:sz w:val="20"/>
                <w:szCs w:val="20"/>
                <w:vertAlign w:val="superscript"/>
              </w:rPr>
              <w:t>2</w:t>
            </w:r>
            <w:r w:rsidRPr="005527BB">
              <w:rPr>
                <w:rFonts w:ascii="Times New Roman" w:hAnsi="Times New Roman" w:cs="Times New Roman"/>
                <w:sz w:val="20"/>
                <w:szCs w:val="20"/>
              </w:rPr>
              <w:t xml:space="preserve">) for each meta-analysis. </w:t>
            </w:r>
          </w:p>
        </w:tc>
        <w:tc>
          <w:tcPr>
            <w:tcW w:w="135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1258F" w:rsidRPr="00904FBC" w:rsidTr="00082AA5">
        <w:trPr>
          <w:trHeight w:val="580"/>
        </w:trPr>
        <w:tc>
          <w:tcPr>
            <w:tcW w:w="1614"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15</w:t>
            </w:r>
          </w:p>
        </w:tc>
        <w:tc>
          <w:tcPr>
            <w:tcW w:w="927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Specify any assessment of risk of bias that may affect the cumulative evidence (e.g., publication bias, selective reporting within studies). </w:t>
            </w:r>
          </w:p>
        </w:tc>
        <w:tc>
          <w:tcPr>
            <w:tcW w:w="135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N/Ap</w:t>
            </w:r>
          </w:p>
        </w:tc>
      </w:tr>
      <w:tr w:rsidR="00B1258F" w:rsidRPr="00904FBC" w:rsidTr="00082AA5">
        <w:trPr>
          <w:trHeight w:val="580"/>
        </w:trPr>
        <w:tc>
          <w:tcPr>
            <w:tcW w:w="1614"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Additional analyses </w:t>
            </w:r>
          </w:p>
        </w:tc>
        <w:tc>
          <w:tcPr>
            <w:tcW w:w="54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16</w:t>
            </w:r>
          </w:p>
        </w:tc>
        <w:tc>
          <w:tcPr>
            <w:tcW w:w="927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Describe methods of additional analyses (e.g., sensitivity or subgroup analyses, meta-regression), if done, indicating which were pre-specified. </w:t>
            </w:r>
          </w:p>
        </w:tc>
        <w:tc>
          <w:tcPr>
            <w:tcW w:w="135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1258F" w:rsidRPr="00904FBC" w:rsidTr="00082AA5">
        <w:trPr>
          <w:trHeight w:val="335"/>
        </w:trPr>
        <w:tc>
          <w:tcPr>
            <w:tcW w:w="114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1258F" w:rsidRPr="005527BB" w:rsidRDefault="00B1258F" w:rsidP="00082AA5">
            <w:pPr>
              <w:pStyle w:val="Default"/>
              <w:rPr>
                <w:rFonts w:ascii="Times New Roman" w:hAnsi="Times New Roman" w:cs="Times New Roman"/>
                <w:sz w:val="20"/>
                <w:szCs w:val="20"/>
              </w:rPr>
            </w:pPr>
            <w:r w:rsidRPr="005527BB">
              <w:rPr>
                <w:rFonts w:ascii="Times New Roman" w:hAnsi="Times New Roman" w:cs="Times New Roman"/>
                <w:b/>
                <w:bCs/>
                <w:sz w:val="20"/>
                <w:szCs w:val="20"/>
              </w:rPr>
              <w:t xml:space="preserve">RESULTS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rsidR="00B1258F" w:rsidRPr="005527BB" w:rsidRDefault="00B1258F" w:rsidP="00082AA5">
            <w:pPr>
              <w:pStyle w:val="Default"/>
              <w:jc w:val="center"/>
              <w:rPr>
                <w:rFonts w:ascii="Times New Roman" w:hAnsi="Times New Roman" w:cs="Times New Roman"/>
                <w:color w:val="auto"/>
                <w:sz w:val="20"/>
                <w:szCs w:val="20"/>
              </w:rPr>
            </w:pPr>
          </w:p>
        </w:tc>
      </w:tr>
      <w:tr w:rsidR="00B1258F" w:rsidRPr="00904FBC" w:rsidTr="00082AA5">
        <w:trPr>
          <w:trHeight w:val="578"/>
        </w:trPr>
        <w:tc>
          <w:tcPr>
            <w:tcW w:w="1614"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17</w:t>
            </w:r>
          </w:p>
        </w:tc>
        <w:tc>
          <w:tcPr>
            <w:tcW w:w="927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Give numbers of studies screened, assessed for eligibility, and included in the review, with reasons for exclusions at each stage, ideally with a flow diagram. </w:t>
            </w:r>
          </w:p>
        </w:tc>
        <w:tc>
          <w:tcPr>
            <w:tcW w:w="135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5, Figure 1 (p. 15)</w:t>
            </w:r>
          </w:p>
        </w:tc>
      </w:tr>
      <w:tr w:rsidR="00B1258F" w:rsidRPr="00904FBC" w:rsidTr="00082AA5">
        <w:trPr>
          <w:trHeight w:val="578"/>
        </w:trPr>
        <w:tc>
          <w:tcPr>
            <w:tcW w:w="1614"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18</w:t>
            </w:r>
          </w:p>
        </w:tc>
        <w:tc>
          <w:tcPr>
            <w:tcW w:w="927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For each study, present characteristics for which data were extracted (e.g., study size, PICOS, follow-up period) and provide the citations. </w:t>
            </w:r>
          </w:p>
        </w:tc>
        <w:tc>
          <w:tcPr>
            <w:tcW w:w="135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5-6</w:t>
            </w:r>
          </w:p>
        </w:tc>
      </w:tr>
      <w:tr w:rsidR="00B1258F" w:rsidRPr="00904FBC" w:rsidTr="00082AA5">
        <w:trPr>
          <w:trHeight w:val="333"/>
        </w:trPr>
        <w:tc>
          <w:tcPr>
            <w:tcW w:w="1614"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19</w:t>
            </w:r>
          </w:p>
        </w:tc>
        <w:tc>
          <w:tcPr>
            <w:tcW w:w="927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Present data on risk of bias of each study and, if available, any outcome level assessment (see item 12). </w:t>
            </w:r>
          </w:p>
        </w:tc>
        <w:tc>
          <w:tcPr>
            <w:tcW w:w="135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6, Figure 2 (p. 16)</w:t>
            </w:r>
          </w:p>
        </w:tc>
      </w:tr>
      <w:tr w:rsidR="00B1258F" w:rsidRPr="00904FBC" w:rsidTr="00082AA5">
        <w:trPr>
          <w:trHeight w:val="578"/>
        </w:trPr>
        <w:tc>
          <w:tcPr>
            <w:tcW w:w="1614"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20</w:t>
            </w:r>
          </w:p>
        </w:tc>
        <w:tc>
          <w:tcPr>
            <w:tcW w:w="927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For all outcomes considered (benefits or harms), present, for each study: (a) simple summary data for each intervention group (b) effect estimates and confidence intervals, ideally with a forest plot. </w:t>
            </w:r>
          </w:p>
        </w:tc>
        <w:tc>
          <w:tcPr>
            <w:tcW w:w="135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6-8, Table 1 (p. 18-19), Figure 3 (p. 17)</w:t>
            </w:r>
          </w:p>
        </w:tc>
      </w:tr>
      <w:tr w:rsidR="00B1258F" w:rsidRPr="00904FBC" w:rsidTr="00082AA5">
        <w:trPr>
          <w:trHeight w:val="335"/>
        </w:trPr>
        <w:tc>
          <w:tcPr>
            <w:tcW w:w="1614"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21</w:t>
            </w:r>
          </w:p>
        </w:tc>
        <w:tc>
          <w:tcPr>
            <w:tcW w:w="927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Present results of each meta-analysis done, including confidence intervals and measures of consistency. </w:t>
            </w:r>
          </w:p>
        </w:tc>
        <w:tc>
          <w:tcPr>
            <w:tcW w:w="135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6-8, Figure 3 (p. 17)</w:t>
            </w:r>
          </w:p>
        </w:tc>
      </w:tr>
      <w:tr w:rsidR="00B1258F" w:rsidRPr="00904FBC" w:rsidTr="00082AA5">
        <w:trPr>
          <w:trHeight w:val="333"/>
        </w:trPr>
        <w:tc>
          <w:tcPr>
            <w:tcW w:w="1614"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22</w:t>
            </w:r>
          </w:p>
        </w:tc>
        <w:tc>
          <w:tcPr>
            <w:tcW w:w="927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Present results of any assessment of risk of bias across studies (see Item 15). </w:t>
            </w:r>
          </w:p>
        </w:tc>
        <w:tc>
          <w:tcPr>
            <w:tcW w:w="135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N/Ap</w:t>
            </w:r>
          </w:p>
        </w:tc>
      </w:tr>
      <w:tr w:rsidR="00B1258F" w:rsidRPr="00904FBC" w:rsidTr="00082AA5">
        <w:trPr>
          <w:trHeight w:val="393"/>
        </w:trPr>
        <w:tc>
          <w:tcPr>
            <w:tcW w:w="1614" w:type="dxa"/>
            <w:tcBorders>
              <w:top w:val="single" w:sz="5" w:space="0" w:color="000000"/>
              <w:left w:val="single" w:sz="5" w:space="0" w:color="000000"/>
              <w:bottom w:val="double" w:sz="2" w:space="0" w:color="FFFFCC"/>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23</w:t>
            </w:r>
          </w:p>
        </w:tc>
        <w:tc>
          <w:tcPr>
            <w:tcW w:w="9270" w:type="dxa"/>
            <w:tcBorders>
              <w:top w:val="single" w:sz="5" w:space="0" w:color="000000"/>
              <w:left w:val="single" w:sz="5" w:space="0" w:color="000000"/>
              <w:bottom w:val="doub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Give results of additional analyses, if done (e.g., sensitivity or subgroup analyses, meta-regression [see Item 16]). </w:t>
            </w:r>
          </w:p>
        </w:tc>
        <w:tc>
          <w:tcPr>
            <w:tcW w:w="1350" w:type="dxa"/>
            <w:tcBorders>
              <w:top w:val="single" w:sz="5" w:space="0" w:color="000000"/>
              <w:left w:val="single" w:sz="5" w:space="0" w:color="000000"/>
              <w:bottom w:val="doub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6-8</w:t>
            </w:r>
          </w:p>
        </w:tc>
      </w:tr>
      <w:tr w:rsidR="00B1258F" w:rsidRPr="00904FBC" w:rsidTr="00082AA5">
        <w:trPr>
          <w:trHeight w:val="335"/>
        </w:trPr>
        <w:tc>
          <w:tcPr>
            <w:tcW w:w="114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1258F" w:rsidRPr="005527BB" w:rsidRDefault="00B1258F" w:rsidP="00082AA5">
            <w:pPr>
              <w:pStyle w:val="Default"/>
              <w:rPr>
                <w:rFonts w:ascii="Times New Roman" w:hAnsi="Times New Roman" w:cs="Times New Roman"/>
                <w:sz w:val="20"/>
                <w:szCs w:val="20"/>
              </w:rPr>
            </w:pPr>
            <w:r w:rsidRPr="005527BB">
              <w:rPr>
                <w:rFonts w:ascii="Times New Roman" w:hAnsi="Times New Roman" w:cs="Times New Roman"/>
                <w:b/>
                <w:bCs/>
                <w:sz w:val="20"/>
                <w:szCs w:val="20"/>
              </w:rPr>
              <w:t xml:space="preserve">DISCUSSION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rsidR="00B1258F" w:rsidRPr="005527BB" w:rsidRDefault="00B1258F" w:rsidP="00082AA5">
            <w:pPr>
              <w:pStyle w:val="Default"/>
              <w:jc w:val="center"/>
              <w:rPr>
                <w:rFonts w:ascii="Times New Roman" w:hAnsi="Times New Roman" w:cs="Times New Roman"/>
                <w:color w:val="auto"/>
                <w:sz w:val="20"/>
                <w:szCs w:val="20"/>
              </w:rPr>
            </w:pPr>
          </w:p>
        </w:tc>
      </w:tr>
      <w:tr w:rsidR="00B1258F" w:rsidRPr="00904FBC" w:rsidTr="00082AA5">
        <w:trPr>
          <w:trHeight w:val="578"/>
        </w:trPr>
        <w:tc>
          <w:tcPr>
            <w:tcW w:w="1614"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24</w:t>
            </w:r>
          </w:p>
        </w:tc>
        <w:tc>
          <w:tcPr>
            <w:tcW w:w="927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Summarize the main findings including the strength of evidence for each main outcome; consider their relevance to key groups (e.g., healthcare providers, users, and policy makers). </w:t>
            </w:r>
          </w:p>
        </w:tc>
        <w:tc>
          <w:tcPr>
            <w:tcW w:w="135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9-10</w:t>
            </w:r>
          </w:p>
        </w:tc>
      </w:tr>
      <w:tr w:rsidR="00B1258F" w:rsidRPr="00904FBC" w:rsidTr="00082AA5">
        <w:trPr>
          <w:trHeight w:val="578"/>
        </w:trPr>
        <w:tc>
          <w:tcPr>
            <w:tcW w:w="1614"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lastRenderedPageBreak/>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25</w:t>
            </w:r>
          </w:p>
        </w:tc>
        <w:tc>
          <w:tcPr>
            <w:tcW w:w="927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Discuss limitations at study and outcome level (e.g., risk of bias), and at review-level (e.g., incomplete retrieval of identified research, reporting bias). </w:t>
            </w:r>
          </w:p>
        </w:tc>
        <w:tc>
          <w:tcPr>
            <w:tcW w:w="1350" w:type="dxa"/>
            <w:tcBorders>
              <w:top w:val="single" w:sz="5" w:space="0" w:color="000000"/>
              <w:left w:val="single" w:sz="5" w:space="0" w:color="000000"/>
              <w:bottom w:val="sing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10</w:t>
            </w:r>
          </w:p>
        </w:tc>
      </w:tr>
      <w:tr w:rsidR="00B1258F" w:rsidRPr="00904FBC" w:rsidTr="00082AA5">
        <w:trPr>
          <w:trHeight w:val="420"/>
        </w:trPr>
        <w:tc>
          <w:tcPr>
            <w:tcW w:w="1614" w:type="dxa"/>
            <w:tcBorders>
              <w:top w:val="single" w:sz="5" w:space="0" w:color="000000"/>
              <w:left w:val="single" w:sz="5" w:space="0" w:color="000000"/>
              <w:bottom w:val="double" w:sz="2" w:space="0" w:color="FFFFCC"/>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26</w:t>
            </w:r>
          </w:p>
        </w:tc>
        <w:tc>
          <w:tcPr>
            <w:tcW w:w="9270" w:type="dxa"/>
            <w:tcBorders>
              <w:top w:val="single" w:sz="5" w:space="0" w:color="000000"/>
              <w:left w:val="single" w:sz="5" w:space="0" w:color="000000"/>
              <w:bottom w:val="doub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Provide a general interpretation of the results in the context of other evidence, and implications for future research. </w:t>
            </w:r>
          </w:p>
        </w:tc>
        <w:tc>
          <w:tcPr>
            <w:tcW w:w="1350" w:type="dxa"/>
            <w:tcBorders>
              <w:top w:val="single" w:sz="5" w:space="0" w:color="000000"/>
              <w:left w:val="single" w:sz="5" w:space="0" w:color="000000"/>
              <w:bottom w:val="doub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11</w:t>
            </w:r>
          </w:p>
        </w:tc>
      </w:tr>
      <w:tr w:rsidR="00B1258F" w:rsidRPr="00904FBC" w:rsidTr="00082AA5">
        <w:trPr>
          <w:trHeight w:val="333"/>
        </w:trPr>
        <w:tc>
          <w:tcPr>
            <w:tcW w:w="1142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1258F" w:rsidRPr="005527BB" w:rsidRDefault="00B1258F" w:rsidP="00082AA5">
            <w:pPr>
              <w:pStyle w:val="Default"/>
              <w:rPr>
                <w:rFonts w:ascii="Times New Roman" w:hAnsi="Times New Roman" w:cs="Times New Roman"/>
                <w:sz w:val="20"/>
                <w:szCs w:val="20"/>
              </w:rPr>
            </w:pPr>
            <w:r w:rsidRPr="005527BB">
              <w:rPr>
                <w:rFonts w:ascii="Times New Roman" w:hAnsi="Times New Roman" w:cs="Times New Roman"/>
                <w:b/>
                <w:bCs/>
                <w:sz w:val="20"/>
                <w:szCs w:val="20"/>
              </w:rPr>
              <w:t xml:space="preserve">FUNDING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rsidR="00B1258F" w:rsidRPr="005527BB" w:rsidRDefault="00B1258F" w:rsidP="00082AA5">
            <w:pPr>
              <w:pStyle w:val="Default"/>
              <w:jc w:val="center"/>
              <w:rPr>
                <w:rFonts w:ascii="Times New Roman" w:hAnsi="Times New Roman" w:cs="Times New Roman"/>
                <w:color w:val="auto"/>
                <w:sz w:val="20"/>
                <w:szCs w:val="20"/>
              </w:rPr>
            </w:pPr>
          </w:p>
        </w:tc>
      </w:tr>
      <w:tr w:rsidR="00B1258F" w:rsidRPr="00904FBC" w:rsidTr="00082AA5">
        <w:trPr>
          <w:trHeight w:val="570"/>
        </w:trPr>
        <w:tc>
          <w:tcPr>
            <w:tcW w:w="1614" w:type="dxa"/>
            <w:tcBorders>
              <w:top w:val="single" w:sz="5" w:space="0" w:color="000000"/>
              <w:left w:val="single" w:sz="5" w:space="0" w:color="000000"/>
              <w:bottom w:val="doub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B1258F" w:rsidRPr="005527BB" w:rsidRDefault="00B1258F" w:rsidP="00082AA5">
            <w:pPr>
              <w:pStyle w:val="Default"/>
              <w:spacing w:before="40" w:after="40"/>
              <w:jc w:val="right"/>
              <w:rPr>
                <w:rFonts w:ascii="Times New Roman" w:hAnsi="Times New Roman" w:cs="Times New Roman"/>
                <w:sz w:val="20"/>
                <w:szCs w:val="20"/>
              </w:rPr>
            </w:pPr>
            <w:r w:rsidRPr="005527BB">
              <w:rPr>
                <w:rFonts w:ascii="Times New Roman" w:hAnsi="Times New Roman" w:cs="Times New Roman"/>
                <w:sz w:val="20"/>
                <w:szCs w:val="20"/>
              </w:rPr>
              <w:t>27</w:t>
            </w:r>
          </w:p>
        </w:tc>
        <w:tc>
          <w:tcPr>
            <w:tcW w:w="9270" w:type="dxa"/>
            <w:tcBorders>
              <w:top w:val="single" w:sz="5" w:space="0" w:color="000000"/>
              <w:left w:val="single" w:sz="5" w:space="0" w:color="000000"/>
              <w:bottom w:val="doub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sz w:val="20"/>
                <w:szCs w:val="20"/>
              </w:rPr>
            </w:pPr>
            <w:r w:rsidRPr="005527BB">
              <w:rPr>
                <w:rFonts w:ascii="Times New Roman" w:hAnsi="Times New Roman" w:cs="Times New Roman"/>
                <w:sz w:val="20"/>
                <w:szCs w:val="20"/>
              </w:rPr>
              <w:t xml:space="preserve">Describe sources of funding for the systematic review and other support (e.g., supply of data); role of funders for the systematic review. </w:t>
            </w:r>
          </w:p>
        </w:tc>
        <w:tc>
          <w:tcPr>
            <w:tcW w:w="1350" w:type="dxa"/>
            <w:tcBorders>
              <w:top w:val="single" w:sz="5" w:space="0" w:color="000000"/>
              <w:left w:val="single" w:sz="5" w:space="0" w:color="000000"/>
              <w:bottom w:val="double" w:sz="5" w:space="0" w:color="000000"/>
              <w:right w:val="single" w:sz="5" w:space="0" w:color="000000"/>
            </w:tcBorders>
          </w:tcPr>
          <w:p w:rsidR="00B1258F" w:rsidRPr="005527BB" w:rsidRDefault="00B1258F" w:rsidP="00082AA5">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1</w:t>
            </w:r>
          </w:p>
        </w:tc>
      </w:tr>
    </w:tbl>
    <w:p w:rsidR="00B1258F" w:rsidRPr="00E33EFF" w:rsidRDefault="00B1258F" w:rsidP="00B1258F">
      <w:pPr>
        <w:rPr>
          <w:szCs w:val="20"/>
        </w:rPr>
      </w:pPr>
    </w:p>
    <w:p w:rsidR="00B1258F" w:rsidRDefault="00B1258F" w:rsidP="00B1258F">
      <w:pPr>
        <w:rPr>
          <w:b/>
        </w:rPr>
      </w:pPr>
      <w:r>
        <w:rPr>
          <w:b/>
        </w:rPr>
        <w:br w:type="page"/>
      </w:r>
    </w:p>
    <w:p w:rsidR="00B1258F" w:rsidRDefault="00B1258F" w:rsidP="00B1258F">
      <w:pPr>
        <w:outlineLvl w:val="0"/>
        <w:rPr>
          <w:b/>
        </w:rPr>
        <w:sectPr w:rsidR="00B1258F" w:rsidSect="00082AA5">
          <w:pgSz w:w="15840" w:h="12240" w:orient="landscape"/>
          <w:pgMar w:top="1440" w:right="1440" w:bottom="1440" w:left="1440" w:header="709" w:footer="709" w:gutter="0"/>
          <w:lnNumType w:countBy="1" w:restart="continuous"/>
          <w:cols w:space="720"/>
          <w:titlePg/>
          <w:docGrid w:linePitch="326"/>
        </w:sectPr>
      </w:pPr>
    </w:p>
    <w:p w:rsidR="00B1258F" w:rsidRDefault="00B1258F" w:rsidP="00B1258F">
      <w:pPr>
        <w:outlineLvl w:val="0"/>
        <w:rPr>
          <w:b/>
        </w:rPr>
      </w:pPr>
      <w:r>
        <w:rPr>
          <w:b/>
        </w:rPr>
        <w:lastRenderedPageBreak/>
        <w:t>Appendix 2</w:t>
      </w:r>
      <w:r w:rsidRPr="006B5358">
        <w:rPr>
          <w:b/>
        </w:rPr>
        <w:t>. Medline search strategy</w:t>
      </w:r>
    </w:p>
    <w:p w:rsidR="00B1258F" w:rsidRDefault="00B1258F" w:rsidP="00B1258F">
      <w:pPr>
        <w:rPr>
          <w:b/>
        </w:rPr>
      </w:pPr>
    </w:p>
    <w:p w:rsidR="00B1258F" w:rsidRPr="00B84209" w:rsidRDefault="00B1258F" w:rsidP="00B1258F">
      <w:r w:rsidRPr="00B84209">
        <w:t>Ovid MEDLINE: Epub Ahead of Print, In-Process &amp; Other Non-Indexed Citations, Ovid MEDLINE® Daily and Ovid MEDLINE®</w:t>
      </w:r>
    </w:p>
    <w:p w:rsidR="00B1258F" w:rsidRPr="00E33EFF" w:rsidRDefault="00B1258F" w:rsidP="00B1258F">
      <w:pPr>
        <w:rPr>
          <w:b/>
          <w:szCs w:val="20"/>
        </w:rPr>
      </w:pPr>
    </w:p>
    <w:tbl>
      <w:tblPr>
        <w:tblW w:w="9668" w:type="dxa"/>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tblPr>
      <w:tblGrid>
        <w:gridCol w:w="374"/>
        <w:gridCol w:w="8251"/>
        <w:gridCol w:w="1043"/>
      </w:tblGrid>
      <w:tr w:rsidR="00B1258F" w:rsidRPr="00904FBC" w:rsidTr="00082AA5">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rsidR="00B1258F" w:rsidRPr="00904FBC" w:rsidRDefault="00B1258F" w:rsidP="00082AA5">
            <w:pPr>
              <w:rPr>
                <w:rFonts w:eastAsia="Times New Roman"/>
                <w:b/>
                <w:bCs/>
                <w:color w:val="0A0905"/>
                <w:szCs w:val="20"/>
              </w:rPr>
            </w:pPr>
            <w:r w:rsidRPr="00904FBC">
              <w:rPr>
                <w:rFonts w:eastAsia="Times New Roman"/>
                <w:b/>
                <w:bCs/>
                <w:color w:val="0A0905"/>
                <w:szCs w:val="20"/>
              </w:rPr>
              <w:t>#</w:t>
            </w:r>
          </w:p>
        </w:tc>
        <w:tc>
          <w:tcPr>
            <w:tcW w:w="8251"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rsidR="00B1258F" w:rsidRPr="00904FBC" w:rsidRDefault="00B1258F" w:rsidP="00082AA5">
            <w:pPr>
              <w:rPr>
                <w:rFonts w:eastAsia="Times New Roman"/>
                <w:b/>
                <w:bCs/>
                <w:color w:val="0A0905"/>
                <w:szCs w:val="20"/>
              </w:rPr>
            </w:pPr>
            <w:r w:rsidRPr="00904FBC">
              <w:rPr>
                <w:rFonts w:eastAsia="Times New Roman"/>
                <w:b/>
                <w:bCs/>
                <w:color w:val="0A0905"/>
                <w:szCs w:val="20"/>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rsidR="00B1258F" w:rsidRPr="00904FBC" w:rsidRDefault="00B1258F" w:rsidP="00082AA5">
            <w:pPr>
              <w:rPr>
                <w:rFonts w:eastAsia="Times New Roman"/>
                <w:b/>
                <w:bCs/>
                <w:color w:val="0A0905"/>
                <w:szCs w:val="20"/>
              </w:rPr>
            </w:pPr>
            <w:r w:rsidRPr="00904FBC">
              <w:rPr>
                <w:rFonts w:eastAsia="Times New Roman"/>
                <w:b/>
                <w:bCs/>
                <w:color w:val="0A0905"/>
                <w:szCs w:val="20"/>
              </w:rPr>
              <w:t>Results</w:t>
            </w:r>
          </w:p>
        </w:tc>
      </w:tr>
      <w:tr w:rsidR="00B1258F" w:rsidRPr="00904FBC" w:rsidTr="00082AA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1</w:t>
            </w:r>
          </w:p>
        </w:tc>
        <w:tc>
          <w:tcPr>
            <w:tcW w:w="8251"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((("Carbapenemase-Producing" or "Carbapenemase Producing") adj5 Enterobacteriaceae) or "CP-Enterobacteriaceae" or CPE).tw,kf.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5346</w:t>
            </w:r>
          </w:p>
        </w:tc>
      </w:tr>
      <w:tr w:rsidR="00B1258F" w:rsidRPr="00904FBC" w:rsidTr="00082AA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2</w:t>
            </w:r>
          </w:p>
        </w:tc>
        <w:tc>
          <w:tcPr>
            <w:tcW w:w="8251"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Enterobacteriaceae/ or exp Enterobacteriaceae Infections/ or ((Enterobacter$ adj3 (infection? or outbreak?)) or Enterobacter$ or "Coliform Bacill$").tw,kf.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126231</w:t>
            </w:r>
          </w:p>
        </w:tc>
      </w:tr>
      <w:tr w:rsidR="00B1258F" w:rsidRPr="00904FBC" w:rsidTr="00082AA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3</w:t>
            </w:r>
          </w:p>
        </w:tc>
        <w:tc>
          <w:tcPr>
            <w:tcW w:w="8251"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beta-Lactamases/ or ("beta-Lactamase" or "beta Lactamaseor carbapenemase" or (((multidrug or "multiple drug" or multi-drug) adj3 resistan$) and (carbapenem? or thienamycin? or imipenem))).tw,kf.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29348</w:t>
            </w:r>
          </w:p>
        </w:tc>
      </w:tr>
      <w:tr w:rsidR="00B1258F" w:rsidRPr="00904FBC" w:rsidTr="00082AA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4</w:t>
            </w:r>
          </w:p>
        </w:tc>
        <w:tc>
          <w:tcPr>
            <w:tcW w:w="8251"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2 and 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10335</w:t>
            </w:r>
          </w:p>
        </w:tc>
      </w:tr>
      <w:tr w:rsidR="00B1258F" w:rsidRPr="00904FBC" w:rsidTr="00082AA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5</w:t>
            </w:r>
          </w:p>
        </w:tc>
        <w:tc>
          <w:tcPr>
            <w:tcW w:w="8251"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1 or 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15169</w:t>
            </w:r>
          </w:p>
        </w:tc>
      </w:tr>
      <w:tr w:rsidR="00B1258F" w:rsidRPr="00904FBC" w:rsidTr="00082AA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6</w:t>
            </w:r>
          </w:p>
        </w:tc>
        <w:tc>
          <w:tcPr>
            <w:tcW w:w="8251"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Critical Illness/ or Recovery of function/ or Prognosis/ or Disease-Free Survival/ or Medical Futility/ or Treatment Outcome/ or exp Therapeutic Index/ or exp Treatment Failure/ or Bacteremia/ or Endotoxemia/ or Disease Transmission, Infectious/ or Basic Reproduction Number/ or Infectious Disease Incubation Period/ or Infectious Disease Transmission, Patient-to-Professional/ or Infectious Disease Transmission, Professional-to-Patient/ or Infectious Disease Transmission, Vertical/ or ((critical$ adj3 (illness$ or ill)) or (function adj3 recover$) or ((prognos?s or prognostic) adj3 factor?) or (("disease free" or "event free" or "progression free" or disease-free or event-free or progression-free) adj4 survival?) or ((medical or treatment?) adj3 futil$) or ((outcome? or clinical or patient-relevant or "patient relevant") adj5 (treatment or effective$ or efficacy or rehabilitation)) or (treatment adj3 (effective$ or efficacy)) or (therapeutic adj3 (index or indices)) or ((treatment or rescue?) adj3 failure?) or bacteremia? or endotoxemia? or ((disease? or pathogen? or infection? or autochthonous or environmental or "close contact") adj5 transmission?) or (incubation adj5 (disease? or pathogen? or infection?)) or ((number or ratio or rate) adj4 "basic reproduct$")).tw,kf.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1872732</w:t>
            </w:r>
          </w:p>
        </w:tc>
      </w:tr>
      <w:tr w:rsidR="00B1258F" w:rsidRPr="00904FBC" w:rsidTr="00082AA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7</w:t>
            </w:r>
          </w:p>
        </w:tc>
        <w:tc>
          <w:tcPr>
            <w:tcW w:w="8251"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 xml:space="preserve">exp Hospitalization/ or exp "Outcome Assessment (Health Care)"/ or Patient Outcome Assessment/ or Patient Reported Outcome Measures/ or Critical Care Outcomes/ or Minimal Clinically Important Difference/ or Watchful Waiting/ or (((hospitalization? or ((length? or hospital) adj3 stay?) or ((discharge adj3 planning) or readmission?) or (voluntary adj3 admission) or ((nursing or clinical) adj3 (handoff? or "hand off?" or "hand over?" or handover)) or (care adj3 transition?) or (outcome? adj3 (assessment? or research or stud$ or measure? or "critical care")) or (patient adj3 (admission? or </w:t>
            </w:r>
            <w:r w:rsidRPr="00904FBC">
              <w:rPr>
                <w:rFonts w:eastAsia="Times New Roman"/>
                <w:color w:val="0A0905"/>
                <w:szCs w:val="20"/>
              </w:rPr>
              <w:lastRenderedPageBreak/>
              <w:t>discharge? or handoff? or "hand off?" or "hand over?" or handover or "sign out?" or signout? or signover? or transfer? or transition? or turfing? or dumping)) or (patient or patient-centered or "patient centered")) adj5 outcome adj5 (assessment? or research or reported)) or "Minimal Clinically Important Difference" or (Watchful adj2 Waiting?)).tw,kf.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lastRenderedPageBreak/>
              <w:t>1120997</w:t>
            </w:r>
          </w:p>
        </w:tc>
      </w:tr>
      <w:tr w:rsidR="00B1258F" w:rsidRPr="00904FBC" w:rsidTr="00082AA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lastRenderedPageBreak/>
              <w:t>8</w:t>
            </w:r>
          </w:p>
        </w:tc>
        <w:tc>
          <w:tcPr>
            <w:tcW w:w="8251"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Mortality/ or Hospital mortality/ or Fatal outcome/ or Cause of Death/ or Survival rate/ or Life expectancy/ or Life tables/ or (mortalit$ or fatalit$ or death or (fatal adj3 outcome?) or (survival adj3 (rate? or time?)) or (life adj3 (expectanc$ or extension)) or "years of potential life lost" or ((extension or table? or expectanc$) adj4 life)).tw,kf.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1495115</w:t>
            </w:r>
          </w:p>
        </w:tc>
      </w:tr>
      <w:tr w:rsidR="00B1258F" w:rsidRPr="00904FBC" w:rsidTr="00082AA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9</w:t>
            </w:r>
          </w:p>
        </w:tc>
        <w:tc>
          <w:tcPr>
            <w:tcW w:w="8251"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exp comorbidity/ or exp morbidity/ or (comorbidit$ or multimorbidit$ or morbidit$ or prevalence? or incidence?).tw,kf.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1681742</w:t>
            </w:r>
          </w:p>
        </w:tc>
      </w:tr>
      <w:tr w:rsidR="00B1258F" w:rsidRPr="00904FBC" w:rsidTr="00082AA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10</w:t>
            </w:r>
          </w:p>
        </w:tc>
        <w:tc>
          <w:tcPr>
            <w:tcW w:w="8251"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(HR-PRO or HRPRO or HRQL or HRQoL or QL or QoL).ti,ab. or quality of life.mp. or (health index* or health indices or health profile*).ti,ab. or health status.mp. or ((patient or self or child or parent or carer or proxy) adj (appraisal* or appraised or report or reported or reporting or rated or rating* or based or assessed or assessment*)).ti,ab. or ((disability or function or functional or functions or subjective or utility or utilities or wellbeing or well being) adj2 (index or indices or instrument or instruments or measure or measures or questionnaire* or profile or profiles or scale or scales or score or scores or status or survey or surveys)).ti,ab.</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625006</w:t>
            </w:r>
          </w:p>
        </w:tc>
      </w:tr>
      <w:tr w:rsidR="00B1258F" w:rsidRPr="00904FBC" w:rsidTr="00082AA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11</w:t>
            </w:r>
          </w:p>
        </w:tc>
        <w:tc>
          <w:tcPr>
            <w:tcW w:w="8251"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 xml:space="preserve">"Value of Life"/ or Quality of Life/ or Quality-Adjusted Life Years/ or exp health status indicators/ or quality of life.ti,kf. or ((instrument or instruments) adj3 quality of life).ab. or ("quality adjusted life" or (qaly* or qald* or qale* or qtime* or life year or life years) or "disability adjusted life" or daly* or (sf36 or "sf 36" or short form 36 or shortform 36 or short form36 or shortform36 or sf thirtysix or sfthirtysix or sfthirty six or sf thirty six or shortform thirtysix or shortform thirty six or short form thirtysix or short form thirty six) or (sf6 or sf 6 or short form 6 or shortform 6 or sf six or sfsix or shortform six or short form six or shortform6 or short form6) or (sf8 or sf 8 or sf eight or sfeight or shortform 8 or shortform 8 or shortform8 or short form8 or shortform eight or short form eight) or (sf12 or sf 12 or short form 12 or shortform 12 or short form12 or shortform12 or sf twelve or sftwelve or shortform twelve or short form twelve) or (sf16 or sf 16 or short form 16 or shortform 16 or short form16 or shortform16 or sf sixteen or sfsixteen or shortform sixteen or short form sixteen) or (sf20 or sf 20 or short form 20 or shortform 20 or short form20 or shortform20 or sf twenty or sftwenty or shortform twenty or short form twenty) or (hql or hqol or h qol or hrqol or hr qol) or (hye or hyes) or (health* adj2 year* adj2 equivalent*) or (pqol or qls) or (quality of wellbeing or quality of well being or index of wellbeing or index of well being or qwb) or "nottingham health profile*" or "sickness impact profile" or (health adj3 (utilit* or status)) or (utilit* adj3 (valu* or measur* or health or life or estimat* or elicit* or disease or score* or weight)) or (preference* adj3 (valu* or measur* or health or life or estimat* or elicit* or disease or score* or instrument or instruments)) or disutilit* or rosser or "willingness to pay" or "standard gamble*" or (time trade off or time tradeoff or tto) or (hui or hui1 or hui2 or hui3) or (eq or euroqol or euro qol or eq5d or eq 5d or euroqual or euro qual) or "duke health profile" or "functional </w:t>
            </w:r>
            <w:r w:rsidRPr="00904FBC">
              <w:rPr>
                <w:rFonts w:eastAsia="Times New Roman"/>
                <w:color w:val="0A0905"/>
                <w:szCs w:val="20"/>
              </w:rPr>
              <w:lastRenderedPageBreak/>
              <w:t>status questionnaire" or "dartmouth coop functional health assessment*").ti,ab,kf.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lastRenderedPageBreak/>
              <w:t>518121</w:t>
            </w:r>
          </w:p>
        </w:tc>
      </w:tr>
      <w:tr w:rsidR="00B1258F" w:rsidRPr="00904FBC" w:rsidTr="00082AA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lastRenderedPageBreak/>
              <w:t>12</w:t>
            </w:r>
          </w:p>
        </w:tc>
        <w:tc>
          <w:tcPr>
            <w:tcW w:w="8251"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(cost$ or cost benefit analys$ or health care costs).mp.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603155</w:t>
            </w:r>
          </w:p>
        </w:tc>
      </w:tr>
      <w:tr w:rsidR="00B1258F" w:rsidRPr="00904FBC" w:rsidTr="00082AA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13</w:t>
            </w:r>
          </w:p>
        </w:tc>
        <w:tc>
          <w:tcPr>
            <w:tcW w:w="8251"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(co or de or mo or ec or ep or et or mo or py or pd).fs.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8317524</w:t>
            </w:r>
          </w:p>
        </w:tc>
      </w:tr>
      <w:tr w:rsidR="00B1258F" w:rsidRPr="00904FBC" w:rsidTr="00082AA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14</w:t>
            </w:r>
          </w:p>
        </w:tc>
        <w:tc>
          <w:tcPr>
            <w:tcW w:w="8251"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6 or 7 or 8 or 9 or 10 or 11 or 12 or 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10944805</w:t>
            </w:r>
          </w:p>
        </w:tc>
      </w:tr>
      <w:tr w:rsidR="00B1258F" w:rsidRPr="00904FBC" w:rsidTr="00082AA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15</w:t>
            </w:r>
          </w:p>
        </w:tc>
        <w:tc>
          <w:tcPr>
            <w:tcW w:w="8251"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5 and 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11015</w:t>
            </w:r>
          </w:p>
        </w:tc>
      </w:tr>
      <w:tr w:rsidR="00B1258F" w:rsidRPr="00904FBC" w:rsidTr="00082AA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16</w:t>
            </w:r>
          </w:p>
        </w:tc>
        <w:tc>
          <w:tcPr>
            <w:tcW w:w="8251"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Animals/ not (Animals/ and Humans/)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4426113</w:t>
            </w:r>
          </w:p>
        </w:tc>
      </w:tr>
      <w:tr w:rsidR="00B1258F" w:rsidRPr="00904FBC" w:rsidTr="00082AA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17</w:t>
            </w:r>
          </w:p>
        </w:tc>
        <w:tc>
          <w:tcPr>
            <w:tcW w:w="8251"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15 not 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9829</w:t>
            </w:r>
          </w:p>
        </w:tc>
      </w:tr>
      <w:tr w:rsidR="00B1258F" w:rsidRPr="00904FBC" w:rsidTr="00082AA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18</w:t>
            </w:r>
          </w:p>
        </w:tc>
        <w:tc>
          <w:tcPr>
            <w:tcW w:w="8251"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("clinical conference" or comment or congresses or "conference abstract" or dissertation or editorial or festschrift or "historical article" or letter or news or "newspaper article" or summary or addresses or biography or "case reports" or directory or interview or lectures or "legal cases" or legislation or "patient education handout" or "popular works" or "consensus development conference" or " consensus development conference, nih" or " practice guideline").pt.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3973545</w:t>
            </w:r>
          </w:p>
        </w:tc>
      </w:tr>
      <w:tr w:rsidR="00B1258F" w:rsidRPr="00904FBC" w:rsidTr="00082AA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19</w:t>
            </w:r>
          </w:p>
        </w:tc>
        <w:tc>
          <w:tcPr>
            <w:tcW w:w="8251"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17 not 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8722</w:t>
            </w:r>
          </w:p>
        </w:tc>
      </w:tr>
      <w:tr w:rsidR="00B1258F" w:rsidRPr="00904FBC" w:rsidTr="00082AA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20</w:t>
            </w:r>
          </w:p>
        </w:tc>
        <w:tc>
          <w:tcPr>
            <w:tcW w:w="8251"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limit 19 to yr="2008 -Current"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5701</w:t>
            </w:r>
          </w:p>
        </w:tc>
      </w:tr>
      <w:tr w:rsidR="00B1258F" w:rsidRPr="00904FBC" w:rsidTr="00082AA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21</w:t>
            </w:r>
          </w:p>
        </w:tc>
        <w:tc>
          <w:tcPr>
            <w:tcW w:w="8251"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limit 20 to english language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B1258F" w:rsidRPr="00904FBC" w:rsidRDefault="00B1258F" w:rsidP="00082AA5">
            <w:pPr>
              <w:rPr>
                <w:rFonts w:eastAsia="Times New Roman"/>
                <w:color w:val="0A0905"/>
                <w:szCs w:val="20"/>
              </w:rPr>
            </w:pPr>
            <w:r w:rsidRPr="00904FBC">
              <w:rPr>
                <w:rFonts w:eastAsia="Times New Roman"/>
                <w:color w:val="0A0905"/>
                <w:szCs w:val="20"/>
              </w:rPr>
              <w:t>5238</w:t>
            </w:r>
          </w:p>
        </w:tc>
      </w:tr>
    </w:tbl>
    <w:p w:rsidR="00B1258F" w:rsidRPr="00E33EFF" w:rsidRDefault="00B1258F" w:rsidP="00B1258F">
      <w:pPr>
        <w:rPr>
          <w:szCs w:val="20"/>
          <w:u w:val="single"/>
        </w:rPr>
      </w:pPr>
    </w:p>
    <w:p w:rsidR="00B1258F" w:rsidRDefault="00B1258F" w:rsidP="00B1258F">
      <w:pPr>
        <w:rPr>
          <w:b/>
          <w:szCs w:val="20"/>
        </w:rPr>
      </w:pPr>
      <w:r>
        <w:rPr>
          <w:b/>
          <w:szCs w:val="20"/>
        </w:rPr>
        <w:br w:type="page"/>
      </w:r>
    </w:p>
    <w:p w:rsidR="00B1258F" w:rsidRDefault="00B1258F" w:rsidP="00B1258F">
      <w:pPr>
        <w:outlineLvl w:val="0"/>
        <w:rPr>
          <w:b/>
        </w:rPr>
        <w:sectPr w:rsidR="00B1258F" w:rsidSect="00082AA5">
          <w:pgSz w:w="12240" w:h="15840"/>
          <w:pgMar w:top="1440" w:right="1440" w:bottom="1440" w:left="1440" w:header="709" w:footer="709" w:gutter="0"/>
          <w:lnNumType w:countBy="1" w:restart="continuous"/>
          <w:cols w:space="720"/>
          <w:titlePg/>
          <w:docGrid w:linePitch="326"/>
        </w:sectPr>
      </w:pPr>
    </w:p>
    <w:p w:rsidR="00B1258F" w:rsidRPr="006B5358" w:rsidRDefault="00B1258F" w:rsidP="00B1258F">
      <w:pPr>
        <w:outlineLvl w:val="0"/>
        <w:rPr>
          <w:b/>
        </w:rPr>
      </w:pPr>
      <w:r>
        <w:rPr>
          <w:b/>
        </w:rPr>
        <w:lastRenderedPageBreak/>
        <w:t>Appendix 3</w:t>
      </w:r>
      <w:r w:rsidRPr="006B5358">
        <w:rPr>
          <w:b/>
        </w:rPr>
        <w:t>. Study and patient characteristics</w:t>
      </w:r>
    </w:p>
    <w:p w:rsidR="00B1258F" w:rsidRPr="00E33EFF" w:rsidRDefault="00B1258F" w:rsidP="00B1258F">
      <w:pPr>
        <w:rPr>
          <w:rFonts w:eastAsia="Times"/>
          <w:szCs w:val="20"/>
        </w:rPr>
      </w:pPr>
    </w:p>
    <w:tbl>
      <w:tblPr>
        <w:tblW w:w="13068" w:type="dxa"/>
        <w:tblBorders>
          <w:bottom w:val="single" w:sz="4" w:space="0" w:color="auto"/>
          <w:insideH w:val="single" w:sz="4" w:space="0" w:color="auto"/>
          <w:insideV w:val="single" w:sz="4" w:space="0" w:color="auto"/>
        </w:tblBorders>
        <w:tblLayout w:type="fixed"/>
        <w:tblLook w:val="04A0"/>
      </w:tblPr>
      <w:tblGrid>
        <w:gridCol w:w="1008"/>
        <w:gridCol w:w="990"/>
        <w:gridCol w:w="1170"/>
        <w:gridCol w:w="1260"/>
        <w:gridCol w:w="745"/>
        <w:gridCol w:w="892"/>
        <w:gridCol w:w="892"/>
        <w:gridCol w:w="893"/>
        <w:gridCol w:w="785"/>
        <w:gridCol w:w="743"/>
        <w:gridCol w:w="1002"/>
        <w:gridCol w:w="1027"/>
        <w:gridCol w:w="1661"/>
      </w:tblGrid>
      <w:tr w:rsidR="00B1258F" w:rsidRPr="00904FBC" w:rsidTr="00904FBC">
        <w:trPr>
          <w:trHeight w:val="971"/>
        </w:trPr>
        <w:tc>
          <w:tcPr>
            <w:tcW w:w="1008" w:type="dxa"/>
            <w:tcBorders>
              <w:top w:val="single" w:sz="4" w:space="0" w:color="auto"/>
              <w:left w:val="single" w:sz="4" w:space="0" w:color="auto"/>
              <w:bottom w:val="thinThickSmallGap" w:sz="24" w:space="0" w:color="auto"/>
              <w:right w:val="double" w:sz="4" w:space="0" w:color="auto"/>
            </w:tcBorders>
            <w:shd w:val="clear" w:color="auto" w:fill="D9D9D9"/>
            <w:vAlign w:val="center"/>
            <w:hideMark/>
          </w:tcPr>
          <w:p w:rsidR="00B1258F" w:rsidRPr="00904FBC" w:rsidRDefault="00B1258F" w:rsidP="00904FBC">
            <w:pPr>
              <w:spacing w:after="0" w:line="240" w:lineRule="auto"/>
              <w:rPr>
                <w:b/>
                <w:sz w:val="16"/>
                <w:szCs w:val="16"/>
              </w:rPr>
            </w:pPr>
            <w:r w:rsidRPr="00904FBC">
              <w:rPr>
                <w:b/>
                <w:sz w:val="16"/>
                <w:szCs w:val="16"/>
                <w:lang w:val="en-CA"/>
              </w:rPr>
              <w:t>First-Author and Publication Year</w:t>
            </w:r>
          </w:p>
        </w:tc>
        <w:tc>
          <w:tcPr>
            <w:tcW w:w="990" w:type="dxa"/>
            <w:tcBorders>
              <w:top w:val="single" w:sz="4" w:space="0" w:color="auto"/>
              <w:left w:val="double" w:sz="4" w:space="0" w:color="auto"/>
              <w:bottom w:val="thinThickSmallGap" w:sz="24" w:space="0" w:color="auto"/>
              <w:right w:val="double" w:sz="4" w:space="0" w:color="auto"/>
            </w:tcBorders>
            <w:shd w:val="clear" w:color="auto" w:fill="D9D9D9"/>
            <w:vAlign w:val="center"/>
            <w:hideMark/>
          </w:tcPr>
          <w:p w:rsidR="00B1258F" w:rsidRPr="00904FBC" w:rsidRDefault="00B1258F" w:rsidP="00904FBC">
            <w:pPr>
              <w:spacing w:after="0" w:line="240" w:lineRule="auto"/>
              <w:rPr>
                <w:b/>
                <w:sz w:val="16"/>
                <w:szCs w:val="16"/>
                <w:lang w:val="en-CA"/>
              </w:rPr>
            </w:pPr>
            <w:r w:rsidRPr="00904FBC">
              <w:rPr>
                <w:b/>
                <w:sz w:val="16"/>
                <w:szCs w:val="16"/>
                <w:lang w:val="en-CA"/>
              </w:rPr>
              <w:t>Country of Publication</w:t>
            </w:r>
          </w:p>
        </w:tc>
        <w:tc>
          <w:tcPr>
            <w:tcW w:w="1170" w:type="dxa"/>
            <w:tcBorders>
              <w:top w:val="single" w:sz="4" w:space="0" w:color="auto"/>
              <w:left w:val="double" w:sz="4" w:space="0" w:color="auto"/>
              <w:bottom w:val="thinThickSmallGap" w:sz="24" w:space="0" w:color="auto"/>
              <w:right w:val="double" w:sz="4" w:space="0" w:color="auto"/>
            </w:tcBorders>
            <w:shd w:val="clear" w:color="auto" w:fill="D9D9D9"/>
            <w:vAlign w:val="center"/>
            <w:hideMark/>
          </w:tcPr>
          <w:p w:rsidR="00B1258F" w:rsidRPr="00904FBC" w:rsidRDefault="00B1258F" w:rsidP="00904FBC">
            <w:pPr>
              <w:spacing w:after="0" w:line="240" w:lineRule="auto"/>
              <w:rPr>
                <w:b/>
                <w:sz w:val="16"/>
                <w:szCs w:val="16"/>
                <w:lang w:val="en-CA"/>
              </w:rPr>
            </w:pPr>
            <w:r w:rsidRPr="00904FBC">
              <w:rPr>
                <w:b/>
                <w:sz w:val="16"/>
                <w:szCs w:val="16"/>
                <w:lang w:val="en-CA"/>
              </w:rPr>
              <w:t>Study Design</w:t>
            </w:r>
          </w:p>
        </w:tc>
        <w:tc>
          <w:tcPr>
            <w:tcW w:w="1260" w:type="dxa"/>
            <w:tcBorders>
              <w:top w:val="single" w:sz="4" w:space="0" w:color="auto"/>
              <w:left w:val="double" w:sz="4" w:space="0" w:color="auto"/>
              <w:bottom w:val="thinThickSmallGap" w:sz="24" w:space="0" w:color="auto"/>
              <w:right w:val="nil"/>
            </w:tcBorders>
            <w:shd w:val="clear" w:color="auto" w:fill="D9D9D9"/>
            <w:vAlign w:val="center"/>
            <w:hideMark/>
          </w:tcPr>
          <w:p w:rsidR="00B1258F" w:rsidRPr="00904FBC" w:rsidRDefault="00B1258F" w:rsidP="00904FBC">
            <w:pPr>
              <w:spacing w:after="0" w:line="240" w:lineRule="auto"/>
              <w:rPr>
                <w:b/>
                <w:sz w:val="16"/>
                <w:szCs w:val="16"/>
                <w:lang w:val="en-CA"/>
              </w:rPr>
            </w:pPr>
            <w:r w:rsidRPr="00904FBC">
              <w:rPr>
                <w:b/>
                <w:sz w:val="16"/>
                <w:szCs w:val="16"/>
                <w:lang w:val="en-CA"/>
              </w:rPr>
              <w:t>Study Setting</w:t>
            </w:r>
          </w:p>
        </w:tc>
        <w:tc>
          <w:tcPr>
            <w:tcW w:w="745" w:type="dxa"/>
            <w:tcBorders>
              <w:top w:val="single" w:sz="4" w:space="0" w:color="auto"/>
              <w:left w:val="double" w:sz="4" w:space="0" w:color="auto"/>
              <w:bottom w:val="thinThickSmallGap" w:sz="24" w:space="0" w:color="auto"/>
              <w:right w:val="nil"/>
            </w:tcBorders>
            <w:shd w:val="clear" w:color="auto" w:fill="D9D9D9"/>
            <w:vAlign w:val="center"/>
          </w:tcPr>
          <w:p w:rsidR="00B1258F" w:rsidRPr="00904FBC" w:rsidRDefault="00B1258F" w:rsidP="00904FBC">
            <w:pPr>
              <w:spacing w:after="0" w:line="240" w:lineRule="auto"/>
              <w:rPr>
                <w:b/>
                <w:sz w:val="16"/>
                <w:szCs w:val="16"/>
                <w:lang w:val="en-CA"/>
              </w:rPr>
            </w:pPr>
            <w:r w:rsidRPr="00904FBC">
              <w:rPr>
                <w:b/>
                <w:sz w:val="16"/>
                <w:szCs w:val="16"/>
                <w:lang w:val="en-CA"/>
              </w:rPr>
              <w:t>No. Cases</w:t>
            </w:r>
          </w:p>
        </w:tc>
        <w:tc>
          <w:tcPr>
            <w:tcW w:w="892" w:type="dxa"/>
            <w:tcBorders>
              <w:top w:val="single" w:sz="4" w:space="0" w:color="auto"/>
              <w:left w:val="double" w:sz="4" w:space="0" w:color="auto"/>
              <w:bottom w:val="thinThickSmallGap" w:sz="24" w:space="0" w:color="auto"/>
              <w:right w:val="nil"/>
            </w:tcBorders>
            <w:shd w:val="clear" w:color="auto" w:fill="D9D9D9"/>
            <w:vAlign w:val="center"/>
          </w:tcPr>
          <w:p w:rsidR="00B1258F" w:rsidRPr="00904FBC" w:rsidRDefault="00B1258F" w:rsidP="00904FBC">
            <w:pPr>
              <w:spacing w:after="0" w:line="240" w:lineRule="auto"/>
              <w:rPr>
                <w:b/>
                <w:sz w:val="16"/>
                <w:szCs w:val="16"/>
                <w:lang w:val="en-CA"/>
              </w:rPr>
            </w:pPr>
            <w:r w:rsidRPr="00904FBC">
              <w:rPr>
                <w:b/>
                <w:sz w:val="16"/>
                <w:szCs w:val="16"/>
                <w:lang w:val="en-CA"/>
              </w:rPr>
              <w:t>No. Controls</w:t>
            </w:r>
          </w:p>
        </w:tc>
        <w:tc>
          <w:tcPr>
            <w:tcW w:w="892" w:type="dxa"/>
            <w:tcBorders>
              <w:top w:val="single" w:sz="4" w:space="0" w:color="auto"/>
              <w:left w:val="double" w:sz="4" w:space="0" w:color="auto"/>
              <w:bottom w:val="thinThickSmallGap" w:sz="24" w:space="0" w:color="auto"/>
              <w:right w:val="nil"/>
            </w:tcBorders>
            <w:shd w:val="clear" w:color="auto" w:fill="D9D9D9"/>
            <w:vAlign w:val="center"/>
          </w:tcPr>
          <w:p w:rsidR="00B1258F" w:rsidRPr="00904FBC" w:rsidRDefault="00B1258F" w:rsidP="00904FBC">
            <w:pPr>
              <w:spacing w:after="0" w:line="240" w:lineRule="auto"/>
              <w:rPr>
                <w:b/>
                <w:sz w:val="16"/>
                <w:szCs w:val="16"/>
                <w:lang w:val="en-CA"/>
              </w:rPr>
            </w:pPr>
            <w:r w:rsidRPr="00904FBC">
              <w:rPr>
                <w:b/>
                <w:sz w:val="16"/>
                <w:szCs w:val="16"/>
                <w:lang w:val="en-CA"/>
              </w:rPr>
              <w:t>Mean Age (SD) Cases</w:t>
            </w:r>
          </w:p>
        </w:tc>
        <w:tc>
          <w:tcPr>
            <w:tcW w:w="893" w:type="dxa"/>
            <w:tcBorders>
              <w:top w:val="single" w:sz="4" w:space="0" w:color="auto"/>
              <w:left w:val="double" w:sz="4" w:space="0" w:color="auto"/>
              <w:bottom w:val="thinThickSmallGap" w:sz="24" w:space="0" w:color="auto"/>
              <w:right w:val="nil"/>
            </w:tcBorders>
            <w:shd w:val="clear" w:color="auto" w:fill="D9D9D9"/>
            <w:vAlign w:val="center"/>
          </w:tcPr>
          <w:p w:rsidR="00B1258F" w:rsidRPr="00904FBC" w:rsidRDefault="00B1258F" w:rsidP="00904FBC">
            <w:pPr>
              <w:spacing w:after="0" w:line="240" w:lineRule="auto"/>
              <w:rPr>
                <w:b/>
                <w:sz w:val="16"/>
                <w:szCs w:val="16"/>
                <w:lang w:val="en-CA"/>
              </w:rPr>
            </w:pPr>
            <w:r w:rsidRPr="00904FBC">
              <w:rPr>
                <w:b/>
                <w:sz w:val="16"/>
                <w:szCs w:val="16"/>
                <w:lang w:val="en-CA"/>
              </w:rPr>
              <w:t>Mean Age (SD) Controls</w:t>
            </w:r>
          </w:p>
        </w:tc>
        <w:tc>
          <w:tcPr>
            <w:tcW w:w="785" w:type="dxa"/>
            <w:tcBorders>
              <w:top w:val="single" w:sz="4" w:space="0" w:color="auto"/>
              <w:left w:val="double" w:sz="4" w:space="0" w:color="auto"/>
              <w:bottom w:val="thinThickSmallGap" w:sz="24" w:space="0" w:color="auto"/>
              <w:right w:val="nil"/>
            </w:tcBorders>
            <w:shd w:val="clear" w:color="auto" w:fill="D9D9D9"/>
            <w:vAlign w:val="center"/>
          </w:tcPr>
          <w:p w:rsidR="00B1258F" w:rsidRPr="00904FBC" w:rsidRDefault="00B1258F" w:rsidP="00904FBC">
            <w:pPr>
              <w:spacing w:after="0" w:line="240" w:lineRule="auto"/>
              <w:rPr>
                <w:b/>
                <w:sz w:val="16"/>
                <w:szCs w:val="16"/>
                <w:lang w:val="en-CA"/>
              </w:rPr>
            </w:pPr>
            <w:r w:rsidRPr="00904FBC">
              <w:rPr>
                <w:rFonts w:eastAsia="Times New Roman"/>
                <w:b/>
                <w:sz w:val="16"/>
                <w:szCs w:val="16"/>
                <w:lang w:val="en-CA"/>
              </w:rPr>
              <w:t>Sex (%) Female Cases</w:t>
            </w:r>
          </w:p>
        </w:tc>
        <w:tc>
          <w:tcPr>
            <w:tcW w:w="743" w:type="dxa"/>
            <w:tcBorders>
              <w:top w:val="single" w:sz="4" w:space="0" w:color="auto"/>
              <w:left w:val="double" w:sz="4" w:space="0" w:color="auto"/>
              <w:bottom w:val="thinThickSmallGap" w:sz="24" w:space="0" w:color="auto"/>
              <w:right w:val="nil"/>
            </w:tcBorders>
            <w:shd w:val="clear" w:color="auto" w:fill="D9D9D9"/>
            <w:vAlign w:val="center"/>
          </w:tcPr>
          <w:p w:rsidR="00B1258F" w:rsidRPr="00904FBC" w:rsidRDefault="00B1258F" w:rsidP="00904FBC">
            <w:pPr>
              <w:spacing w:after="0" w:line="240" w:lineRule="auto"/>
              <w:rPr>
                <w:b/>
                <w:sz w:val="16"/>
                <w:szCs w:val="16"/>
                <w:lang w:val="en-CA"/>
              </w:rPr>
            </w:pPr>
            <w:r w:rsidRPr="00904FBC">
              <w:rPr>
                <w:rFonts w:eastAsia="Times New Roman"/>
                <w:b/>
                <w:sz w:val="16"/>
                <w:szCs w:val="16"/>
                <w:lang w:val="en-CA"/>
              </w:rPr>
              <w:t>Sex (%) Female Controls</w:t>
            </w:r>
          </w:p>
        </w:tc>
        <w:tc>
          <w:tcPr>
            <w:tcW w:w="1002" w:type="dxa"/>
            <w:tcBorders>
              <w:top w:val="single" w:sz="4" w:space="0" w:color="auto"/>
              <w:left w:val="double" w:sz="4" w:space="0" w:color="auto"/>
              <w:bottom w:val="thinThickSmallGap" w:sz="24" w:space="0" w:color="auto"/>
              <w:right w:val="nil"/>
            </w:tcBorders>
            <w:shd w:val="clear" w:color="auto" w:fill="D9D9D9"/>
            <w:vAlign w:val="center"/>
          </w:tcPr>
          <w:p w:rsidR="00B1258F" w:rsidRPr="00904FBC" w:rsidRDefault="00B1258F" w:rsidP="00904FBC">
            <w:pPr>
              <w:spacing w:after="0" w:line="240" w:lineRule="auto"/>
              <w:rPr>
                <w:rFonts w:eastAsia="Times New Roman"/>
                <w:b/>
                <w:sz w:val="16"/>
                <w:szCs w:val="16"/>
                <w:lang w:val="en-CA"/>
              </w:rPr>
            </w:pPr>
            <w:r w:rsidRPr="00904FBC">
              <w:rPr>
                <w:rFonts w:eastAsia="Times New Roman"/>
                <w:b/>
                <w:sz w:val="16"/>
                <w:szCs w:val="16"/>
                <w:lang w:val="en-CA"/>
              </w:rPr>
              <w:t>Most Common Infection Cases (Enzyme-Bacteria)</w:t>
            </w:r>
          </w:p>
        </w:tc>
        <w:tc>
          <w:tcPr>
            <w:tcW w:w="1027" w:type="dxa"/>
            <w:tcBorders>
              <w:top w:val="single" w:sz="4" w:space="0" w:color="auto"/>
              <w:left w:val="double" w:sz="4" w:space="0" w:color="auto"/>
              <w:bottom w:val="thinThickSmallGap" w:sz="24" w:space="0" w:color="auto"/>
              <w:right w:val="double" w:sz="4" w:space="0" w:color="auto"/>
            </w:tcBorders>
            <w:shd w:val="clear" w:color="auto" w:fill="D9D9D9"/>
            <w:vAlign w:val="center"/>
          </w:tcPr>
          <w:p w:rsidR="00B1258F" w:rsidRPr="00904FBC" w:rsidRDefault="00B1258F" w:rsidP="00904FBC">
            <w:pPr>
              <w:spacing w:after="0" w:line="240" w:lineRule="auto"/>
              <w:rPr>
                <w:rFonts w:eastAsia="Times New Roman"/>
                <w:b/>
                <w:sz w:val="16"/>
                <w:szCs w:val="16"/>
                <w:lang w:val="en-CA"/>
              </w:rPr>
            </w:pPr>
            <w:r w:rsidRPr="00904FBC">
              <w:rPr>
                <w:rFonts w:eastAsia="Times New Roman"/>
                <w:b/>
                <w:sz w:val="16"/>
                <w:szCs w:val="16"/>
                <w:lang w:val="en-CA"/>
              </w:rPr>
              <w:t>Control Group Definition</w:t>
            </w:r>
          </w:p>
        </w:tc>
        <w:tc>
          <w:tcPr>
            <w:tcW w:w="1661" w:type="dxa"/>
            <w:tcBorders>
              <w:top w:val="single" w:sz="4" w:space="0" w:color="auto"/>
              <w:left w:val="double" w:sz="4" w:space="0" w:color="auto"/>
              <w:bottom w:val="thinThickSmallGap" w:sz="24" w:space="0" w:color="auto"/>
              <w:right w:val="single" w:sz="4" w:space="0" w:color="auto"/>
            </w:tcBorders>
            <w:shd w:val="clear" w:color="auto" w:fill="D9D9D9"/>
            <w:vAlign w:val="center"/>
          </w:tcPr>
          <w:p w:rsidR="00B1258F" w:rsidRPr="00904FBC" w:rsidRDefault="00B1258F" w:rsidP="00904FBC">
            <w:pPr>
              <w:spacing w:after="0" w:line="240" w:lineRule="auto"/>
              <w:rPr>
                <w:rFonts w:eastAsia="Times New Roman"/>
                <w:b/>
                <w:sz w:val="16"/>
                <w:szCs w:val="16"/>
                <w:lang w:val="en-CA"/>
              </w:rPr>
            </w:pPr>
            <w:r w:rsidRPr="00904FBC">
              <w:rPr>
                <w:rFonts w:eastAsia="Times New Roman"/>
                <w:b/>
                <w:sz w:val="16"/>
                <w:szCs w:val="16"/>
                <w:lang w:val="en-CA"/>
              </w:rPr>
              <w:t>Main Comorbidities (%)</w:t>
            </w:r>
          </w:p>
        </w:tc>
      </w:tr>
      <w:tr w:rsidR="00B1258F" w:rsidRPr="00904FBC" w:rsidTr="00904FBC">
        <w:trPr>
          <w:trHeight w:val="7"/>
        </w:trPr>
        <w:tc>
          <w:tcPr>
            <w:tcW w:w="1008" w:type="dxa"/>
            <w:tcBorders>
              <w:top w:val="thinThickSmallGap" w:sz="24" w:space="0" w:color="auto"/>
              <w:left w:val="sing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Ben-David et al. 2012</w:t>
            </w:r>
            <w:r w:rsidRPr="00904FBC">
              <w:rPr>
                <w:sz w:val="16"/>
                <w:szCs w:val="16"/>
                <w:lang w:val="en-CA"/>
              </w:rPr>
              <w:fldChar w:fldCharType="begin" w:fldLock="1"/>
            </w:r>
            <w:r w:rsidRPr="00904FBC">
              <w:rPr>
                <w:sz w:val="16"/>
                <w:szCs w:val="16"/>
                <w:lang w:val="en-CA"/>
              </w:rPr>
              <w:instrText>ADDIN CSL_CITATION {"citationItems":[{"id":"ITEM-1","itemData":{"DOI":"10.1111/j.1469-0691.2011.03478.x","ISBN":"1469-0691 (Electronic)\\n1198-743X (Linking)","ISSN":"14690691","PMID":"21722257","abstract":"The aim of this study was to evaluate the impact of carbapenem-resistant K. pneumoniae bloodstream infections on mortality. During the study period 42, 68 and 120 patients were identified with carbapenem-resistant, extended-spectrum b-lactamase producers (ESBL) and susceptible K. pneumoniae bloodstream infections, respectively. Patients with carbapenem-resistant K. pneumoniae had higher rates of prior antimicrobial exposure, other nosocomial infections, and use of invasive devices. Infection-related mortality was 48% for carba-penem-resistant, 22% for ESBL producers and 17% for susceptible K. pneumoniae. Independent risk factors for infection-related mortality were Pitt bacteraemia score, Charlson score and carbapenem resistance.","author":[{"dropping-particle":"","family":"Ben-David","given":"D.","non-dropping-particle":"","parse-names":false,"suffix":""},{"dropping-particle":"","family":"Kordevani","given":"R.","non-dropping-particle":"","parse-names":false,"suffix":""},{"dropping-particle":"","family":"Keller","given":"N.","non-dropping-particle":"","parse-names":false,"suffix":""},{"dropping-particle":"","family":"Tal","given":"I.","non-dropping-particle":"","parse-names":false,"suffix":""},{"dropping-particle":"","family":"Marzel","given":"A.","non-dropping-particle":"","parse-names":false,"suffix":""},{"dropping-particle":"","family":"Gal-Mor","given":"O.","non-dropping-particle":"","parse-names":false,"suffix":""},{"dropping-particle":"","family":"Maor","given":"Y.","non-dropping-particle":"","parse-names":false,"suffix":""},{"dropping-particle":"","family":"Rahav","given":"G.","non-dropping-particle":"","parse-names":false,"suffix":""}],"container-title":"Clinical Microbiology and Infection","id":"ITEM-1","issue":"1","issued":{"date-parts":[["2012"]]},"page":"54-60","publisher":"European Society of Clinical Infectious Diseases","title":"Outcome of carbapenem resistant Klebsiella pneumoniae bloodstream infections","type":"article-journal","volume":"18"},"uris":["http://www.mendeley.com/documents/?uuid=cfc2f597-6823-41b8-8ee6-f24676d8e5f7"]}],"mendeley":{"formattedCitation":"&lt;sup&gt;28&lt;/sup&gt;","plainTextFormattedCitation":"28","previouslyFormattedCitation":"&lt;sup&gt;28&lt;/sup&gt;"},"properties":{"noteIndex":0},"schema":"https://github.com/citation-style-language/schema/raw/master/csl-citation.json"}</w:instrText>
            </w:r>
            <w:r w:rsidRPr="00904FBC">
              <w:rPr>
                <w:sz w:val="16"/>
                <w:szCs w:val="16"/>
                <w:lang w:val="en-CA"/>
              </w:rPr>
              <w:fldChar w:fldCharType="separate"/>
            </w:r>
            <w:r w:rsidRPr="00904FBC">
              <w:rPr>
                <w:noProof/>
                <w:sz w:val="16"/>
                <w:szCs w:val="16"/>
                <w:vertAlign w:val="superscript"/>
                <w:lang w:val="en-CA"/>
              </w:rPr>
              <w:t>28</w:t>
            </w:r>
            <w:r w:rsidRPr="00904FBC">
              <w:rPr>
                <w:sz w:val="16"/>
                <w:szCs w:val="16"/>
                <w:lang w:val="en-CA"/>
              </w:rPr>
              <w:fldChar w:fldCharType="end"/>
            </w:r>
          </w:p>
        </w:tc>
        <w:tc>
          <w:tcPr>
            <w:tcW w:w="990" w:type="dxa"/>
            <w:tcBorders>
              <w:top w:val="thinThickSmallGap" w:sz="24" w:space="0" w:color="auto"/>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Israel</w:t>
            </w:r>
          </w:p>
        </w:tc>
        <w:tc>
          <w:tcPr>
            <w:tcW w:w="1170" w:type="dxa"/>
            <w:tcBorders>
              <w:top w:val="thinThickSmallGap" w:sz="24" w:space="0" w:color="auto"/>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Retrospective Cohort</w:t>
            </w:r>
          </w:p>
        </w:tc>
        <w:tc>
          <w:tcPr>
            <w:tcW w:w="1260" w:type="dxa"/>
            <w:tcBorders>
              <w:top w:val="thinThickSmallGap" w:sz="24" w:space="0" w:color="auto"/>
              <w:left w:val="double" w:sz="4" w:space="0" w:color="auto"/>
              <w:right w:val="nil"/>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Sheba University-Affiliated Medical Tertiary Center</w:t>
            </w:r>
          </w:p>
        </w:tc>
        <w:tc>
          <w:tcPr>
            <w:tcW w:w="745" w:type="dxa"/>
            <w:tcBorders>
              <w:top w:val="thinThickSmallGap" w:sz="24" w:space="0" w:color="auto"/>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42</w:t>
            </w:r>
          </w:p>
        </w:tc>
        <w:tc>
          <w:tcPr>
            <w:tcW w:w="892" w:type="dxa"/>
            <w:tcBorders>
              <w:top w:val="thinThickSmallGap" w:sz="24" w:space="0" w:color="auto"/>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150</w:t>
            </w:r>
          </w:p>
        </w:tc>
        <w:tc>
          <w:tcPr>
            <w:tcW w:w="892" w:type="dxa"/>
            <w:tcBorders>
              <w:top w:val="thinThickSmallGap" w:sz="24" w:space="0" w:color="auto"/>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73 (IQR 27)</w:t>
            </w:r>
            <w:r w:rsidRPr="00904FBC">
              <w:rPr>
                <w:sz w:val="16"/>
                <w:szCs w:val="16"/>
                <w:vertAlign w:val="superscript"/>
                <w:lang w:val="en-CA"/>
              </w:rPr>
              <w:t>‡</w:t>
            </w:r>
          </w:p>
        </w:tc>
        <w:tc>
          <w:tcPr>
            <w:tcW w:w="893" w:type="dxa"/>
            <w:tcBorders>
              <w:top w:val="thinThickSmallGap" w:sz="24" w:space="0" w:color="auto"/>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C1 - 71 (IQR 28); C2 -  73 (IQR 22)</w:t>
            </w:r>
            <w:r w:rsidRPr="00904FBC">
              <w:rPr>
                <w:sz w:val="16"/>
                <w:szCs w:val="16"/>
                <w:vertAlign w:val="superscript"/>
                <w:lang w:val="en-CA"/>
              </w:rPr>
              <w:t>‡</w:t>
            </w:r>
          </w:p>
        </w:tc>
        <w:tc>
          <w:tcPr>
            <w:tcW w:w="785" w:type="dxa"/>
            <w:tcBorders>
              <w:top w:val="thinThickSmallGap" w:sz="24" w:space="0" w:color="auto"/>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33%</w:t>
            </w:r>
          </w:p>
        </w:tc>
        <w:tc>
          <w:tcPr>
            <w:tcW w:w="743" w:type="dxa"/>
            <w:tcBorders>
              <w:top w:val="thinThickSmallGap" w:sz="24" w:space="0" w:color="auto"/>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C1 - 43%; C2 - 46%</w:t>
            </w:r>
          </w:p>
        </w:tc>
        <w:tc>
          <w:tcPr>
            <w:tcW w:w="1002" w:type="dxa"/>
            <w:tcBorders>
              <w:top w:val="thinThickSmallGap" w:sz="24" w:space="0" w:color="auto"/>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BSI (KPC-KP)</w:t>
            </w:r>
          </w:p>
        </w:tc>
        <w:tc>
          <w:tcPr>
            <w:tcW w:w="1027" w:type="dxa"/>
            <w:tcBorders>
              <w:top w:val="thinThickSmallGap" w:sz="24" w:space="0" w:color="auto"/>
              <w:left w:val="double" w:sz="4" w:space="0" w:color="auto"/>
              <w:right w:val="doub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C1 – CS-KP (n=85); C2 - ESBL-KP (n=65)</w:t>
            </w:r>
          </w:p>
        </w:tc>
        <w:tc>
          <w:tcPr>
            <w:tcW w:w="1661" w:type="dxa"/>
            <w:tcBorders>
              <w:top w:val="thinThickSmallGap" w:sz="24" w:space="0" w:color="auto"/>
              <w:left w:val="double" w:sz="4" w:space="0" w:color="auto"/>
              <w:right w:val="sing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Cases - Chronic Renal Failure (39%); SKP, Malignancy (42%); ESBLKP, Malignancy, Diabetes Mellitus and Stroke (33%)</w:t>
            </w:r>
          </w:p>
        </w:tc>
      </w:tr>
      <w:tr w:rsidR="00B1258F" w:rsidRPr="00904FBC" w:rsidTr="00904FBC">
        <w:trPr>
          <w:trHeight w:val="7"/>
        </w:trPr>
        <w:tc>
          <w:tcPr>
            <w:tcW w:w="1008" w:type="dxa"/>
            <w:tcBorders>
              <w:left w:val="sing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Daikos et al. 2009</w:t>
            </w:r>
            <w:r w:rsidRPr="00904FBC">
              <w:rPr>
                <w:sz w:val="16"/>
                <w:szCs w:val="16"/>
                <w:lang w:val="en-CA"/>
              </w:rPr>
              <w:fldChar w:fldCharType="begin" w:fldLock="1"/>
            </w:r>
            <w:r w:rsidRPr="00904FBC">
              <w:rPr>
                <w:sz w:val="16"/>
                <w:szCs w:val="16"/>
                <w:lang w:val="en-CA"/>
              </w:rPr>
              <w:instrText>ADDIN CSL_CITATION {"citationItems":[{"id":"ITEM-1","itemData":{"DOI":"10.1128/AAC.00782-08","ISBN":"0066-4804\\r1098-6596","ISSN":"00664804","abstract":"VIM-1-producing Klebsiella pneumoniae (VPKP) is an emerging pathogen. A prospective observational study was conducted to evaluate the importance of VIM production on outcome of patients with K. pneumoniae bloodstream infections (BSIs). Consecutive patients with K. pneumoniae BSIs were identified and followed up until patient discharge or death. A total of 162 patients were included in the analysis; 67 (41.4%) were infected with VPKP, and 95 were infected with non-VPKP. Fourteen of the patients infected with VPKP were carbapenem resistant (Carbr) (MIC &gt; 4 μg/ml), whereas none of the non-VPKP exhibited carbapenem resistance. The patients infected with a Carbr organism were more likely (odds ratio, 4.08; 95% confidence interval [CI], 1.29 to 12.85; P = 0.02) to receive inappropriate empirical therapy. The all-cause 14-day mortality rates were 15.8% (15 of 95) for patients infected with VIM-negative organisms, 18.9% (10 of 53) for those infected with VIM-positive carbapenem-susceptible organisms, and 42.9% (6 of 14) for those infected with VIM-positive Carbr organisms (P = 0.044). In Cox regression analysis, age (hazard ratio [HR], 1.03; 95% CI, 1.01 to 1.06; P = 0.021), rapidly fatal underlying disease (HR, 2.84; 95% CI, 1.26 to 6.39; P = 0.012), and carbapenem resistance (HR, 2.83; 95% CI, 1.08 to 7.41; P = 0.035) were independent predictors of death. After adjustment for inappropriate empirical or definitive therapy, the effect of carbapenem resistance on outcome was reduced to a level of nonsignificance. In patients with K. pneumoniae BSIs, carbapenem resistance, advanced, age, and severity of underlying disease were independent predictors of outcome, whereas VIM production had no effect on mortality. The higher mortality associated with carbapenem resistance was probably mediated by the failure to provide effective therapy. Copyright © 2009, American Society for Microbiology. All Rights Reserved.","author":[{"dropping-particle":"","family":"Daikos","given":"George L.","non-dropping-particle":"","parse-names":false,"suffix":""},{"dropping-particle":"","family":"Petrikkos","given":"Panayiotis","non-dropping-particle":"","parse-names":false,"suffix":""},{"dropping-particle":"","family":"Psichogiou","given":"Mina","non-dropping-particle":"","parse-names":false,"suffix":""},{"dropping-particle":"","family":"Kosmidis","given":"Chris","non-dropping-particle":"","parse-names":false,"suffix":""},{"dropping-particle":"","family":"Vryonis","given":"Evangelos","non-dropping-particle":"","parse-names":false,"suffix":""},{"dropping-particle":"","family":"Skoutelis","given":"Athanasios","non-dropping-particle":"","parse-names":false,"suffix":""},{"dropping-particle":"","family":"Georgousi","given":"Kleoniki","non-dropping-particle":"","parse-names":false,"suffix":""},{"dropping-particle":"","family":"Tzouvelekis","given":"Leonidas S.","non-dropping-particle":"","parse-names":false,"suffix":""},{"dropping-particle":"","family":"Tassios","given":"Panayotis T.","non-dropping-particle":"","parse-names":false,"suffix":""},{"dropping-particle":"","family":"Bamia","given":"Christina","non-dropping-particle":"","parse-names":false,"suffix":""},{"dropping-particle":"","family":"Petrikkos","given":"George","non-dropping-particle":"","parse-names":false,"suffix":""}],"container-title":"Antimicrobial Agents and Chemotherapy","id":"ITEM-1","issue":"5","issued":{"date-parts":[["2009"]]},"page":"1868-1873","title":"Prospective observational study of the impact of VIM-1 metallo-β- lactamase on the outcome of patients with Kebsiella pneumoniae bloodstream infections","type":"article-journal","volume":"53"},"uris":["http://www.mendeley.com/documents/?uuid=bbfa8f34-09d3-49a7-8d38-9602253a97d3"]}],"mendeley":{"formattedCitation":"&lt;sup&gt;21&lt;/sup&gt;","plainTextFormattedCitation":"21","previouslyFormattedCitation":"&lt;sup&gt;21&lt;/sup&gt;"},"properties":{"noteIndex":0},"schema":"https://github.com/citation-style-language/schema/raw/master/csl-citation.json"}</w:instrText>
            </w:r>
            <w:r w:rsidRPr="00904FBC">
              <w:rPr>
                <w:sz w:val="16"/>
                <w:szCs w:val="16"/>
                <w:lang w:val="en-CA"/>
              </w:rPr>
              <w:fldChar w:fldCharType="separate"/>
            </w:r>
            <w:r w:rsidRPr="00904FBC">
              <w:rPr>
                <w:noProof/>
                <w:sz w:val="16"/>
                <w:szCs w:val="16"/>
                <w:vertAlign w:val="superscript"/>
                <w:lang w:val="en-CA"/>
              </w:rPr>
              <w:t>21</w:t>
            </w:r>
            <w:r w:rsidRPr="00904FBC">
              <w:rPr>
                <w:sz w:val="16"/>
                <w:szCs w:val="16"/>
                <w:lang w:val="en-CA"/>
              </w:rPr>
              <w:fldChar w:fldCharType="end"/>
            </w:r>
          </w:p>
        </w:tc>
        <w:tc>
          <w:tcPr>
            <w:tcW w:w="99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Greece</w:t>
            </w:r>
          </w:p>
        </w:tc>
        <w:tc>
          <w:tcPr>
            <w:tcW w:w="117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Prospective Cohort</w:t>
            </w:r>
          </w:p>
        </w:tc>
        <w:tc>
          <w:tcPr>
            <w:tcW w:w="1260" w:type="dxa"/>
            <w:tcBorders>
              <w:left w:val="double" w:sz="4" w:space="0" w:color="auto"/>
              <w:right w:val="nil"/>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Three Tertiary-Care</w:t>
            </w:r>
            <w:r w:rsidRPr="00904FBC">
              <w:rPr>
                <w:sz w:val="16"/>
                <w:szCs w:val="16"/>
                <w:lang w:val="en-CA"/>
              </w:rPr>
              <w:br/>
              <w:t>Hospitals</w:t>
            </w:r>
          </w:p>
        </w:tc>
        <w:tc>
          <w:tcPr>
            <w:tcW w:w="74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14</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148</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NR</w:t>
            </w:r>
            <w:r w:rsidRPr="00904FBC">
              <w:rPr>
                <w:sz w:val="16"/>
                <w:szCs w:val="16"/>
                <w:vertAlign w:val="superscript"/>
                <w:lang w:val="en-CA"/>
              </w:rPr>
              <w:t>†</w:t>
            </w:r>
            <w:r w:rsidRPr="00904FBC">
              <w:rPr>
                <w:sz w:val="16"/>
                <w:szCs w:val="16"/>
                <w:lang w:val="en-CA"/>
              </w:rPr>
              <w:t xml:space="preserve"> </w:t>
            </w:r>
          </w:p>
          <w:p w:rsidR="00B1258F" w:rsidRPr="00904FBC" w:rsidRDefault="00B1258F" w:rsidP="00904FBC">
            <w:pPr>
              <w:spacing w:after="0" w:line="240" w:lineRule="auto"/>
              <w:rPr>
                <w:sz w:val="16"/>
                <w:szCs w:val="16"/>
                <w:lang w:val="en-CA"/>
              </w:rPr>
            </w:pPr>
          </w:p>
        </w:tc>
        <w:tc>
          <w:tcPr>
            <w:tcW w:w="89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NR</w:t>
            </w:r>
            <w:r w:rsidRPr="00904FBC">
              <w:rPr>
                <w:sz w:val="16"/>
                <w:szCs w:val="16"/>
                <w:vertAlign w:val="superscript"/>
                <w:lang w:val="en-CA"/>
              </w:rPr>
              <w:t>†</w:t>
            </w:r>
          </w:p>
        </w:tc>
        <w:tc>
          <w:tcPr>
            <w:tcW w:w="78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NR</w:t>
            </w:r>
            <w:r w:rsidRPr="00904FBC">
              <w:rPr>
                <w:sz w:val="16"/>
                <w:szCs w:val="16"/>
                <w:vertAlign w:val="superscript"/>
                <w:lang w:val="en-CA"/>
              </w:rPr>
              <w:t>†</w:t>
            </w:r>
          </w:p>
        </w:tc>
        <w:tc>
          <w:tcPr>
            <w:tcW w:w="74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NR</w:t>
            </w:r>
            <w:r w:rsidRPr="00904FBC">
              <w:rPr>
                <w:sz w:val="16"/>
                <w:szCs w:val="16"/>
                <w:vertAlign w:val="superscript"/>
                <w:lang w:val="en-CA"/>
              </w:rPr>
              <w:t>†</w:t>
            </w:r>
          </w:p>
        </w:tc>
        <w:tc>
          <w:tcPr>
            <w:tcW w:w="100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BSI (VIM-KP)</w:t>
            </w:r>
          </w:p>
        </w:tc>
        <w:tc>
          <w:tcPr>
            <w:tcW w:w="1027" w:type="dxa"/>
            <w:tcBorders>
              <w:left w:val="double" w:sz="4" w:space="0" w:color="auto"/>
              <w:right w:val="doub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C1 – VIM (-) (n=95); C2 – VIM (+) CS (n=53)</w:t>
            </w:r>
          </w:p>
        </w:tc>
        <w:tc>
          <w:tcPr>
            <w:tcW w:w="1661" w:type="dxa"/>
            <w:tcBorders>
              <w:left w:val="double" w:sz="4" w:space="0" w:color="auto"/>
              <w:right w:val="sing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NR</w:t>
            </w:r>
            <w:r w:rsidRPr="00904FBC">
              <w:rPr>
                <w:sz w:val="16"/>
                <w:szCs w:val="16"/>
                <w:vertAlign w:val="superscript"/>
                <w:lang w:val="en-CA"/>
              </w:rPr>
              <w:t>†</w:t>
            </w:r>
          </w:p>
        </w:tc>
      </w:tr>
      <w:tr w:rsidR="00B1258F" w:rsidRPr="00904FBC" w:rsidTr="00904FBC">
        <w:trPr>
          <w:trHeight w:val="7"/>
        </w:trPr>
        <w:tc>
          <w:tcPr>
            <w:tcW w:w="1008" w:type="dxa"/>
            <w:tcBorders>
              <w:left w:val="sing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Falcone et al. 2009</w:t>
            </w:r>
            <w:r w:rsidRPr="00904FBC">
              <w:rPr>
                <w:sz w:val="16"/>
                <w:szCs w:val="16"/>
                <w:lang w:val="en-CA"/>
              </w:rPr>
              <w:fldChar w:fldCharType="begin" w:fldLock="1"/>
            </w:r>
            <w:r w:rsidRPr="00904FBC">
              <w:rPr>
                <w:sz w:val="16"/>
                <w:szCs w:val="16"/>
                <w:lang w:val="en-CA"/>
              </w:rPr>
              <w:instrText>ADDIN CSL_CITATION {"citationItems":[{"id":"ITEM-1","itemData":{"DOI":"10.1128/JCM.01193-09","ISSN":"00951137","PMID":"19741074","abstract":"The aim of this study was to ascertain the incidence and clinical significance of metallo-β-lactamases among Enterobacter strains isolated from patients with nosocomial infections. We prospectively collected data on patients with Enterobacter infection during a 13-month period. All of the strains were investigated for antibiotic susceptibility, the presence and expression of metallo-β-lactamases, and clonality. Of 29 infections (11 involving the urinary tract, 7 pneumonias, 3 skin/soft tissue infections, 3 intra-abdominal infections, 3 bacteremias, and 2 other infections), 7 (24%) were caused by Enterobacter cloacae strains harboring a bla VIM-1 gene associated or not with a bla SHV12 gene. Infections caused by VIM-1-producing strains were more frequently associated with a recent prior hospitalization (P = 0.006), cirrhosis (P = 0.03), relapse of infection (P &lt; 0.001), and more prolonged duration of antibiotic therapy (P = 0.01) than were other infections. All of the isolates were susceptible to imipenem and meropenem and had bla VIM-1 preceded by a weak P1 promoter and inactivated P2 promoters. Most VIM-1-producing Enterobacter isolates belonged to a main clone, but four different clones were found. Multiclonal VIM-1-producing E. cloacae infections are difficult to diagnose due to an apparent susceptibility to various beta-lactams, including carbapenems, and are associated with a high relapse rate and a more prolonged duration of antibiotic therapy.","author":[{"dropping-particle":"","family":"Falcone","given":"Marco","non-dropping-particle":"","parse-names":false,"suffix":""},{"dropping-particle":"","family":"Mezzatesta","given":"Maria Lina","non-dropping-particle":"","parse-names":false,"suffix":""},{"dropping-particle":"","family":"Perilli","given":"Mariagrazia","non-dropping-particle":"","parse-names":false,"suffix":""},{"dropping-particle":"","family":"Forcella","given":"Chiara","non-dropping-particle":"","parse-names":false,"suffix":""},{"dropping-particle":"","family":"Giordano","given":"Alessandra","non-dropping-particle":"","parse-names":false,"suffix":""},{"dropping-particle":"","family":"Cafiso","given":"Viviana","non-dropping-particle":"","parse-names":false,"suffix":""},{"dropping-particle":"","family":"Amicosante","given":"Gianfranco","non-dropping-particle":"","parse-names":false,"suffix":""},{"dropping-particle":"","family":"Stefani","given":"Stefania","non-dropping-particle":"","parse-names":false,"suffix":""},{"dropping-particle":"","family":"Venditti","given":"Mario","non-dropping-particle":"","parse-names":false,"suffix":""}],"container-title":"Journal of Clinical Microbiology","id":"ITEM-1","issue":"11","issued":{"date-parts":[["2009"]]},"page":"3514-3519","title":"Infections with VIM-1 metallo-β-lactamase-producing Enterobacter cloacae and their correlation with clinical outcome","type":"article-journal","volume":"47"},"uris":["http://www.mendeley.com/documents/?uuid=41b2cd5e-512b-4cfe-80f9-f945bc986919"]}],"mendeley":{"formattedCitation":"&lt;sup&gt;22&lt;/sup&gt;","plainTextFormattedCitation":"22","previouslyFormattedCitation":"&lt;sup&gt;22&lt;/sup&gt;"},"properties":{"noteIndex":0},"schema":"https://github.com/citation-style-language/schema/raw/master/csl-citation.json"}</w:instrText>
            </w:r>
            <w:r w:rsidRPr="00904FBC">
              <w:rPr>
                <w:sz w:val="16"/>
                <w:szCs w:val="16"/>
                <w:lang w:val="en-CA"/>
              </w:rPr>
              <w:fldChar w:fldCharType="separate"/>
            </w:r>
            <w:r w:rsidRPr="00904FBC">
              <w:rPr>
                <w:noProof/>
                <w:sz w:val="16"/>
                <w:szCs w:val="16"/>
                <w:vertAlign w:val="superscript"/>
                <w:lang w:val="en-CA"/>
              </w:rPr>
              <w:t>22</w:t>
            </w:r>
            <w:r w:rsidRPr="00904FBC">
              <w:rPr>
                <w:sz w:val="16"/>
                <w:szCs w:val="16"/>
                <w:lang w:val="en-CA"/>
              </w:rPr>
              <w:fldChar w:fldCharType="end"/>
            </w:r>
          </w:p>
        </w:tc>
        <w:tc>
          <w:tcPr>
            <w:tcW w:w="99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Italy</w:t>
            </w:r>
          </w:p>
        </w:tc>
        <w:tc>
          <w:tcPr>
            <w:tcW w:w="117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Prospective Cohort</w:t>
            </w:r>
          </w:p>
        </w:tc>
        <w:tc>
          <w:tcPr>
            <w:tcW w:w="1260" w:type="dxa"/>
            <w:tcBorders>
              <w:left w:val="double" w:sz="4" w:space="0" w:color="auto"/>
              <w:right w:val="nil"/>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University Hospital Umberto I</w:t>
            </w:r>
          </w:p>
        </w:tc>
        <w:tc>
          <w:tcPr>
            <w:tcW w:w="74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7</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22</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 xml:space="preserve"> 68 (49–79)</w:t>
            </w:r>
            <w:r w:rsidRPr="00904FBC">
              <w:rPr>
                <w:sz w:val="16"/>
                <w:szCs w:val="16"/>
                <w:vertAlign w:val="superscript"/>
                <w:lang w:val="en-CA"/>
              </w:rPr>
              <w:t xml:space="preserve"> ‡</w:t>
            </w:r>
          </w:p>
        </w:tc>
        <w:tc>
          <w:tcPr>
            <w:tcW w:w="89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61.5 (20–81)</w:t>
            </w:r>
            <w:r w:rsidRPr="00904FBC">
              <w:rPr>
                <w:sz w:val="16"/>
                <w:szCs w:val="16"/>
                <w:vertAlign w:val="superscript"/>
                <w:lang w:val="en-CA"/>
              </w:rPr>
              <w:t xml:space="preserve"> ‡</w:t>
            </w:r>
          </w:p>
        </w:tc>
        <w:tc>
          <w:tcPr>
            <w:tcW w:w="78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28.57%</w:t>
            </w:r>
          </w:p>
        </w:tc>
        <w:tc>
          <w:tcPr>
            <w:tcW w:w="74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31.82%</w:t>
            </w:r>
          </w:p>
        </w:tc>
        <w:tc>
          <w:tcPr>
            <w:tcW w:w="100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UTI (VIM-EC)</w:t>
            </w:r>
          </w:p>
        </w:tc>
        <w:tc>
          <w:tcPr>
            <w:tcW w:w="1027" w:type="dxa"/>
            <w:tcBorders>
              <w:left w:val="double" w:sz="4" w:space="0" w:color="auto"/>
              <w:right w:val="doub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VIM (-)</w:t>
            </w:r>
          </w:p>
        </w:tc>
        <w:tc>
          <w:tcPr>
            <w:tcW w:w="1661" w:type="dxa"/>
            <w:tcBorders>
              <w:left w:val="double" w:sz="4" w:space="0" w:color="auto"/>
              <w:right w:val="sing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Cases - Cirrhosis (42.8%) and Neoplasm (42.8%); Controls - Neoplasm (36.3%)</w:t>
            </w:r>
          </w:p>
        </w:tc>
      </w:tr>
      <w:tr w:rsidR="00B1258F" w:rsidRPr="00904FBC" w:rsidTr="00904FBC">
        <w:trPr>
          <w:trHeight w:val="7"/>
        </w:trPr>
        <w:tc>
          <w:tcPr>
            <w:tcW w:w="1008" w:type="dxa"/>
            <w:tcBorders>
              <w:left w:val="sing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Fraenkel-Wandel et al. 2016</w:t>
            </w:r>
            <w:r w:rsidRPr="00904FBC">
              <w:rPr>
                <w:sz w:val="16"/>
                <w:szCs w:val="16"/>
                <w:lang w:val="en-CA"/>
              </w:rPr>
              <w:fldChar w:fldCharType="begin" w:fldLock="1"/>
            </w:r>
            <w:r w:rsidRPr="00904FBC">
              <w:rPr>
                <w:sz w:val="16"/>
                <w:szCs w:val="16"/>
                <w:lang w:val="en-CA"/>
              </w:rPr>
              <w:instrText>ADDIN CSL_CITATION {"citationItems":[{"id":"ITEM-1","itemData":{"DOI":"10.1093/jac/dkv414","abstract":"OBJECTIVES To determine the mortality rate secondary to blaKPC Klebsiella pneumoniae (KPC/Kp) bacteraemia, compared with that from ESBL-producing K. pneumoniae (ESBL/Kp) bacteraemia, and to determine associated risk factors. METHODS This was a retrospective case-control study of all 68 KPC/Kp bacteraemia patients diagnosed since 2006, matched by year of isolation, gender and age, at a ratio of 1:2, to 136 ESBL/Kp bacteraemia patients. RESULTS There were no demographic differences between the two groups, but there were minor clinical differences. Fewer KPC/Kp study patients than ESBL/Kp control patients had a systolic blood pressure &lt;90 mmHg (32/68, 47% versus 86/136, 63%, respectively, P = 0.02) or urinary catheterization (32/68, 47% versus 90/136, 66%, respectively, P = 0.005), while the KPC/Kp bacteraemia group had a greater incidence of acute renal failure (45/68, 66% versus 67/136, 49%, respectively, P = 0.02). There was no difference between the two groups in duration of hospitalization. The mortality rate of the KPC/Kp bacteraemia group was 44/68 (65%) compared with 54/136 (40%) in the ESBL/Kp bacteraemia control group (P = 0.008), which in the multivariate analysis remained highly significant (P &lt; 0.001). Only 11/68 (16%) of KPC/Kp patients were functionally independent at discharge compared with 43/136 (32%) ESBL/Kp patients (P = 0.012). CONCLUSIONS The selection of an ESBL/Kp control cohort with a ratio of 1:2 (study versus control group) helped resolve an as yet insufficiently settled question: bacteraemia with KPC/Kp is an independent risk factor for death, justifying the strict adherence to cohorting and isolation procedures.","author":[{"dropping-particle":"","family":"Fraenkel-Wandel","given":"Yedidah","non-dropping-particle":"","parse-names":false,"suffix":""},{"dropping-particle":"","family":"Raveh-Brawer","given":"David","non-dropping-particle":"","parse-names":false,"suffix":""},{"dropping-particle":"","family":"Wiener-Well","given":"Yonit","non-dropping-particle":"","parse-names":false,"suffix":""},{"dropping-particle":"","family":"Yinnon","given":"Amos M.","non-dropping-particle":"","parse-names":false,"suffix":""},{"dropping-particle":"V.","family":"Assous","given":"Marc","non-dropping-particle":"","parse-names":false,"suffix":""}],"container-title":"Journal of Antimicrobial Chemotherapy","id":"ITEM-1","issued":{"date-parts":[["2016"]]},"page":"1083-1087","title":"Mortality due to blaKPC Klebsiella pneumoniae bacteraemia","type":"article-journal","volume":"71"},"uris":["http://www.mendeley.com/documents/?uuid=dd057afc-de28-48fb-a901-75a2656e1367"]}],"mendeley":{"formattedCitation":"&lt;sup&gt;30&lt;/sup&gt;","plainTextFormattedCitation":"30","previouslyFormattedCitation":"&lt;sup&gt;30&lt;/sup&gt;"},"properties":{"noteIndex":0},"schema":"https://github.com/citation-style-language/schema/raw/master/csl-citation.json"}</w:instrText>
            </w:r>
            <w:r w:rsidRPr="00904FBC">
              <w:rPr>
                <w:sz w:val="16"/>
                <w:szCs w:val="16"/>
                <w:lang w:val="en-CA"/>
              </w:rPr>
              <w:fldChar w:fldCharType="separate"/>
            </w:r>
            <w:r w:rsidRPr="00904FBC">
              <w:rPr>
                <w:noProof/>
                <w:sz w:val="16"/>
                <w:szCs w:val="16"/>
                <w:vertAlign w:val="superscript"/>
                <w:lang w:val="en-CA"/>
              </w:rPr>
              <w:t>30</w:t>
            </w:r>
            <w:r w:rsidRPr="00904FBC">
              <w:rPr>
                <w:sz w:val="16"/>
                <w:szCs w:val="16"/>
                <w:lang w:val="en-CA"/>
              </w:rPr>
              <w:fldChar w:fldCharType="end"/>
            </w:r>
          </w:p>
        </w:tc>
        <w:tc>
          <w:tcPr>
            <w:tcW w:w="99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Israel</w:t>
            </w:r>
          </w:p>
        </w:tc>
        <w:tc>
          <w:tcPr>
            <w:tcW w:w="117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Matched Case-Control*</w:t>
            </w:r>
          </w:p>
        </w:tc>
        <w:tc>
          <w:tcPr>
            <w:tcW w:w="1260" w:type="dxa"/>
            <w:tcBorders>
              <w:left w:val="double" w:sz="4" w:space="0" w:color="auto"/>
              <w:right w:val="nil"/>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Shaare Zedek Medical Centre, University-Affiliated Hospital</w:t>
            </w:r>
          </w:p>
        </w:tc>
        <w:tc>
          <w:tcPr>
            <w:tcW w:w="74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68</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136</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73 (17)</w:t>
            </w:r>
          </w:p>
        </w:tc>
        <w:tc>
          <w:tcPr>
            <w:tcW w:w="89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72 (17)</w:t>
            </w:r>
          </w:p>
        </w:tc>
        <w:tc>
          <w:tcPr>
            <w:tcW w:w="78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46%</w:t>
            </w:r>
          </w:p>
        </w:tc>
        <w:tc>
          <w:tcPr>
            <w:tcW w:w="74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44%</w:t>
            </w:r>
          </w:p>
        </w:tc>
        <w:tc>
          <w:tcPr>
            <w:tcW w:w="100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BSI – Bacteremia (KPC-KP)</w:t>
            </w:r>
          </w:p>
        </w:tc>
        <w:tc>
          <w:tcPr>
            <w:tcW w:w="1027" w:type="dxa"/>
            <w:tcBorders>
              <w:left w:val="double" w:sz="4" w:space="0" w:color="auto"/>
              <w:right w:val="doub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CS ESBL-KP</w:t>
            </w:r>
          </w:p>
        </w:tc>
        <w:tc>
          <w:tcPr>
            <w:tcW w:w="1661" w:type="dxa"/>
            <w:tcBorders>
              <w:left w:val="double" w:sz="4" w:space="0" w:color="auto"/>
              <w:right w:val="sing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NA</w:t>
            </w:r>
          </w:p>
        </w:tc>
      </w:tr>
      <w:tr w:rsidR="00B1258F" w:rsidRPr="00904FBC" w:rsidTr="00904FBC">
        <w:trPr>
          <w:trHeight w:val="7"/>
        </w:trPr>
        <w:tc>
          <w:tcPr>
            <w:tcW w:w="1008" w:type="dxa"/>
            <w:tcBorders>
              <w:left w:val="sing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López-González et al. 2017</w:t>
            </w:r>
            <w:r w:rsidRPr="00904FBC">
              <w:rPr>
                <w:sz w:val="16"/>
                <w:szCs w:val="16"/>
                <w:lang w:val="en-CA"/>
              </w:rPr>
              <w:fldChar w:fldCharType="begin" w:fldLock="1"/>
            </w:r>
            <w:r w:rsidRPr="00904FBC">
              <w:rPr>
                <w:sz w:val="16"/>
                <w:szCs w:val="16"/>
                <w:lang w:val="en-CA"/>
              </w:rPr>
              <w:instrText>ADDIN CSL_CITATION {"citationItems":[{"id":"ITEM-1","itemData":{"abstract":"Objective. The aim of this study is to know epidemiologic and clinical differences among those patients colonized or infected by carbapenemase-producing Enterobacteriaceae (CPE) and develop a predictive model to facilitate the clinical approach concerning to start antimicrobial therapy. Methods. Observational retrospective cohort study was performed involving all patients with Urine carbapenemase- producing Enterobacteriaceae isolation (UCPEI) between November 2013 and July 2015. Patients were classifieds as colonized or infected considering Center for Disease Control and Prevention (CDC) definition for urinary tract infection (UTI). Results. A total of 72 patients were included, mean age 76.4 (IQR 23-99) years and 40 (55.6%) were women. Thirty-four (47.2%) were colonized and 38 (52.8%) met the criteria of UTI and were considered infected. The independent variables associated to infection were female sex, peripheral vascular disease, admission in medical ward, permanent urinary catheter carrier, previous antimicrobial therapy, and length of stay. Isolation of OXA-48 carbapenemase- producing Enterobacteriaceae behaved as a non UTI (colonization) factor in comparison with KPC or VIM CPE. The developed predictive model showed an area under the curve (AUC) of 0.901 (95% CI: 0.832-0.970; p &lt; 0.001). Conclusion. The predictive model that includes all this factors has demonstrated a good accuracy for infection diagnosis in these patients, an important issue considering that establishing the diagnosis of infection is not always easy in the profile of patients in which a CPE is isolated.Copyright © The Author 2017. Published by Sociedad Espanola de Quimioterapia. All rights reserved.","author":[{"dropping-particle":"","family":"Lopez-Gonzalez","given":"Laura","non-dropping-particle":"","parse-names":false,"suffix":""},{"dropping-particle":"","family":"Candel","given":"Francisco","non-dropping-particle":"","parse-names":false,"suffix":""},{"dropping-particle":"","family":"Vinuela-Prieto","given":"Jose","non-dropping-particle":"","parse-names":false,"suffix":""},{"dropping-particle":"","family":"Gonzalez-Del Castillo","given":"Juan","non-dropping-particle":"","parse-names":false,"suffix":""},{"dropping-particle":"","family":"Garcia","given":"Ana","non-dropping-particle":"","parse-names":false,"suffix":""},{"dropping-particle":"","family":"Pena","given":"Irene","non-dropping-particle":"","parse-names":false,"suffix":""},{"dropping-particle":"","family":"Rodriguez-Avail","given":"Iciar","non-dropping-particle":"","parse-names":false,"suffix":""}],"container-title":"Revista Espanola de Quimioterapia","id":"ITEM-1","issue":"6","issued":{"date-parts":[["2017"]]},"page":"450-457","title":"Useful independent factors for distinguish infection and colonization in patients with urinary carbapenemase-producing Enterobacteriaceae isolation","type":"article-journal","volume":"30"},"uris":["http://www.mendeley.com/documents/?uuid=3d965463-4211-4725-8a11-fec67539bf07"]}],"mendeley":{"formattedCitation":"&lt;sup&gt;31&lt;/sup&gt;","plainTextFormattedCitation":"31","previouslyFormattedCitation":"&lt;sup&gt;31&lt;/sup&gt;"},"properties":{"noteIndex":0},"schema":"https://github.com/citation-style-language/schema/raw/master/csl-citation.json"}</w:instrText>
            </w:r>
            <w:r w:rsidRPr="00904FBC">
              <w:rPr>
                <w:sz w:val="16"/>
                <w:szCs w:val="16"/>
                <w:lang w:val="en-CA"/>
              </w:rPr>
              <w:fldChar w:fldCharType="separate"/>
            </w:r>
            <w:r w:rsidRPr="00904FBC">
              <w:rPr>
                <w:noProof/>
                <w:sz w:val="16"/>
                <w:szCs w:val="16"/>
                <w:vertAlign w:val="superscript"/>
                <w:lang w:val="en-CA"/>
              </w:rPr>
              <w:t>31</w:t>
            </w:r>
            <w:r w:rsidRPr="00904FBC">
              <w:rPr>
                <w:sz w:val="16"/>
                <w:szCs w:val="16"/>
                <w:lang w:val="en-CA"/>
              </w:rPr>
              <w:fldChar w:fldCharType="end"/>
            </w:r>
          </w:p>
        </w:tc>
        <w:tc>
          <w:tcPr>
            <w:tcW w:w="99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Spain</w:t>
            </w:r>
          </w:p>
        </w:tc>
        <w:tc>
          <w:tcPr>
            <w:tcW w:w="117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Retrospective Cohort</w:t>
            </w:r>
          </w:p>
        </w:tc>
        <w:tc>
          <w:tcPr>
            <w:tcW w:w="1260" w:type="dxa"/>
            <w:tcBorders>
              <w:left w:val="double" w:sz="4" w:space="0" w:color="auto"/>
              <w:right w:val="nil"/>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Hospital Clínico San Carlos, Tertiary, Urban, Teaching Hospital</w:t>
            </w:r>
          </w:p>
        </w:tc>
        <w:tc>
          <w:tcPr>
            <w:tcW w:w="74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38</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34</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81.5 (69-84)</w:t>
            </w:r>
            <w:r w:rsidRPr="00904FBC">
              <w:rPr>
                <w:sz w:val="16"/>
                <w:szCs w:val="16"/>
                <w:vertAlign w:val="superscript"/>
                <w:lang w:val="en-CA"/>
              </w:rPr>
              <w:t xml:space="preserve"> ‡</w:t>
            </w:r>
          </w:p>
        </w:tc>
        <w:tc>
          <w:tcPr>
            <w:tcW w:w="89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80 (68-85)</w:t>
            </w:r>
            <w:r w:rsidRPr="00904FBC">
              <w:rPr>
                <w:sz w:val="16"/>
                <w:szCs w:val="16"/>
                <w:vertAlign w:val="superscript"/>
                <w:lang w:val="en-CA"/>
              </w:rPr>
              <w:t xml:space="preserve"> ‡</w:t>
            </w:r>
          </w:p>
        </w:tc>
        <w:tc>
          <w:tcPr>
            <w:tcW w:w="78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65.8%</w:t>
            </w:r>
          </w:p>
        </w:tc>
        <w:tc>
          <w:tcPr>
            <w:tcW w:w="74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44.1%</w:t>
            </w:r>
          </w:p>
        </w:tc>
        <w:tc>
          <w:tcPr>
            <w:tcW w:w="100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UTI (KPC, n=17 ; OXA, n=13 – 81% KP and 10% EC)</w:t>
            </w:r>
          </w:p>
        </w:tc>
        <w:tc>
          <w:tcPr>
            <w:tcW w:w="1027" w:type="dxa"/>
            <w:tcBorders>
              <w:left w:val="double" w:sz="4" w:space="0" w:color="auto"/>
              <w:right w:val="doub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Colonized with CPE</w:t>
            </w:r>
          </w:p>
        </w:tc>
        <w:tc>
          <w:tcPr>
            <w:tcW w:w="1661" w:type="dxa"/>
            <w:tcBorders>
              <w:left w:val="double" w:sz="4" w:space="0" w:color="auto"/>
              <w:right w:val="sing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Cases - Congestive heart failure (28.9%); Controls - Peripheral Vascular disease (23.5%) and Tumor without metastasis (23.5%)</w:t>
            </w:r>
          </w:p>
        </w:tc>
      </w:tr>
      <w:tr w:rsidR="00B1258F" w:rsidRPr="00904FBC" w:rsidTr="00904FBC">
        <w:trPr>
          <w:trHeight w:val="7"/>
        </w:trPr>
        <w:tc>
          <w:tcPr>
            <w:tcW w:w="1008" w:type="dxa"/>
            <w:tcBorders>
              <w:left w:val="sing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Lubbert et al. 2014</w:t>
            </w:r>
            <w:r w:rsidRPr="00904FBC">
              <w:rPr>
                <w:sz w:val="16"/>
                <w:szCs w:val="16"/>
                <w:lang w:val="en-CA"/>
              </w:rPr>
              <w:fldChar w:fldCharType="begin" w:fldLock="1"/>
            </w:r>
            <w:r w:rsidRPr="00904FBC">
              <w:rPr>
                <w:sz w:val="16"/>
                <w:szCs w:val="16"/>
                <w:lang w:val="en-CA"/>
              </w:rPr>
              <w:instrText>ADDIN CSL_CITATION {"citationItems":[{"id":"ITEM-1","itemData":{"DOI":"10.1007/s15010-013-0547-3","ISBN":"1439-0973 (Electronic)\\r0300-8126 (Linking)","ISSN":"14390973","PMID":"24217959","abstract":"PURPOSE From mid-2010 to early 2013 there was a large single-center (Leipzig University Hospital, Germany) outbreak of Klebsiella pneumoniae carbapenemase (KPC) type 2 producing K. pneumoniae (KPC-2-KP) involving a total of 103 patients. The aim of this study was to compare KPC-positive liver transplant recipients (LTR) and KPC-negative controls to determine both the relative risk of infection following colonization with KPC-2-KP and the case fatality rate associated with KPC-2-KP. METHODS The study cohort of this retrospective observational study comprised nine patients who had undergone orthotopic liver transplantation (LTx) (median age of 52 years, range 28-73 years) with confirmed evidence of colonization with KPC-2-KP. The data from these nine LTR were matched to 18 LTR (1:2) in whom carbapenem-resistant pathogens were not present and compared for clinical outcomes. RESULTS Of these nine cases, eight (89 %) progressed to infection due to KPC-2-KP, and five (56 %) were confirmed to have bloodstream infection with KPC-2-KP. Matched-pair analysis of KPC-positive LTR and KPC-negative controls revealed a substantially increased relative risk of 7.0 (95 % confidence interval 1.8-27.1) for fatal infection with KPC-2-producing K. pneumoniae after transplantation with a mortality rate of 78 % (vs. 11 %, p = 0.001). CONCLUSIONS Colonization with KPC-2-KP in LTR leads to high infection rates and excess mortality. Therefore, frequent screening for carbapenem-resistant bacteria in patients on LTx waiting lists appears to be mandatory in an outbreak setting. Patients with evidence of persistent colonization with KPC-producing pathogens should be evaluated with extreme caution for LTx.","author":[{"dropping-particle":"","family":"Lübbert","given":"C.","non-dropping-particle":"","parse-names":false,"suffix":""},{"dropping-particle":"","family":"Becker-Rux","given":"D.","non-dropping-particle":"","parse-names":false,"suffix":""},{"dropping-particle":"","family":"Rodloff","given":"A. C.","non-dropping-particle":"","parse-names":false,"suffix":""},{"dropping-particle":"","family":"Laudi","given":"S.","non-dropping-particle":"","parse-names":false,"suffix":""},{"dropping-particle":"","family":"Busch","given":"T.","non-dropping-particle":"","parse-names":false,"suffix":""},{"dropping-particle":"","family":"Bartels","given":"M.","non-dropping-particle":"","parse-names":false,"suffix":""},{"dropping-particle":"","family":"Kaisers","given":"U. X.","non-dropping-particle":"","parse-names":false,"suffix":""}],"container-title":"Infection","id":"ITEM-1","issue":"2","issued":{"date-parts":[["2014"]]},"page":"309-316","title":"Colonization of liver transplant recipients with KPC-producing Klebsiella pneumoniae is associated with high infection rates and excess mortality: A case-control analysis","type":"article-journal","volume":"42"},"uris":["http://www.mendeley.com/documents/?uuid=9b12c7f5-5b57-445d-895d-e410f25d618d"]}],"mendeley":{"formattedCitation":"&lt;sup&gt;32&lt;/sup&gt;","plainTextFormattedCitation":"32","previouslyFormattedCitation":"&lt;sup&gt;32&lt;/sup&gt;"},"properties":{"noteIndex":0},"schema":"https://github.com/citation-style-language/schema/raw/master/csl-citation.json"}</w:instrText>
            </w:r>
            <w:r w:rsidRPr="00904FBC">
              <w:rPr>
                <w:sz w:val="16"/>
                <w:szCs w:val="16"/>
                <w:lang w:val="en-CA"/>
              </w:rPr>
              <w:fldChar w:fldCharType="separate"/>
            </w:r>
            <w:r w:rsidRPr="00904FBC">
              <w:rPr>
                <w:noProof/>
                <w:sz w:val="16"/>
                <w:szCs w:val="16"/>
                <w:vertAlign w:val="superscript"/>
                <w:lang w:val="en-CA"/>
              </w:rPr>
              <w:t>32</w:t>
            </w:r>
            <w:r w:rsidRPr="00904FBC">
              <w:rPr>
                <w:sz w:val="16"/>
                <w:szCs w:val="16"/>
                <w:lang w:val="en-CA"/>
              </w:rPr>
              <w:fldChar w:fldCharType="end"/>
            </w:r>
          </w:p>
        </w:tc>
        <w:tc>
          <w:tcPr>
            <w:tcW w:w="99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Germany</w:t>
            </w:r>
          </w:p>
        </w:tc>
        <w:tc>
          <w:tcPr>
            <w:tcW w:w="117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Retrospective Matched Cohort</w:t>
            </w:r>
          </w:p>
        </w:tc>
        <w:tc>
          <w:tcPr>
            <w:tcW w:w="1260" w:type="dxa"/>
            <w:tcBorders>
              <w:left w:val="double" w:sz="4" w:space="0" w:color="auto"/>
              <w:right w:val="nil"/>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Leipzig University Hospital, Germany, Large Single-Center</w:t>
            </w:r>
          </w:p>
        </w:tc>
        <w:tc>
          <w:tcPr>
            <w:tcW w:w="74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8</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18</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52.3 (12.5)</w:t>
            </w:r>
            <w:r w:rsidRPr="00904FBC">
              <w:rPr>
                <w:sz w:val="16"/>
                <w:szCs w:val="16"/>
                <w:vertAlign w:val="superscript"/>
                <w:lang w:val="en-CA"/>
              </w:rPr>
              <w:t xml:space="preserve"> †</w:t>
            </w:r>
          </w:p>
        </w:tc>
        <w:tc>
          <w:tcPr>
            <w:tcW w:w="89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54.8 (7)</w:t>
            </w:r>
            <w:r w:rsidRPr="00904FBC">
              <w:rPr>
                <w:sz w:val="16"/>
                <w:szCs w:val="16"/>
                <w:vertAlign w:val="superscript"/>
                <w:lang w:val="en-CA"/>
              </w:rPr>
              <w:t xml:space="preserve"> †</w:t>
            </w:r>
          </w:p>
        </w:tc>
        <w:tc>
          <w:tcPr>
            <w:tcW w:w="78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37.5%</w:t>
            </w:r>
          </w:p>
        </w:tc>
        <w:tc>
          <w:tcPr>
            <w:tcW w:w="74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27.8%</w:t>
            </w:r>
          </w:p>
        </w:tc>
        <w:tc>
          <w:tcPr>
            <w:tcW w:w="100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Pneumonia (KPC-KP)</w:t>
            </w:r>
          </w:p>
        </w:tc>
        <w:tc>
          <w:tcPr>
            <w:tcW w:w="1027" w:type="dxa"/>
            <w:tcBorders>
              <w:left w:val="double" w:sz="4" w:space="0" w:color="auto"/>
              <w:right w:val="doub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CS KPC (-) liver transplant patients</w:t>
            </w:r>
          </w:p>
        </w:tc>
        <w:tc>
          <w:tcPr>
            <w:tcW w:w="1661" w:type="dxa"/>
            <w:tcBorders>
              <w:left w:val="double" w:sz="4" w:space="0" w:color="auto"/>
              <w:right w:val="sing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Cases - Liver Cirrhosis (62.5%); Controls - Liver Cirrhosis (61.1%)</w:t>
            </w:r>
          </w:p>
        </w:tc>
      </w:tr>
      <w:tr w:rsidR="00B1258F" w:rsidRPr="00904FBC" w:rsidTr="00904FBC">
        <w:trPr>
          <w:trHeight w:val="7"/>
        </w:trPr>
        <w:tc>
          <w:tcPr>
            <w:tcW w:w="1008" w:type="dxa"/>
            <w:tcBorders>
              <w:left w:val="sing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McLaughlin et al. 2014</w:t>
            </w:r>
            <w:r w:rsidRPr="00904FBC">
              <w:rPr>
                <w:sz w:val="16"/>
                <w:szCs w:val="16"/>
                <w:lang w:val="en-CA"/>
              </w:rPr>
              <w:fldChar w:fldCharType="begin" w:fldLock="1"/>
            </w:r>
            <w:r w:rsidRPr="00904FBC">
              <w:rPr>
                <w:sz w:val="16"/>
                <w:szCs w:val="16"/>
                <w:lang w:val="en-CA"/>
              </w:rPr>
              <w:instrText>ADDIN CSL_CITATION {"citationItems":[{"id":"ITEM-1","itemData":{"DOI":"10.1186/1471-2334-14-31","ISBN":"1471-2334 (Electronic)\\r1471-2334 (Linking)","ISSN":"14712334","PMID":"24428847","abstract":"BACKGROUND: Previous studies may have overestimated morbidity and mortality due to Klebsiella pneumoniae producing carbapenemase (KPC) Klebsiella pneumoniae infections because of difficulties in modeling patient comorbidities. This pilot study sought to evaluate KPC virulence by combining clinical and Galleria mellonella models in patients with K. pneumoniae blood stream infections (BSIs).\\n\\nMETHODS: G. mellonella were inoculated using KPC(+) and KPC(-) isolates from these patients. Extent and rapidity of insect mortality was analyzed. Patients were stratified by KPC BSI status. Clinical outcomes of mortality and length of stay post-infection for survivors (LOS) were analyzed. Median virulence scores calculated from the insect studies were imputed in the clinical model.\\n\\nRESULTS: The in-vivo model revealed greater mortality in KPC(-) isolates (p &lt; 0.001). Fifteen patients with KPC(+) BSI were matched with 60 patients with KPC(-) BSI. Hospital mortality was greater in the KPC(+) group versus the KPC(-) group (OR 3.79, 95% CI 1.00 - 14.34). LOS was longer in the KPC(+) group (p &lt; 0.01). Conversely the virulence score attenuated the association between KPC(+) status and mortality and LOS in the final translational models.\\n\\nCONCLUSIONS: KPC(+) status was associated with decreased virulence in GM. Opposite findings were observed in patients. This pilot study demonstrates that measured virulence from GM may differ from human estimates of virulence.","author":[{"dropping-particle":"","family":"McLaughlin","given":"Milena M.","non-dropping-particle":"","parse-names":false,"suffix":""},{"dropping-particle":"","family":"Advincula","given":"M. R.","non-dropping-particle":"","parse-names":false,"suffix":""},{"dropping-particle":"","family":"Malczynski","given":"Michael","non-dropping-particle":"","parse-names":false,"suffix":""},{"dropping-particle":"","family":"Barajas","given":"Grace","non-dropping-particle":"","parse-names":false,"suffix":""},{"dropping-particle":"","family":"Qi","given":"Chao","non-dropping-particle":"","parse-names":false,"suffix":""},{"dropping-particle":"","family":"Scheetz","given":"Marc H.","non-dropping-particle":"","parse-names":false,"suffix":""}],"container-title":"BMC Infectious Diseases","id":"ITEM-1","issue":"1","issued":{"date-parts":[["2014"]]},"title":"Quantifying the clinical virulence of Klebsiella pneumoniae producing carbapenemase Klebsiella pneumoniae with a Galleria mellonella model and a pilot study to translate to patient outcomes","type":"article-journal","volume":"14"},"uris":["http://www.mendeley.com/documents/?uuid=6c04363c-3942-415e-aa9a-374bb8c3611d"]}],"mendeley":{"formattedCitation":"&lt;sup&gt;29&lt;/sup&gt;","plainTextFormattedCitation":"29","previouslyFormattedCitation":"&lt;sup&gt;29&lt;/sup&gt;"},"properties":{"noteIndex":0},"schema":"https://github.com/citation-style-language/schema/raw/master/csl-citation.json"}</w:instrText>
            </w:r>
            <w:r w:rsidRPr="00904FBC">
              <w:rPr>
                <w:sz w:val="16"/>
                <w:szCs w:val="16"/>
                <w:lang w:val="en-CA"/>
              </w:rPr>
              <w:fldChar w:fldCharType="separate"/>
            </w:r>
            <w:r w:rsidRPr="00904FBC">
              <w:rPr>
                <w:noProof/>
                <w:sz w:val="16"/>
                <w:szCs w:val="16"/>
                <w:vertAlign w:val="superscript"/>
                <w:lang w:val="en-CA"/>
              </w:rPr>
              <w:t>29</w:t>
            </w:r>
            <w:r w:rsidRPr="00904FBC">
              <w:rPr>
                <w:sz w:val="16"/>
                <w:szCs w:val="16"/>
                <w:lang w:val="en-CA"/>
              </w:rPr>
              <w:fldChar w:fldCharType="end"/>
            </w:r>
          </w:p>
        </w:tc>
        <w:tc>
          <w:tcPr>
            <w:tcW w:w="99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United States</w:t>
            </w:r>
          </w:p>
        </w:tc>
        <w:tc>
          <w:tcPr>
            <w:tcW w:w="117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Retrospective Cohort</w:t>
            </w:r>
          </w:p>
        </w:tc>
        <w:tc>
          <w:tcPr>
            <w:tcW w:w="1260" w:type="dxa"/>
            <w:tcBorders>
              <w:left w:val="double" w:sz="4" w:space="0" w:color="auto"/>
              <w:right w:val="nil"/>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Northwestern Memorial</w:t>
            </w:r>
            <w:r w:rsidRPr="00904FBC">
              <w:rPr>
                <w:sz w:val="16"/>
                <w:szCs w:val="16"/>
                <w:lang w:val="en-CA"/>
              </w:rPr>
              <w:br/>
              <w:t xml:space="preserve">Hospital, Teaching </w:t>
            </w:r>
            <w:r w:rsidRPr="00904FBC">
              <w:rPr>
                <w:sz w:val="16"/>
                <w:szCs w:val="16"/>
                <w:lang w:val="en-CA"/>
              </w:rPr>
              <w:lastRenderedPageBreak/>
              <w:t>Hospital</w:t>
            </w:r>
          </w:p>
        </w:tc>
        <w:tc>
          <w:tcPr>
            <w:tcW w:w="74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lastRenderedPageBreak/>
              <w:t>15</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60</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59.5 (11.3)</w:t>
            </w:r>
          </w:p>
        </w:tc>
        <w:tc>
          <w:tcPr>
            <w:tcW w:w="89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59.6 (17)</w:t>
            </w:r>
          </w:p>
        </w:tc>
        <w:tc>
          <w:tcPr>
            <w:tcW w:w="78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53%</w:t>
            </w:r>
          </w:p>
        </w:tc>
        <w:tc>
          <w:tcPr>
            <w:tcW w:w="74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53.3%</w:t>
            </w:r>
          </w:p>
        </w:tc>
        <w:tc>
          <w:tcPr>
            <w:tcW w:w="100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BSI (KPC-KP)</w:t>
            </w:r>
          </w:p>
        </w:tc>
        <w:tc>
          <w:tcPr>
            <w:tcW w:w="1027" w:type="dxa"/>
            <w:tcBorders>
              <w:left w:val="double" w:sz="4" w:space="0" w:color="auto"/>
              <w:right w:val="doub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KPC (-) pan-susceptible except for ampicillin</w:t>
            </w:r>
          </w:p>
        </w:tc>
        <w:tc>
          <w:tcPr>
            <w:tcW w:w="1661" w:type="dxa"/>
            <w:tcBorders>
              <w:left w:val="double" w:sz="4" w:space="0" w:color="auto"/>
              <w:right w:val="sing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 xml:space="preserve">Cases - Diabetes and renal dysfunction (20%); Controls - Diabetes and renal </w:t>
            </w:r>
            <w:r w:rsidRPr="00904FBC">
              <w:rPr>
                <w:sz w:val="16"/>
                <w:szCs w:val="16"/>
                <w:lang w:val="en-CA"/>
              </w:rPr>
              <w:lastRenderedPageBreak/>
              <w:t>dysfunction (16.7%)</w:t>
            </w:r>
          </w:p>
        </w:tc>
      </w:tr>
      <w:tr w:rsidR="00B1258F" w:rsidRPr="00904FBC" w:rsidTr="00904FBC">
        <w:trPr>
          <w:trHeight w:val="7"/>
        </w:trPr>
        <w:tc>
          <w:tcPr>
            <w:tcW w:w="1008" w:type="dxa"/>
            <w:tcBorders>
              <w:left w:val="single" w:sz="4" w:space="0" w:color="auto"/>
              <w:right w:val="double" w:sz="4" w:space="0" w:color="auto"/>
            </w:tcBorders>
            <w:shd w:val="clear" w:color="auto" w:fill="D9D9D9"/>
            <w:noWrap/>
            <w:vAlign w:val="center"/>
          </w:tcPr>
          <w:p w:rsidR="00B1258F" w:rsidRPr="00904FBC" w:rsidRDefault="00B1258F" w:rsidP="00904FBC">
            <w:pPr>
              <w:pageBreakBefore/>
              <w:spacing w:after="0" w:line="240" w:lineRule="auto"/>
              <w:rPr>
                <w:sz w:val="16"/>
                <w:szCs w:val="16"/>
                <w:lang w:val="en-CA"/>
              </w:rPr>
            </w:pPr>
            <w:r w:rsidRPr="00904FBC">
              <w:rPr>
                <w:b/>
                <w:sz w:val="16"/>
                <w:szCs w:val="16"/>
                <w:lang w:val="en-CA"/>
              </w:rPr>
              <w:lastRenderedPageBreak/>
              <w:t>First-Author and Publication Year</w:t>
            </w:r>
          </w:p>
        </w:tc>
        <w:tc>
          <w:tcPr>
            <w:tcW w:w="990" w:type="dxa"/>
            <w:tcBorders>
              <w:left w:val="double" w:sz="4" w:space="0" w:color="auto"/>
              <w:right w:val="double" w:sz="4" w:space="0" w:color="auto"/>
            </w:tcBorders>
            <w:shd w:val="clear" w:color="auto" w:fill="D9D9D9"/>
            <w:vAlign w:val="center"/>
          </w:tcPr>
          <w:p w:rsidR="00B1258F" w:rsidRPr="00904FBC" w:rsidRDefault="00B1258F" w:rsidP="00904FBC">
            <w:pPr>
              <w:spacing w:after="0" w:line="240" w:lineRule="auto"/>
              <w:rPr>
                <w:sz w:val="16"/>
                <w:szCs w:val="16"/>
                <w:lang w:val="en-CA"/>
              </w:rPr>
            </w:pPr>
            <w:r w:rsidRPr="00904FBC">
              <w:rPr>
                <w:b/>
                <w:sz w:val="16"/>
                <w:szCs w:val="16"/>
                <w:lang w:val="en-CA"/>
              </w:rPr>
              <w:t>Country of Publication</w:t>
            </w:r>
          </w:p>
        </w:tc>
        <w:tc>
          <w:tcPr>
            <w:tcW w:w="1170" w:type="dxa"/>
            <w:tcBorders>
              <w:left w:val="double" w:sz="4" w:space="0" w:color="auto"/>
              <w:right w:val="double" w:sz="4" w:space="0" w:color="auto"/>
            </w:tcBorders>
            <w:shd w:val="clear" w:color="auto" w:fill="D9D9D9"/>
            <w:vAlign w:val="center"/>
          </w:tcPr>
          <w:p w:rsidR="00B1258F" w:rsidRPr="00904FBC" w:rsidRDefault="00B1258F" w:rsidP="00904FBC">
            <w:pPr>
              <w:spacing w:after="0" w:line="240" w:lineRule="auto"/>
              <w:rPr>
                <w:sz w:val="16"/>
                <w:szCs w:val="16"/>
                <w:lang w:val="en-CA"/>
              </w:rPr>
            </w:pPr>
            <w:r w:rsidRPr="00904FBC">
              <w:rPr>
                <w:b/>
                <w:sz w:val="16"/>
                <w:szCs w:val="16"/>
                <w:lang w:val="en-CA"/>
              </w:rPr>
              <w:t>Study Design</w:t>
            </w:r>
          </w:p>
        </w:tc>
        <w:tc>
          <w:tcPr>
            <w:tcW w:w="1260" w:type="dxa"/>
            <w:tcBorders>
              <w:left w:val="double" w:sz="4" w:space="0" w:color="auto"/>
              <w:right w:val="nil"/>
            </w:tcBorders>
            <w:shd w:val="clear" w:color="auto" w:fill="D9D9D9"/>
            <w:vAlign w:val="center"/>
          </w:tcPr>
          <w:p w:rsidR="00B1258F" w:rsidRPr="00904FBC" w:rsidRDefault="00B1258F" w:rsidP="00904FBC">
            <w:pPr>
              <w:spacing w:after="0" w:line="240" w:lineRule="auto"/>
              <w:rPr>
                <w:sz w:val="16"/>
                <w:szCs w:val="16"/>
                <w:lang w:val="en-CA"/>
              </w:rPr>
            </w:pPr>
            <w:r w:rsidRPr="00904FBC">
              <w:rPr>
                <w:b/>
                <w:sz w:val="16"/>
                <w:szCs w:val="16"/>
                <w:lang w:val="en-CA"/>
              </w:rPr>
              <w:t>Study Setting</w:t>
            </w:r>
          </w:p>
        </w:tc>
        <w:tc>
          <w:tcPr>
            <w:tcW w:w="745" w:type="dxa"/>
            <w:tcBorders>
              <w:left w:val="double" w:sz="4" w:space="0" w:color="auto"/>
              <w:right w:val="nil"/>
            </w:tcBorders>
            <w:shd w:val="clear" w:color="auto" w:fill="D9D9D9"/>
            <w:vAlign w:val="center"/>
          </w:tcPr>
          <w:p w:rsidR="00B1258F" w:rsidRPr="00904FBC" w:rsidRDefault="00B1258F" w:rsidP="00904FBC">
            <w:pPr>
              <w:spacing w:after="0" w:line="240" w:lineRule="auto"/>
              <w:rPr>
                <w:sz w:val="16"/>
                <w:szCs w:val="16"/>
                <w:lang w:val="en-CA"/>
              </w:rPr>
            </w:pPr>
            <w:r w:rsidRPr="00904FBC">
              <w:rPr>
                <w:b/>
                <w:sz w:val="16"/>
                <w:szCs w:val="16"/>
                <w:lang w:val="en-CA"/>
              </w:rPr>
              <w:t>No. Cases</w:t>
            </w:r>
          </w:p>
        </w:tc>
        <w:tc>
          <w:tcPr>
            <w:tcW w:w="892" w:type="dxa"/>
            <w:tcBorders>
              <w:left w:val="double" w:sz="4" w:space="0" w:color="auto"/>
              <w:right w:val="nil"/>
            </w:tcBorders>
            <w:shd w:val="clear" w:color="auto" w:fill="D9D9D9"/>
            <w:vAlign w:val="center"/>
          </w:tcPr>
          <w:p w:rsidR="00B1258F" w:rsidRPr="00904FBC" w:rsidRDefault="00B1258F" w:rsidP="00904FBC">
            <w:pPr>
              <w:spacing w:after="0" w:line="240" w:lineRule="auto"/>
              <w:rPr>
                <w:sz w:val="16"/>
                <w:szCs w:val="16"/>
                <w:lang w:val="en-CA"/>
              </w:rPr>
            </w:pPr>
            <w:r w:rsidRPr="00904FBC">
              <w:rPr>
                <w:b/>
                <w:sz w:val="16"/>
                <w:szCs w:val="16"/>
                <w:lang w:val="en-CA"/>
              </w:rPr>
              <w:t>No. Controls</w:t>
            </w:r>
          </w:p>
        </w:tc>
        <w:tc>
          <w:tcPr>
            <w:tcW w:w="892" w:type="dxa"/>
            <w:tcBorders>
              <w:left w:val="double" w:sz="4" w:space="0" w:color="auto"/>
              <w:right w:val="nil"/>
            </w:tcBorders>
            <w:shd w:val="clear" w:color="auto" w:fill="D9D9D9"/>
            <w:vAlign w:val="center"/>
          </w:tcPr>
          <w:p w:rsidR="00B1258F" w:rsidRPr="00904FBC" w:rsidRDefault="00B1258F" w:rsidP="00904FBC">
            <w:pPr>
              <w:spacing w:after="0" w:line="240" w:lineRule="auto"/>
              <w:rPr>
                <w:rFonts w:eastAsia="Times New Roman"/>
                <w:color w:val="000000"/>
                <w:sz w:val="16"/>
                <w:szCs w:val="16"/>
                <w:lang w:val="en-CA"/>
              </w:rPr>
            </w:pPr>
            <w:r w:rsidRPr="00904FBC">
              <w:rPr>
                <w:b/>
                <w:sz w:val="16"/>
                <w:szCs w:val="16"/>
                <w:lang w:val="en-CA"/>
              </w:rPr>
              <w:t>Mean Age (SD) Cases</w:t>
            </w:r>
          </w:p>
        </w:tc>
        <w:tc>
          <w:tcPr>
            <w:tcW w:w="893" w:type="dxa"/>
            <w:tcBorders>
              <w:left w:val="double" w:sz="4" w:space="0" w:color="auto"/>
              <w:right w:val="nil"/>
            </w:tcBorders>
            <w:shd w:val="clear" w:color="auto" w:fill="D9D9D9"/>
            <w:vAlign w:val="center"/>
          </w:tcPr>
          <w:p w:rsidR="00B1258F" w:rsidRPr="00904FBC" w:rsidRDefault="00B1258F" w:rsidP="00904FBC">
            <w:pPr>
              <w:spacing w:after="0" w:line="240" w:lineRule="auto"/>
              <w:rPr>
                <w:rFonts w:eastAsia="Times New Roman"/>
                <w:color w:val="000000"/>
                <w:sz w:val="16"/>
                <w:szCs w:val="16"/>
                <w:lang w:val="en-CA"/>
              </w:rPr>
            </w:pPr>
            <w:r w:rsidRPr="00904FBC">
              <w:rPr>
                <w:b/>
                <w:sz w:val="16"/>
                <w:szCs w:val="16"/>
                <w:lang w:val="en-CA"/>
              </w:rPr>
              <w:t>Mean Age (SD) Controls</w:t>
            </w:r>
          </w:p>
        </w:tc>
        <w:tc>
          <w:tcPr>
            <w:tcW w:w="785" w:type="dxa"/>
            <w:tcBorders>
              <w:left w:val="double" w:sz="4" w:space="0" w:color="auto"/>
              <w:right w:val="nil"/>
            </w:tcBorders>
            <w:shd w:val="clear" w:color="auto" w:fill="D9D9D9"/>
            <w:vAlign w:val="center"/>
          </w:tcPr>
          <w:p w:rsidR="00B1258F" w:rsidRPr="00904FBC" w:rsidRDefault="00B1258F" w:rsidP="00904FBC">
            <w:pPr>
              <w:spacing w:after="0" w:line="240" w:lineRule="auto"/>
              <w:rPr>
                <w:sz w:val="16"/>
                <w:szCs w:val="16"/>
                <w:lang w:val="en-CA"/>
              </w:rPr>
            </w:pPr>
            <w:r w:rsidRPr="00904FBC">
              <w:rPr>
                <w:rFonts w:eastAsia="Times New Roman"/>
                <w:b/>
                <w:sz w:val="16"/>
                <w:szCs w:val="16"/>
                <w:lang w:val="en-CA"/>
              </w:rPr>
              <w:t>Sex (%) Female Cases</w:t>
            </w:r>
          </w:p>
        </w:tc>
        <w:tc>
          <w:tcPr>
            <w:tcW w:w="743" w:type="dxa"/>
            <w:tcBorders>
              <w:left w:val="double" w:sz="4" w:space="0" w:color="auto"/>
              <w:right w:val="nil"/>
            </w:tcBorders>
            <w:shd w:val="clear" w:color="auto" w:fill="D9D9D9"/>
            <w:vAlign w:val="center"/>
          </w:tcPr>
          <w:p w:rsidR="00B1258F" w:rsidRPr="00904FBC" w:rsidRDefault="00B1258F" w:rsidP="00904FBC">
            <w:pPr>
              <w:spacing w:after="0" w:line="240" w:lineRule="auto"/>
              <w:rPr>
                <w:sz w:val="16"/>
                <w:szCs w:val="16"/>
                <w:lang w:val="en-CA"/>
              </w:rPr>
            </w:pPr>
            <w:r w:rsidRPr="00904FBC">
              <w:rPr>
                <w:rFonts w:eastAsia="Times New Roman"/>
                <w:b/>
                <w:sz w:val="16"/>
                <w:szCs w:val="16"/>
                <w:lang w:val="en-CA"/>
              </w:rPr>
              <w:t>Sex (%) Female Controls</w:t>
            </w:r>
          </w:p>
        </w:tc>
        <w:tc>
          <w:tcPr>
            <w:tcW w:w="1002" w:type="dxa"/>
            <w:tcBorders>
              <w:left w:val="double" w:sz="4" w:space="0" w:color="auto"/>
              <w:right w:val="nil"/>
            </w:tcBorders>
            <w:shd w:val="clear" w:color="auto" w:fill="D9D9D9"/>
            <w:vAlign w:val="center"/>
          </w:tcPr>
          <w:p w:rsidR="00B1258F" w:rsidRPr="00904FBC" w:rsidRDefault="00B1258F" w:rsidP="00904FBC">
            <w:pPr>
              <w:spacing w:after="0" w:line="240" w:lineRule="auto"/>
              <w:rPr>
                <w:sz w:val="16"/>
                <w:szCs w:val="16"/>
                <w:lang w:val="en-CA"/>
              </w:rPr>
            </w:pPr>
            <w:r w:rsidRPr="00904FBC">
              <w:rPr>
                <w:rFonts w:eastAsia="Times New Roman"/>
                <w:b/>
                <w:sz w:val="16"/>
                <w:szCs w:val="16"/>
                <w:lang w:val="en-CA"/>
              </w:rPr>
              <w:t>Most Common Infection Cases (Enzyme-Bacteria)</w:t>
            </w:r>
          </w:p>
        </w:tc>
        <w:tc>
          <w:tcPr>
            <w:tcW w:w="1027" w:type="dxa"/>
            <w:tcBorders>
              <w:left w:val="double" w:sz="4" w:space="0" w:color="auto"/>
              <w:right w:val="double" w:sz="4" w:space="0" w:color="auto"/>
            </w:tcBorders>
            <w:shd w:val="clear" w:color="auto" w:fill="D9D9D9"/>
            <w:vAlign w:val="center"/>
          </w:tcPr>
          <w:p w:rsidR="00B1258F" w:rsidRPr="00904FBC" w:rsidRDefault="00B1258F" w:rsidP="00904FBC">
            <w:pPr>
              <w:spacing w:after="0" w:line="240" w:lineRule="auto"/>
              <w:rPr>
                <w:sz w:val="16"/>
                <w:szCs w:val="16"/>
                <w:lang w:val="en-CA"/>
              </w:rPr>
            </w:pPr>
            <w:r w:rsidRPr="00904FBC">
              <w:rPr>
                <w:rFonts w:eastAsia="Times New Roman"/>
                <w:b/>
                <w:sz w:val="16"/>
                <w:szCs w:val="16"/>
                <w:lang w:val="en-CA"/>
              </w:rPr>
              <w:t>Control Group Definition</w:t>
            </w:r>
          </w:p>
        </w:tc>
        <w:tc>
          <w:tcPr>
            <w:tcW w:w="1661" w:type="dxa"/>
            <w:tcBorders>
              <w:left w:val="double" w:sz="4" w:space="0" w:color="auto"/>
              <w:right w:val="single" w:sz="4" w:space="0" w:color="auto"/>
            </w:tcBorders>
            <w:shd w:val="clear" w:color="auto" w:fill="D9D9D9"/>
            <w:vAlign w:val="center"/>
          </w:tcPr>
          <w:p w:rsidR="00B1258F" w:rsidRPr="00904FBC" w:rsidRDefault="00B1258F" w:rsidP="00904FBC">
            <w:pPr>
              <w:spacing w:after="0" w:line="240" w:lineRule="auto"/>
              <w:rPr>
                <w:sz w:val="16"/>
                <w:szCs w:val="16"/>
                <w:lang w:val="en-CA"/>
              </w:rPr>
            </w:pPr>
            <w:r w:rsidRPr="00904FBC">
              <w:rPr>
                <w:rFonts w:eastAsia="Times New Roman"/>
                <w:b/>
                <w:sz w:val="16"/>
                <w:szCs w:val="16"/>
                <w:lang w:val="en-CA"/>
              </w:rPr>
              <w:t>Main Comorbidities (%)</w:t>
            </w:r>
          </w:p>
        </w:tc>
      </w:tr>
      <w:tr w:rsidR="00B1258F" w:rsidRPr="00904FBC" w:rsidTr="00904FBC">
        <w:trPr>
          <w:trHeight w:val="7"/>
        </w:trPr>
        <w:tc>
          <w:tcPr>
            <w:tcW w:w="1008" w:type="dxa"/>
            <w:tcBorders>
              <w:left w:val="single" w:sz="4" w:space="0" w:color="auto"/>
              <w:right w:val="double" w:sz="4" w:space="0" w:color="auto"/>
            </w:tcBorders>
            <w:shd w:val="clear" w:color="auto" w:fill="auto"/>
            <w:noWrap/>
            <w:vAlign w:val="center"/>
            <w:hideMark/>
          </w:tcPr>
          <w:p w:rsidR="00B1258F" w:rsidRPr="00904FBC" w:rsidRDefault="00B1258F" w:rsidP="00904FBC">
            <w:pPr>
              <w:spacing w:after="0" w:line="240" w:lineRule="auto"/>
              <w:rPr>
                <w:sz w:val="16"/>
                <w:szCs w:val="16"/>
                <w:lang w:val="en-CA"/>
              </w:rPr>
            </w:pPr>
            <w:r w:rsidRPr="00904FBC">
              <w:rPr>
                <w:sz w:val="16"/>
                <w:szCs w:val="16"/>
                <w:lang w:val="en-CA"/>
              </w:rPr>
              <w:t>Mouloudi et al. 2014</w:t>
            </w:r>
            <w:r w:rsidRPr="00904FBC">
              <w:rPr>
                <w:sz w:val="16"/>
                <w:szCs w:val="16"/>
                <w:lang w:val="en-CA"/>
              </w:rPr>
              <w:fldChar w:fldCharType="begin" w:fldLock="1"/>
            </w:r>
            <w:r w:rsidRPr="00904FBC">
              <w:rPr>
                <w:sz w:val="16"/>
                <w:szCs w:val="16"/>
                <w:lang w:val="en-CA"/>
              </w:rPr>
              <w:instrText>ADDIN CSL_CITATION {"citationItems":[{"id":"ITEM-1","itemData":{"DOI":"10.1016/j.transproceed.2014.09.159","ISBN":"1873-2623; 0041-1345","ISSN":"18732623","PMID":"25420863","abstract":"Background: Carbapenem-resistant Klebsiella pneumoniae (CRKP) has emerged as an important cause of bloodstream infections in intensive care units (ICUs). The aim of this study was to determine risk factors for bloodstream infections caused by CRKP as well as risk factors for CRKP-associated mortality among ICU patients after orthotopic liver transplantation (LT). Methods: The study cohort of this observational study comprised 17 ICU patients after LT with CRKP bloodstream infections. The data from these patients were matched with 34 ICU patients (1:2) after LT without CRKP infections. The 2 groups were compared to identify risk factors for development of CRKP infection and risk factors for mortality. Results: Seventeen CRKP bloodstream infections occurred in ICU patients after LT from January 1, 2008, to December 31, 2011. In univariate analysis, primary liver disease and especially hepatitis C virus infection or hepatocellular cancer were significant factors for development of CRKP. Acute Physiology and Chronic Health Evaluation (APACHE II) score and Sequential Organ Failure Assessment (SOFA) score as well as CRKP bloodstream infection were predictors for ICU death (P &lt;.05) in univariate analysis. Conclusions: CRKP bloodstream infections affect immunocompromised post-transplantation patients more. Bloodstream infections with CRKP along with APACHE and SOFA scores were predictors of death in ICU patients after LT.","author":[{"dropping-particle":"","family":"Mouloudi","given":"E.","non-dropping-particle":"","parse-names":false,"suffix":""},{"dropping-particle":"","family":"Massa","given":"E.","non-dropping-particle":"","parse-names":false,"suffix":""},{"dropping-particle":"","family":"Papadopoulos","given":"S.","non-dropping-particle":"","parse-names":false,"suffix":""},{"dropping-particle":"","family":"Iosifidis","given":"E.","non-dropping-particle":"","parse-names":false,"suffix":""},{"dropping-particle":"","family":"Roilides","given":"I.","non-dropping-particle":"","parse-names":false,"suffix":""},{"dropping-particle":"","family":"Theodoridou","given":"T.","non-dropping-particle":"","parse-names":false,"suffix":""},{"dropping-particle":"","family":"Piperidou","given":"M.","non-dropping-particle":"","parse-names":false,"suffix":""},{"dropping-particle":"","family":"Orphanou","given":"A.","non-dropping-particle":"","parse-names":false,"suffix":""},{"dropping-particle":"","family":"Passakiotou","given":"M.","non-dropping-particle":"","parse-names":false,"suffix":""},{"dropping-particle":"","family":"Imvrios","given":"G.","non-dropping-particle":"","parse-names":false,"suffix":""},{"dropping-particle":"","family":"Fouzas","given":"I.","non-dropping-particle":"","parse-names":false,"suffix":""},{"dropping-particle":"","family":"Papanikolaou","given":"V.","non-dropping-particle":"","parse-names":false,"suffix":""},{"dropping-particle":"","family":"Gritsi-Gerogianni","given":"N.","non-dropping-particle":"","parse-names":false,"suffix":""}],"container-title":"Transplantation Proceedings","id":"ITEM-1","issue":"9","issued":{"date-parts":[["2014"]]},"page":"3216-3218","title":"Bloodstream infections caused by carbapenemase-producing klebsiella pneumoniae among intensive care unit patients after orthotopic liver transplantation: Risk factors for infection and impact of resistance on outcomes","type":"article-journal","volume":"46"},"uris":["http://www.mendeley.com/documents/?uuid=cdb965b3-6ef9-4c6f-afe7-eafcda2a58fe"]}],"mendeley":{"formattedCitation":"&lt;sup&gt;34&lt;/sup&gt;","plainTextFormattedCitation":"34","previouslyFormattedCitation":"&lt;sup&gt;34&lt;/sup&gt;"},"properties":{"noteIndex":0},"schema":"https://github.com/citation-style-language/schema/raw/master/csl-citation.json"}</w:instrText>
            </w:r>
            <w:r w:rsidRPr="00904FBC">
              <w:rPr>
                <w:sz w:val="16"/>
                <w:szCs w:val="16"/>
                <w:lang w:val="en-CA"/>
              </w:rPr>
              <w:fldChar w:fldCharType="separate"/>
            </w:r>
            <w:r w:rsidRPr="00904FBC">
              <w:rPr>
                <w:noProof/>
                <w:sz w:val="16"/>
                <w:szCs w:val="16"/>
                <w:vertAlign w:val="superscript"/>
                <w:lang w:val="en-CA"/>
              </w:rPr>
              <w:t>34</w:t>
            </w:r>
            <w:r w:rsidRPr="00904FBC">
              <w:rPr>
                <w:sz w:val="16"/>
                <w:szCs w:val="16"/>
                <w:lang w:val="en-CA"/>
              </w:rPr>
              <w:fldChar w:fldCharType="end"/>
            </w:r>
          </w:p>
        </w:tc>
        <w:tc>
          <w:tcPr>
            <w:tcW w:w="99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Greece</w:t>
            </w:r>
          </w:p>
        </w:tc>
        <w:tc>
          <w:tcPr>
            <w:tcW w:w="117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Matched Case-Control*</w:t>
            </w:r>
          </w:p>
        </w:tc>
        <w:tc>
          <w:tcPr>
            <w:tcW w:w="1260" w:type="dxa"/>
            <w:tcBorders>
              <w:left w:val="double" w:sz="4" w:space="0" w:color="auto"/>
              <w:right w:val="nil"/>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ICU of Hippokration General Hospital, Tertiary-Care Teaching Hospital - Liver Transplantation Center</w:t>
            </w:r>
          </w:p>
        </w:tc>
        <w:tc>
          <w:tcPr>
            <w:tcW w:w="74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17</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34</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54 (44-66)</w:t>
            </w:r>
            <w:r w:rsidRPr="00904FBC">
              <w:rPr>
                <w:sz w:val="16"/>
                <w:szCs w:val="16"/>
                <w:vertAlign w:val="superscript"/>
                <w:lang w:val="en-CA"/>
              </w:rPr>
              <w:t xml:space="preserve"> ‡</w:t>
            </w:r>
          </w:p>
        </w:tc>
        <w:tc>
          <w:tcPr>
            <w:tcW w:w="89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55 (26-66)</w:t>
            </w:r>
            <w:r w:rsidRPr="00904FBC">
              <w:rPr>
                <w:sz w:val="16"/>
                <w:szCs w:val="16"/>
                <w:vertAlign w:val="superscript"/>
                <w:lang w:val="en-CA"/>
              </w:rPr>
              <w:t xml:space="preserve"> ‡</w:t>
            </w:r>
          </w:p>
        </w:tc>
        <w:tc>
          <w:tcPr>
            <w:tcW w:w="78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41.2%</w:t>
            </w:r>
          </w:p>
        </w:tc>
        <w:tc>
          <w:tcPr>
            <w:tcW w:w="74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44.1%</w:t>
            </w:r>
          </w:p>
        </w:tc>
        <w:tc>
          <w:tcPr>
            <w:tcW w:w="100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BSI after orthotropic liver transplant (KPC-KP)</w:t>
            </w:r>
          </w:p>
        </w:tc>
        <w:tc>
          <w:tcPr>
            <w:tcW w:w="1027" w:type="dxa"/>
            <w:tcBorders>
              <w:left w:val="double" w:sz="4" w:space="0" w:color="auto"/>
              <w:right w:val="doub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No CR-KP Infection</w:t>
            </w:r>
          </w:p>
        </w:tc>
        <w:tc>
          <w:tcPr>
            <w:tcW w:w="1661" w:type="dxa"/>
            <w:tcBorders>
              <w:left w:val="double" w:sz="4" w:space="0" w:color="auto"/>
              <w:right w:val="sing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Cases - Hepatocellular Carcinoma (47%); Controls - Alcohol Hepatitis (35.2%)</w:t>
            </w:r>
          </w:p>
        </w:tc>
      </w:tr>
      <w:tr w:rsidR="00B1258F" w:rsidRPr="00904FBC" w:rsidTr="00904FBC">
        <w:trPr>
          <w:trHeight w:val="7"/>
        </w:trPr>
        <w:tc>
          <w:tcPr>
            <w:tcW w:w="1008" w:type="dxa"/>
            <w:tcBorders>
              <w:left w:val="sing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Mouloudi et al. 2010</w:t>
            </w:r>
            <w:r w:rsidRPr="00904FBC">
              <w:rPr>
                <w:sz w:val="16"/>
                <w:szCs w:val="16"/>
                <w:lang w:val="en-CA"/>
              </w:rPr>
              <w:fldChar w:fldCharType="begin" w:fldLock="1"/>
            </w:r>
            <w:r w:rsidRPr="00904FBC">
              <w:rPr>
                <w:sz w:val="16"/>
                <w:szCs w:val="16"/>
                <w:lang w:val="en-CA"/>
              </w:rPr>
              <w:instrText>ADDIN CSL_CITATION {"citationItems":[{"id":"ITEM-1","itemData":{"DOI":"10.1086/657135","ISBN":"0899-823X","ISSN":"0899-823X","PMID":"20973725","abstract":"OBJECTIVE: To determine risk factors for bloodstream infections (BSIs) caused by Klebsiella pneumoniae producing metallo-β-lactamases (MBLs) or K. pneumoniae carbapenemases (KPCs), as well as risk factors for mortality associated with carbapenem-resistant K. pneumoniae, among intensive care unit (ICU) patients.\\n\\nMETHODS: Two case-control studies were conducted in a patient cohort with K. pneumoniae BSIs in an 8-bed ICU in a Greek hospital from January 1, 2007, through December 31, 2008. In study 1, patients with K. pneumoniae BSIs were allocated among 3 groups according to isolate susceptibility profile: (1) carbapenem-susceptible insolates (control group), (2) MBL-producing isolates, or (3) KPC-producing isolates. The MBL and KPC groups were compared with the control group to identify risk factors for development of K. pneumoniae BSI. In study 2, patients with K. pneumoniae BSIs who died were compared with survivors to identify risk factors for mortality.\\n\\nRESULTS: Fifty-nine patients had K. pneumoniae BSIs (22 with carbapenem-susceptible isolates, 18 with MBL-producing isolates, and 19 with KPC-producing isolates). All KPC-producing isolates carried the bla(KPC-2) gene, and 17 of 18 MBL-producing isolates carried bla(VIM-1). Acute Physiology and Chronic Health Evaluation II score (odds ratio, 1.13 [95% confidence interval, 1.03-1.25]; [Formula: see text]) was independently associated with KPC-producing K. pneumoniae BSIs. Nine (41%) of 22 control patients, 8 (44%) of 18 MBL group patients, and 13 (68%) of 19 KPC group patients died in the ICU. Nine (41%) of 22 control patients, 10 (56%) of 18 MBL group patients, and 15 (79%) of 19 KPC group patients died in the hospital. Isolation of KPC-producing K. pneumoniae was an independent predictor of ICU death ([Formula: see text]) and in-hospital death ([Formula: see text]) but not infection-attributable death.\\n\\nCONCLUSIONS: BSIs due to KPC-producing K. pneumoniae resulted in significantly increased mortality. The accurate and rapid detection of these pathogens is necessary for therapeutic considerations and for the implementation of infection control measures to contain them.","author":[{"dropping-particle":"","family":"Mouloudi","given":"Eleni","non-dropping-particle":"","parse-names":false,"suffix":""},{"dropping-particle":"","family":"Protonotariou","given":"Euthymia","non-dropping-particle":"","parse-names":false,"suffix":""},{"dropping-particle":"","family":"Zagorianou","given":"Alexia","non-dropping-particle":"","parse-names":false,"suffix":""},{"dropping-particle":"","family":"Iosifidis","given":"Elias","non-dropping-particle":"","parse-names":false,"suffix":""},{"dropping-particle":"","family":"Karapanagiotou","given":"Areti","non-dropping-particle":"","parse-names":false,"suffix":""},{"dropping-particle":"","family":"Giasnetsova","given":"Tatiana","non-dropping-particle":"","parse-names":false,"suffix":""},{"dropping-particle":"","family":"Tsioka","given":"Agoritsa","non-dropping-particle":"","parse-names":false,"suffix":""},{"dropping-particle":"","family":"Roilides","given":"Emmanuel","non-dropping-particle":"","parse-names":false,"suffix":""},{"dropping-particle":"","family":"Sofianou","given":"Danai","non-dropping-particle":"","parse-names":false,"suffix":""},{"dropping-particle":"","family":"Gritsi-Gerogianni","given":"Nikoleta","non-dropping-particle":"","parse-names":false,"suffix":""}],"container-title":"Infection Control &amp; Hospital Epidemiology","id":"ITEM-1","issue":"12","issued":{"date-parts":[["2010"]]},"page":"1250-1256","title":"Bloodstream Infections Caused by Metallo-β-Lactamase/Klebsiella pneumoniae Carbapenemase–Producing K. pneumoniae among Intensive Care Unit Patients in Greece: Risk Factors for Infection and Impact of Type of Resistance on Outcomes","type":"article-journal","volume":"31"},"uris":["http://www.mendeley.com/documents/?uuid=4717ca68-dfc0-4554-a124-bff2af09d858"]}],"mendeley":{"formattedCitation":"&lt;sup&gt;33&lt;/sup&gt;","plainTextFormattedCitation":"33","previouslyFormattedCitation":"&lt;sup&gt;33&lt;/sup&gt;"},"properties":{"noteIndex":0},"schema":"https://github.com/citation-style-language/schema/raw/master/csl-citation.json"}</w:instrText>
            </w:r>
            <w:r w:rsidRPr="00904FBC">
              <w:rPr>
                <w:sz w:val="16"/>
                <w:szCs w:val="16"/>
                <w:lang w:val="en-CA"/>
              </w:rPr>
              <w:fldChar w:fldCharType="separate"/>
            </w:r>
            <w:r w:rsidRPr="00904FBC">
              <w:rPr>
                <w:noProof/>
                <w:sz w:val="16"/>
                <w:szCs w:val="16"/>
                <w:vertAlign w:val="superscript"/>
                <w:lang w:val="en-CA"/>
              </w:rPr>
              <w:t>33</w:t>
            </w:r>
            <w:r w:rsidRPr="00904FBC">
              <w:rPr>
                <w:sz w:val="16"/>
                <w:szCs w:val="16"/>
                <w:lang w:val="en-CA"/>
              </w:rPr>
              <w:fldChar w:fldCharType="end"/>
            </w:r>
          </w:p>
        </w:tc>
        <w:tc>
          <w:tcPr>
            <w:tcW w:w="99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Greece</w:t>
            </w:r>
          </w:p>
        </w:tc>
        <w:tc>
          <w:tcPr>
            <w:tcW w:w="117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Nested Case-Control Studies</w:t>
            </w:r>
          </w:p>
        </w:tc>
        <w:tc>
          <w:tcPr>
            <w:tcW w:w="1260" w:type="dxa"/>
            <w:tcBorders>
              <w:left w:val="double" w:sz="4" w:space="0" w:color="auto"/>
              <w:right w:val="nil"/>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ICU of Hippokration General Hospital, Tertiary-Care Teaching Hospital - Liver Transplantation Center</w:t>
            </w:r>
          </w:p>
        </w:tc>
        <w:tc>
          <w:tcPr>
            <w:tcW w:w="74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37</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22</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MBL – 56 (17-81); KPC – 47 (25–79)</w:t>
            </w:r>
            <w:r w:rsidRPr="00904FBC">
              <w:rPr>
                <w:sz w:val="16"/>
                <w:szCs w:val="16"/>
                <w:vertAlign w:val="superscript"/>
                <w:lang w:val="en-CA"/>
              </w:rPr>
              <w:t xml:space="preserve"> ‡</w:t>
            </w:r>
          </w:p>
        </w:tc>
        <w:tc>
          <w:tcPr>
            <w:tcW w:w="89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50.5 (15–78)</w:t>
            </w:r>
            <w:r w:rsidRPr="00904FBC">
              <w:rPr>
                <w:sz w:val="16"/>
                <w:szCs w:val="16"/>
                <w:vertAlign w:val="superscript"/>
                <w:lang w:val="en-CA"/>
              </w:rPr>
              <w:t xml:space="preserve"> ‡</w:t>
            </w:r>
          </w:p>
        </w:tc>
        <w:tc>
          <w:tcPr>
            <w:tcW w:w="78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MBL – 27.8%; KPC -   21.1%</w:t>
            </w:r>
          </w:p>
        </w:tc>
        <w:tc>
          <w:tcPr>
            <w:tcW w:w="74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22.7</w:t>
            </w:r>
          </w:p>
        </w:tc>
        <w:tc>
          <w:tcPr>
            <w:tcW w:w="100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BSI (KPC-KP, n=19 ; VIM-KP, n=18)</w:t>
            </w:r>
          </w:p>
        </w:tc>
        <w:tc>
          <w:tcPr>
            <w:tcW w:w="1027" w:type="dxa"/>
            <w:tcBorders>
              <w:left w:val="double" w:sz="4" w:space="0" w:color="auto"/>
              <w:right w:val="doub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CS</w:t>
            </w:r>
          </w:p>
        </w:tc>
        <w:tc>
          <w:tcPr>
            <w:tcW w:w="1661" w:type="dxa"/>
            <w:tcBorders>
              <w:left w:val="double" w:sz="4" w:space="0" w:color="auto"/>
              <w:right w:val="sing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MBL - Surgery (55.6%); KPC - Surgery (52.6%); Controls - Surgery (54.5%)</w:t>
            </w:r>
          </w:p>
        </w:tc>
      </w:tr>
      <w:tr w:rsidR="00B1258F" w:rsidRPr="00904FBC" w:rsidTr="00904FBC">
        <w:trPr>
          <w:trHeight w:val="7"/>
        </w:trPr>
        <w:tc>
          <w:tcPr>
            <w:tcW w:w="1008" w:type="dxa"/>
            <w:tcBorders>
              <w:left w:val="sing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Papadimitriou-Olivgeris et al. 2013</w:t>
            </w:r>
            <w:r w:rsidRPr="00904FBC">
              <w:rPr>
                <w:sz w:val="16"/>
                <w:szCs w:val="16"/>
                <w:lang w:val="en-CA"/>
              </w:rPr>
              <w:fldChar w:fldCharType="begin" w:fldLock="1"/>
            </w:r>
            <w:r w:rsidRPr="00904FBC">
              <w:rPr>
                <w:sz w:val="16"/>
                <w:szCs w:val="16"/>
                <w:lang w:val="en-CA"/>
              </w:rPr>
              <w:instrText>ADDIN CSL_CITATION {"citationItems":[{"id":"ITEM-1","itemData":{"DOI":"10.1016/j.diagmicrobio.2013.06.007","ISBN":"0732-8893","ISSN":"07328893","PMID":"23886789","abstract":"A prospective observational study of 226 intensive care unit (ICU) patients was conducted during a 25-month period. Rectal samples were taken at day 1, 4, and 7 and, afterwards, once weekly. Klebsiella pneumoniae was identified using standard techniques, whereas the presence of blaKPCgene was confirmed by PCR. During ICU stay, 72.6% of the patients were colonized with Klebsiella pneumoniae carbapenemases (KPC)-producing K. pneumoniae (KPC-Kp). Male gender, prior bed occupants, and patients in nearby beds colonized with KPC-Kp, tracheotomy, number of invasive catheters inserted, and number of antibiotics administered were the major risk factors for KPC-Kp colonization. ICU mortality (35.4%) was significantly related to Simplified Acute Physiology II score and respiratory insufficiency upon admission, cortisone administration, aminoglycoside administration, confirmed KPC-Kp infection, and severe sepsis or septic shock. The high prevalence of KPC-Kp enteric carriage in ICU patients and the significant mortality associated with KPC-Kp infection dictate the importance of early identification and isolation of such carriers. © 2013 Elsevier Inc.","author":[{"dropping-particle":"","family":"Papadimitriou-Olivgeris","given":"Matthaios","non-dropping-particle":"","parse-names":false,"suffix":""},{"dropping-particle":"","family":"Marangos","given":"Markos","non-dropping-particle":"","parse-names":false,"suffix":""},{"dropping-particle":"","family":"Fligou","given":"Fotini","non-dropping-particle":"","parse-names":false,"suffix":""},{"dropping-particle":"","family":"Christofidou","given":"Myrto","non-dropping-particle":"","parse-names":false,"suffix":""},{"dropping-particle":"","family":"Sklavou","given":"Christina","non-dropping-particle":"","parse-names":false,"suffix":""},{"dropping-particle":"","family":"Vamvakopoulou","given":"Sophia","non-dropping-particle":"","parse-names":false,"suffix":""},{"dropping-particle":"","family":"Anastassiou","given":"Evangelos D.","non-dropping-particle":"","parse-names":false,"suffix":""},{"dropping-particle":"","family":"Filos","given":"Kriton S.","non-dropping-particle":"","parse-names":false,"suffix":""}],"container-title":"Diagnostic Microbiology and Infectious Disease","id":"ITEM-1","issue":"2","issued":{"date-parts":[["2013"]]},"page":"169-173","title":"KPC-producing Klebsiella pneumoniae enteric colonization acquired during intensive care unit stay: The significance of risk factors for its development and its impact on mortality","type":"article-journal","volume":"77"},"uris":["http://www.mendeley.com/documents/?uuid=d097ffc7-b7c0-4d7e-8738-7ba671157262"]}],"mendeley":{"formattedCitation":"&lt;sup&gt;35&lt;/sup&gt;","plainTextFormattedCitation":"35","previouslyFormattedCitation":"&lt;sup&gt;35&lt;/sup&gt;"},"properties":{"noteIndex":0},"schema":"https://github.com/citation-style-language/schema/raw/master/csl-citation.json"}</w:instrText>
            </w:r>
            <w:r w:rsidRPr="00904FBC">
              <w:rPr>
                <w:sz w:val="16"/>
                <w:szCs w:val="16"/>
                <w:lang w:val="en-CA"/>
              </w:rPr>
              <w:fldChar w:fldCharType="separate"/>
            </w:r>
            <w:r w:rsidRPr="00904FBC">
              <w:rPr>
                <w:noProof/>
                <w:sz w:val="16"/>
                <w:szCs w:val="16"/>
                <w:vertAlign w:val="superscript"/>
                <w:lang w:val="en-CA"/>
              </w:rPr>
              <w:t>35</w:t>
            </w:r>
            <w:r w:rsidRPr="00904FBC">
              <w:rPr>
                <w:sz w:val="16"/>
                <w:szCs w:val="16"/>
                <w:lang w:val="en-CA"/>
              </w:rPr>
              <w:fldChar w:fldCharType="end"/>
            </w:r>
          </w:p>
        </w:tc>
        <w:tc>
          <w:tcPr>
            <w:tcW w:w="99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Greece</w:t>
            </w:r>
          </w:p>
        </w:tc>
        <w:tc>
          <w:tcPr>
            <w:tcW w:w="117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Prospective Cohort</w:t>
            </w:r>
          </w:p>
        </w:tc>
        <w:tc>
          <w:tcPr>
            <w:tcW w:w="1260" w:type="dxa"/>
            <w:tcBorders>
              <w:left w:val="double" w:sz="4" w:space="0" w:color="auto"/>
              <w:right w:val="nil"/>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ICU of University Hospital of Patras, Teaching Hospital</w:t>
            </w:r>
          </w:p>
        </w:tc>
        <w:tc>
          <w:tcPr>
            <w:tcW w:w="74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37</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127</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NR</w:t>
            </w:r>
            <w:r w:rsidRPr="00904FBC">
              <w:rPr>
                <w:sz w:val="16"/>
                <w:szCs w:val="16"/>
                <w:vertAlign w:val="superscript"/>
                <w:lang w:val="en-CA"/>
              </w:rPr>
              <w:t>†</w:t>
            </w:r>
          </w:p>
        </w:tc>
        <w:tc>
          <w:tcPr>
            <w:tcW w:w="89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NR</w:t>
            </w:r>
            <w:r w:rsidRPr="00904FBC">
              <w:rPr>
                <w:sz w:val="16"/>
                <w:szCs w:val="16"/>
                <w:vertAlign w:val="superscript"/>
                <w:lang w:val="en-CA"/>
              </w:rPr>
              <w:t>†</w:t>
            </w:r>
          </w:p>
        </w:tc>
        <w:tc>
          <w:tcPr>
            <w:tcW w:w="78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NR</w:t>
            </w:r>
            <w:r w:rsidRPr="00904FBC">
              <w:rPr>
                <w:sz w:val="16"/>
                <w:szCs w:val="16"/>
                <w:vertAlign w:val="superscript"/>
                <w:lang w:val="en-CA"/>
              </w:rPr>
              <w:t>†</w:t>
            </w:r>
          </w:p>
        </w:tc>
        <w:tc>
          <w:tcPr>
            <w:tcW w:w="74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NR</w:t>
            </w:r>
            <w:r w:rsidRPr="00904FBC">
              <w:rPr>
                <w:sz w:val="16"/>
                <w:szCs w:val="16"/>
                <w:vertAlign w:val="superscript"/>
                <w:lang w:val="en-CA"/>
              </w:rPr>
              <w:t>†</w:t>
            </w:r>
          </w:p>
        </w:tc>
        <w:tc>
          <w:tcPr>
            <w:tcW w:w="100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NR (KPC-KP)</w:t>
            </w:r>
          </w:p>
        </w:tc>
        <w:tc>
          <w:tcPr>
            <w:tcW w:w="1027" w:type="dxa"/>
            <w:tcBorders>
              <w:left w:val="double" w:sz="4" w:space="0" w:color="auto"/>
              <w:right w:val="doub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KPC-KP Colonized</w:t>
            </w:r>
          </w:p>
        </w:tc>
        <w:tc>
          <w:tcPr>
            <w:tcW w:w="1661" w:type="dxa"/>
            <w:tcBorders>
              <w:left w:val="double" w:sz="4" w:space="0" w:color="auto"/>
              <w:right w:val="sing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Cases - Obesity (17.7%); Controls - Obesity (27.4%)</w:t>
            </w:r>
          </w:p>
        </w:tc>
      </w:tr>
      <w:tr w:rsidR="00B1258F" w:rsidRPr="00904FBC" w:rsidTr="00904FBC">
        <w:trPr>
          <w:trHeight w:val="7"/>
        </w:trPr>
        <w:tc>
          <w:tcPr>
            <w:tcW w:w="1008" w:type="dxa"/>
            <w:tcBorders>
              <w:left w:val="sing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Qureshi et al. 2012</w:t>
            </w:r>
            <w:r w:rsidRPr="00904FBC">
              <w:rPr>
                <w:sz w:val="16"/>
                <w:szCs w:val="16"/>
                <w:lang w:val="en-CA"/>
              </w:rPr>
              <w:fldChar w:fldCharType="begin" w:fldLock="1"/>
            </w:r>
            <w:r w:rsidRPr="00904FBC">
              <w:rPr>
                <w:sz w:val="16"/>
                <w:szCs w:val="16"/>
                <w:lang w:val="en-CA"/>
              </w:rPr>
              <w:instrText>ADDIN CSL_CITATION {"citationItems":[{"id":"ITEM-1","itemData":{"DOI":"10.1111/j.1469-0691.2011.03658.x","ISBN":"1469-0691 (Electronic)\\r1198-743X (Linking)","ISSN":"14690691","PMID":"21951551","abstract":"Clin Microbiol Infect 2012; 18: 887-893 ABSTRACT: A multicentre, case-control study was conducted to assess risk factors and patient outcomes of bacteraemia caused by Enterobacteriaceae producing extended-spectrum β-lactamases (ESBLs) and Klebsiella pneumoniae carbapenemases (KPCs). One hundred and five and 20 patients with bacteraemia caused by ESBL-producing and KPC-producing organisms were matched to controls who had bacteraemia caused by non-ESBL/KPC-producing organisms, respectively. Independent risk factors for ESBL production included admission from a nursing home (OR 4.64; 95% CI 2.64-8.16), chronic renal failure (OR 2.09; 95% CI 1.11-3.92), the presence of a gastrostomy tube (OR 3.36; 95% CI 1.38-8.18), length of hospital stay before infection (OR 1.02; 95% CI 1.01-1.03), transplant receipt (OR 2.48; 95% CI 1.24-4.95), and receipt of antibiotics with Gram-negative activity in the preceding 30 days (OR 1.76; 95% CI 1.00-3.08). Twenty-eight-day crude mortality rates for patients infected with ESBL-producing or KPC-producing organisms and controls were 29.1% (34/117) and 19.5% (53/272), respectively (OR 1.70; 95% CI 1.04-2.80). On multivariate analysis, inadequate empirical therapy (OR 2.26; 95% CI 1.18-4.34), onset of bacteraemia while in the intensive-care unit (OR 2.74; 95% CI 1.47-5.11), Apache II score (OR 1.17; 95% CI 1.12-1.23) and malignancy (OR 2.66; 95% CI 1.31-5.41) were independent risk factors for mortality. CTX-M was the most common ESBL type in Escherichia coli, whereas SHV predominated in Klebsiella spp. and Enterobacter spp.","author":[{"dropping-particle":"","family":"Qureshi","given":"Z. A.","non-dropping-particle":"","parse-names":false,"suffix":""},{"dropping-particle":"","family":"Paterson","given":"D. L.","non-dropping-particle":"","parse-names":false,"suffix":""},{"dropping-particle":"","family":"Peleg","given":"A. Y.","non-dropping-particle":"","parse-names":false,"suffix":""},{"dropping-particle":"","family":"Adams-Haduch","given":"J. M.","non-dropping-particle":"","parse-names":false,"suffix":""},{"dropping-particle":"","family":"Shutt","given":"K. A.","non-dropping-particle":"","parse-names":false,"suffix":""},{"dropping-particle":"","family":"Pakstis","given":"D. L.","non-dropping-particle":"","parse-names":false,"suffix":""},{"dropping-particle":"","family":"Sordillo","given":"E.","non-dropping-particle":"","parse-names":false,"suffix":""},{"dropping-particle":"","family":"Polsky","given":"B.","non-dropping-particle":"","parse-names":false,"suffix":""},{"dropping-particle":"","family":"Sandkovsky","given":"G.","non-dropping-particle":"","parse-names":false,"suffix":""},{"dropping-particle":"","family":"Bhussar","given":"M. K.","non-dropping-particle":"","parse-names":false,"suffix":""},{"dropping-particle":"","family":"Doi","given":"Y.","non-dropping-particle":"","parse-names":false,"suffix":""}],"container-title":"Clinical Microbiology and Infection","id":"ITEM-1","issue":"9","issued":{"date-parts":[["2012"]]},"page":"887-893","publisher":"European Society of Clinical Infectious Diseases","title":"Clinical characteristics of bacteraemia caused by extended-spectrum β-lactamase-producing Enterobacteriaceae in the era of CTX-M-type and KPC-type β-lactamases","type":"article-journal","volume":"18"},"uris":["http://www.mendeley.com/documents/?uuid=6fd6c5c1-94b0-4d5d-ad46-7515e517d747"]}],"mendeley":{"formattedCitation":"&lt;sup&gt;36&lt;/sup&gt;","plainTextFormattedCitation":"36","previouslyFormattedCitation":"&lt;sup&gt;36&lt;/sup&gt;"},"properties":{"noteIndex":0},"schema":"https://github.com/citation-style-language/schema/raw/master/csl-citation.json"}</w:instrText>
            </w:r>
            <w:r w:rsidRPr="00904FBC">
              <w:rPr>
                <w:sz w:val="16"/>
                <w:szCs w:val="16"/>
                <w:lang w:val="en-CA"/>
              </w:rPr>
              <w:fldChar w:fldCharType="separate"/>
            </w:r>
            <w:r w:rsidRPr="00904FBC">
              <w:rPr>
                <w:noProof/>
                <w:sz w:val="16"/>
                <w:szCs w:val="16"/>
                <w:vertAlign w:val="superscript"/>
                <w:lang w:val="en-CA"/>
              </w:rPr>
              <w:t>36</w:t>
            </w:r>
            <w:r w:rsidRPr="00904FBC">
              <w:rPr>
                <w:sz w:val="16"/>
                <w:szCs w:val="16"/>
                <w:lang w:val="en-CA"/>
              </w:rPr>
              <w:fldChar w:fldCharType="end"/>
            </w:r>
          </w:p>
        </w:tc>
        <w:tc>
          <w:tcPr>
            <w:tcW w:w="99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United States</w:t>
            </w:r>
          </w:p>
        </w:tc>
        <w:tc>
          <w:tcPr>
            <w:tcW w:w="117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Nested Case-Control Studies*</w:t>
            </w:r>
          </w:p>
        </w:tc>
        <w:tc>
          <w:tcPr>
            <w:tcW w:w="1260" w:type="dxa"/>
            <w:tcBorders>
              <w:left w:val="double" w:sz="4" w:space="0" w:color="auto"/>
              <w:right w:val="nil"/>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Three tertiary medical centres in the Northeastern USA (New York, Massachusetts, and Pennsylvania)</w:t>
            </w:r>
          </w:p>
        </w:tc>
        <w:tc>
          <w:tcPr>
            <w:tcW w:w="74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19</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51</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NR</w:t>
            </w:r>
            <w:r w:rsidRPr="00904FBC">
              <w:rPr>
                <w:sz w:val="16"/>
                <w:szCs w:val="16"/>
                <w:vertAlign w:val="superscript"/>
                <w:lang w:val="en-CA"/>
              </w:rPr>
              <w:t>†</w:t>
            </w:r>
          </w:p>
        </w:tc>
        <w:tc>
          <w:tcPr>
            <w:tcW w:w="89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NR</w:t>
            </w:r>
            <w:r w:rsidRPr="00904FBC">
              <w:rPr>
                <w:sz w:val="16"/>
                <w:szCs w:val="16"/>
                <w:vertAlign w:val="superscript"/>
                <w:lang w:val="en-CA"/>
              </w:rPr>
              <w:t>†</w:t>
            </w:r>
          </w:p>
        </w:tc>
        <w:tc>
          <w:tcPr>
            <w:tcW w:w="78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NR</w:t>
            </w:r>
            <w:r w:rsidRPr="00904FBC">
              <w:rPr>
                <w:sz w:val="16"/>
                <w:szCs w:val="16"/>
                <w:vertAlign w:val="superscript"/>
                <w:lang w:val="en-CA"/>
              </w:rPr>
              <w:t>†</w:t>
            </w:r>
          </w:p>
        </w:tc>
        <w:tc>
          <w:tcPr>
            <w:tcW w:w="74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NR</w:t>
            </w:r>
            <w:r w:rsidRPr="00904FBC">
              <w:rPr>
                <w:sz w:val="16"/>
                <w:szCs w:val="16"/>
                <w:vertAlign w:val="superscript"/>
                <w:lang w:val="en-CA"/>
              </w:rPr>
              <w:t>†</w:t>
            </w:r>
          </w:p>
        </w:tc>
        <w:tc>
          <w:tcPr>
            <w:tcW w:w="100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BSI – Bacteremia (KPC-KP)</w:t>
            </w:r>
          </w:p>
        </w:tc>
        <w:tc>
          <w:tcPr>
            <w:tcW w:w="1027" w:type="dxa"/>
            <w:tcBorders>
              <w:left w:val="double" w:sz="4" w:space="0" w:color="auto"/>
              <w:right w:val="doub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ESBL-producing, but KPC (-)</w:t>
            </w:r>
          </w:p>
        </w:tc>
        <w:tc>
          <w:tcPr>
            <w:tcW w:w="1661" w:type="dxa"/>
            <w:tcBorders>
              <w:left w:val="double" w:sz="4" w:space="0" w:color="auto"/>
              <w:right w:val="sing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KPC - Malignancy (40%); ESBL - Diabetes (38.1%)</w:t>
            </w:r>
          </w:p>
        </w:tc>
      </w:tr>
      <w:tr w:rsidR="00B1258F" w:rsidRPr="00904FBC" w:rsidTr="00904FBC">
        <w:trPr>
          <w:trHeight w:val="7"/>
        </w:trPr>
        <w:tc>
          <w:tcPr>
            <w:tcW w:w="1008" w:type="dxa"/>
            <w:tcBorders>
              <w:left w:val="sing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Sánchez-Romero et al. 2011</w:t>
            </w:r>
            <w:r w:rsidRPr="00904FBC">
              <w:rPr>
                <w:sz w:val="16"/>
                <w:szCs w:val="16"/>
                <w:lang w:val="en-CA"/>
              </w:rPr>
              <w:fldChar w:fldCharType="begin" w:fldLock="1"/>
            </w:r>
            <w:r w:rsidRPr="00904FBC">
              <w:rPr>
                <w:sz w:val="16"/>
                <w:szCs w:val="16"/>
                <w:lang w:val="en-CA"/>
              </w:rPr>
              <w:instrText xml:space="preserve">ADDIN CSL_CITATION {"citationItems":[{"id":"ITEM-1","itemData":{"DOI":"10.1128/AAC.05036-11","ISSN":"00664804","abstract":"&lt;p&gt; We study the epidemiology, molecular basis, clinical risk factors, and outcome involved in the clonal dissemination of VIM-1-producing &lt;named-content content-type=\"genus-species\" type=\"simple\"&gt;Klebsiella pneumoniae&lt;/named-content&gt; isolates in the hospital setting. All patients infected/colonized by carbapenem-nonsusceptible &lt;named-content content-type=\"genus-species\" type=\"simple\"&gt;K. pneumoniae&lt;/named-content&gt; (CNSKP) in 2009 were included. Molecular epidemiology was studied by pulsed-field gel electrophoresis (PFGE) and multilocus sequence typing (MLST). Antibiotic resistance genes were analyzed by PCR and sequencing. Plasmids were studied by PFGE with S1 nuclease digestion and for incompatibility group by a PCR-based replicon typing scheme. Risk factors associated with CNSKP colonization/infection were assessed by an observational case-control study. All 55 patients studied were infected ( &lt;italic&gt;n&lt;/italic&gt; = 28) or colonized ( &lt;italic&gt;n&lt;/italic&gt; = 27) by VIM-1-producing &lt;named-content content-type=\"genus-species\" type=\"simple\"&gt;K. pneumoniae&lt;/named-content&gt; . All but one acquired isolates of a single clone (PFGE cluster 1 [C1], sequence type 15 [ST15]), while another clone (PFGE C2, ST340) was detected in four patients. C1 isolates also produced the new extended-spectrum β-lactamase SHV-134. &lt;italic&gt;bla&lt;/italic&gt; &lt;sub&gt;VIM-1&lt;/sub&gt; was carried in a class 1 integron and an untypeable plasmid of </w:instrText>
            </w:r>
            <w:r w:rsidRPr="00904FBC">
              <w:rPr>
                <w:rFonts w:ascii="Cambria Math" w:hAnsi="Cambria Math" w:cs="Cambria Math"/>
                <w:sz w:val="16"/>
                <w:szCs w:val="16"/>
                <w:lang w:val="en-CA"/>
              </w:rPr>
              <w:instrText>∼</w:instrText>
            </w:r>
            <w:r w:rsidRPr="00904FBC">
              <w:rPr>
                <w:sz w:val="16"/>
                <w:szCs w:val="16"/>
                <w:lang w:val="en-CA"/>
              </w:rPr>
              <w:instrText>50 bp. The number of days that the patient received mechanical ventilation, the use of parenteral nutrition, previous treatment with linezolid, and treatment with extended-spectrum cephalosporins for more than 7 days were detected to be independent risk factors for CNSKP acquisition. The VIM-1-producing &lt;named-content content-type=\"genus-species\" type=\"simple\"&gt;K. pneumoniae&lt;/named-content&gt; ST15 clone has a high capacity to spread among intensive care unit patients with severe underlying conditions. A high rate of associated mortality and great difficulty in controlling the spread of this clone, without permanent behavioral changes in the personnel, were observed. &lt;/p&gt;","author":[{"dropping-particle":"","family":"Sánchez-Romero","given":"Isabel","non-dropping-particle":"","parse-names":false,"suffix":""},{"dropping-particle":"","family":"Asensio","given":"Ángel","non-dropping-particle":"","parse-names":false,"suffix":""},{"dropping-particle":"","family":"Oteo","given":"Jesús","non-dropping-particle":"","parse-names":false,"suffix":""},{"dropping-particle":"","family":"Muñoz-Algarra","given":"María","non-dropping-particle":"","parse-names":false,"suffix":""},{"dropping-particle":"","family":"Isidoro","given":"Beatriz","non-dropping-particle":"","parse-names":false,"suffix":""},{"dropping-particle":"","family":"Vindel","given":"Ana","non-dropping-particle":"","parse-names":false,"suffix":""},{"dropping-particle":"","family":"Álvarez-Avello","given":"José","non-dropping-particle":"","parse-names":false,"suffix":""},{"dropping-particle":"","family":"Balandín-Moreno","given":"Bárbara","non-dropping-particle":"","parse-names":false,"suffix":""},{"dropping-particle":"","family":"Cuevas","given":"Oscar","non-dropping-particle":"","parse-names":false,"suffix":""},{"dropping-particle":"","family":"Fernández-Romero","given":"Sara","non-dropping-particle":"","parse-names":false,"suffix":""},{"dropping-particle":"","family":"Azañedo","given":"Luisa","non-dropping-particle":"","parse-names":false,"suffix":""},{"dropping-particle":"","family":"Sáez","given":"David","non-dropping-particle":"","parse-names":false,"suffix":""},{"dropping-particle":"","family":"Campos","given":"José","non-dropping-particle":"","parse-names":false,"suffix":""}],"container-title":"Antimicrobial Agents and Chemotherapy","id":"ITEM-1","issue":"1","issued":{"date-parts":[["2012"]]},"page":"420-427","title":"Nosocomial outbreak of VIM-1-producing Klebsiella pneumoniae isolates of multilocus sequence type 15: Molecular basis, clinical risk factors, and outcome","type":"article-journal","volume":"56"},"uris":["http://www.mendeley.com/documents/?uuid=139a4e04-11e6-4d65-9e8a-84e2988ddbf9"]}],"mendeley":{"formattedCitation":"&lt;sup&gt;37&lt;/sup&gt;","plainTextFormattedCitation":"37","previouslyFormattedCitation":"&lt;sup&gt;37&lt;/sup&gt;"},"properties":{"noteIndex":0},"schema":"https://github.com/citation-style-language/schema/raw/master/csl-citation.json"}</w:instrText>
            </w:r>
            <w:r w:rsidRPr="00904FBC">
              <w:rPr>
                <w:sz w:val="16"/>
                <w:szCs w:val="16"/>
                <w:lang w:val="en-CA"/>
              </w:rPr>
              <w:fldChar w:fldCharType="separate"/>
            </w:r>
            <w:r w:rsidRPr="00904FBC">
              <w:rPr>
                <w:noProof/>
                <w:sz w:val="16"/>
                <w:szCs w:val="16"/>
                <w:vertAlign w:val="superscript"/>
                <w:lang w:val="en-CA"/>
              </w:rPr>
              <w:t>37</w:t>
            </w:r>
            <w:r w:rsidRPr="00904FBC">
              <w:rPr>
                <w:sz w:val="16"/>
                <w:szCs w:val="16"/>
                <w:lang w:val="en-CA"/>
              </w:rPr>
              <w:fldChar w:fldCharType="end"/>
            </w:r>
          </w:p>
        </w:tc>
        <w:tc>
          <w:tcPr>
            <w:tcW w:w="99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Spain</w:t>
            </w:r>
          </w:p>
        </w:tc>
        <w:tc>
          <w:tcPr>
            <w:tcW w:w="117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Case-Control*</w:t>
            </w:r>
          </w:p>
        </w:tc>
        <w:tc>
          <w:tcPr>
            <w:tcW w:w="1260" w:type="dxa"/>
            <w:tcBorders>
              <w:left w:val="double" w:sz="4" w:space="0" w:color="auto"/>
              <w:right w:val="nil"/>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Tertiary Care University Hospital Puerta de Hierro Majadahonda</w:t>
            </w:r>
          </w:p>
        </w:tc>
        <w:tc>
          <w:tcPr>
            <w:tcW w:w="74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28</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55</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55.4 (12.6)</w:t>
            </w:r>
          </w:p>
        </w:tc>
        <w:tc>
          <w:tcPr>
            <w:tcW w:w="89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NR</w:t>
            </w:r>
            <w:r w:rsidRPr="00904FBC">
              <w:rPr>
                <w:sz w:val="16"/>
                <w:szCs w:val="16"/>
                <w:vertAlign w:val="superscript"/>
                <w:lang w:val="en-CA"/>
              </w:rPr>
              <w:t>†</w:t>
            </w:r>
          </w:p>
        </w:tc>
        <w:tc>
          <w:tcPr>
            <w:tcW w:w="78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32.1%</w:t>
            </w:r>
          </w:p>
        </w:tc>
        <w:tc>
          <w:tcPr>
            <w:tcW w:w="74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NR</w:t>
            </w:r>
            <w:r w:rsidRPr="00904FBC">
              <w:rPr>
                <w:sz w:val="16"/>
                <w:szCs w:val="16"/>
                <w:vertAlign w:val="superscript"/>
                <w:lang w:val="en-CA"/>
              </w:rPr>
              <w:t>†</w:t>
            </w:r>
          </w:p>
        </w:tc>
        <w:tc>
          <w:tcPr>
            <w:tcW w:w="100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Pneumonia (VIM-KP)</w:t>
            </w:r>
          </w:p>
        </w:tc>
        <w:tc>
          <w:tcPr>
            <w:tcW w:w="1027" w:type="dxa"/>
            <w:tcBorders>
              <w:left w:val="double" w:sz="4" w:space="0" w:color="auto"/>
              <w:right w:val="doub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CS</w:t>
            </w:r>
          </w:p>
        </w:tc>
        <w:tc>
          <w:tcPr>
            <w:tcW w:w="1661" w:type="dxa"/>
            <w:tcBorders>
              <w:left w:val="double" w:sz="4" w:space="0" w:color="auto"/>
              <w:right w:val="sing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Cases - Cardiovascular (38.2%); Controls - Cardiovascular (43.6%)</w:t>
            </w:r>
          </w:p>
        </w:tc>
      </w:tr>
      <w:tr w:rsidR="00B1258F" w:rsidRPr="00904FBC" w:rsidTr="00904FBC">
        <w:trPr>
          <w:trHeight w:val="7"/>
        </w:trPr>
        <w:tc>
          <w:tcPr>
            <w:tcW w:w="1008" w:type="dxa"/>
            <w:tcBorders>
              <w:left w:val="single" w:sz="4" w:space="0" w:color="auto"/>
              <w:right w:val="double" w:sz="4" w:space="0" w:color="auto"/>
            </w:tcBorders>
            <w:shd w:val="clear" w:color="auto" w:fill="D9D9D9"/>
            <w:vAlign w:val="center"/>
          </w:tcPr>
          <w:p w:rsidR="00B1258F" w:rsidRPr="00904FBC" w:rsidRDefault="00B1258F" w:rsidP="00904FBC">
            <w:pPr>
              <w:pageBreakBefore/>
              <w:spacing w:after="0" w:line="240" w:lineRule="auto"/>
              <w:rPr>
                <w:sz w:val="16"/>
                <w:szCs w:val="16"/>
                <w:lang w:val="en-CA"/>
              </w:rPr>
            </w:pPr>
            <w:r w:rsidRPr="00904FBC">
              <w:rPr>
                <w:b/>
                <w:sz w:val="16"/>
                <w:szCs w:val="16"/>
                <w:lang w:val="en-CA"/>
              </w:rPr>
              <w:lastRenderedPageBreak/>
              <w:t>First-Author and Publication Year</w:t>
            </w:r>
          </w:p>
        </w:tc>
        <w:tc>
          <w:tcPr>
            <w:tcW w:w="990" w:type="dxa"/>
            <w:tcBorders>
              <w:left w:val="double" w:sz="4" w:space="0" w:color="auto"/>
              <w:right w:val="double" w:sz="4" w:space="0" w:color="auto"/>
            </w:tcBorders>
            <w:shd w:val="clear" w:color="auto" w:fill="D9D9D9"/>
            <w:vAlign w:val="center"/>
          </w:tcPr>
          <w:p w:rsidR="00B1258F" w:rsidRPr="00904FBC" w:rsidRDefault="00B1258F" w:rsidP="00904FBC">
            <w:pPr>
              <w:spacing w:after="0" w:line="240" w:lineRule="auto"/>
              <w:rPr>
                <w:sz w:val="16"/>
                <w:szCs w:val="16"/>
                <w:lang w:val="en-CA"/>
              </w:rPr>
            </w:pPr>
            <w:r w:rsidRPr="00904FBC">
              <w:rPr>
                <w:b/>
                <w:sz w:val="16"/>
                <w:szCs w:val="16"/>
                <w:lang w:val="en-CA"/>
              </w:rPr>
              <w:t>Country of Publication</w:t>
            </w:r>
          </w:p>
        </w:tc>
        <w:tc>
          <w:tcPr>
            <w:tcW w:w="1170" w:type="dxa"/>
            <w:tcBorders>
              <w:left w:val="double" w:sz="4" w:space="0" w:color="auto"/>
              <w:right w:val="double" w:sz="4" w:space="0" w:color="auto"/>
            </w:tcBorders>
            <w:shd w:val="clear" w:color="auto" w:fill="D9D9D9"/>
            <w:vAlign w:val="center"/>
          </w:tcPr>
          <w:p w:rsidR="00B1258F" w:rsidRPr="00904FBC" w:rsidRDefault="00B1258F" w:rsidP="00904FBC">
            <w:pPr>
              <w:spacing w:after="0" w:line="240" w:lineRule="auto"/>
              <w:rPr>
                <w:sz w:val="16"/>
                <w:szCs w:val="16"/>
                <w:lang w:val="en-CA"/>
              </w:rPr>
            </w:pPr>
            <w:r w:rsidRPr="00904FBC">
              <w:rPr>
                <w:b/>
                <w:sz w:val="16"/>
                <w:szCs w:val="16"/>
                <w:lang w:val="en-CA"/>
              </w:rPr>
              <w:t>Study Design</w:t>
            </w:r>
          </w:p>
        </w:tc>
        <w:tc>
          <w:tcPr>
            <w:tcW w:w="1260" w:type="dxa"/>
            <w:tcBorders>
              <w:left w:val="double" w:sz="4" w:space="0" w:color="auto"/>
              <w:right w:val="nil"/>
            </w:tcBorders>
            <w:shd w:val="clear" w:color="auto" w:fill="D9D9D9"/>
            <w:vAlign w:val="center"/>
          </w:tcPr>
          <w:p w:rsidR="00B1258F" w:rsidRPr="00904FBC" w:rsidRDefault="00B1258F" w:rsidP="00904FBC">
            <w:pPr>
              <w:spacing w:after="0" w:line="240" w:lineRule="auto"/>
              <w:rPr>
                <w:sz w:val="16"/>
                <w:szCs w:val="16"/>
                <w:lang w:val="en-CA"/>
              </w:rPr>
            </w:pPr>
            <w:r w:rsidRPr="00904FBC">
              <w:rPr>
                <w:b/>
                <w:sz w:val="16"/>
                <w:szCs w:val="16"/>
                <w:lang w:val="en-CA"/>
              </w:rPr>
              <w:t>Study Setting</w:t>
            </w:r>
          </w:p>
        </w:tc>
        <w:tc>
          <w:tcPr>
            <w:tcW w:w="745" w:type="dxa"/>
            <w:tcBorders>
              <w:left w:val="double" w:sz="4" w:space="0" w:color="auto"/>
              <w:right w:val="nil"/>
            </w:tcBorders>
            <w:shd w:val="clear" w:color="auto" w:fill="D9D9D9"/>
            <w:vAlign w:val="center"/>
          </w:tcPr>
          <w:p w:rsidR="00B1258F" w:rsidRPr="00904FBC" w:rsidRDefault="00B1258F" w:rsidP="00904FBC">
            <w:pPr>
              <w:spacing w:after="0" w:line="240" w:lineRule="auto"/>
              <w:rPr>
                <w:sz w:val="16"/>
                <w:szCs w:val="16"/>
                <w:lang w:val="en-CA"/>
              </w:rPr>
            </w:pPr>
            <w:r w:rsidRPr="00904FBC">
              <w:rPr>
                <w:b/>
                <w:sz w:val="16"/>
                <w:szCs w:val="16"/>
                <w:lang w:val="en-CA"/>
              </w:rPr>
              <w:t>No. Cases</w:t>
            </w:r>
          </w:p>
        </w:tc>
        <w:tc>
          <w:tcPr>
            <w:tcW w:w="892" w:type="dxa"/>
            <w:tcBorders>
              <w:left w:val="double" w:sz="4" w:space="0" w:color="auto"/>
              <w:right w:val="nil"/>
            </w:tcBorders>
            <w:shd w:val="clear" w:color="auto" w:fill="D9D9D9"/>
            <w:vAlign w:val="center"/>
          </w:tcPr>
          <w:p w:rsidR="00B1258F" w:rsidRPr="00904FBC" w:rsidRDefault="00B1258F" w:rsidP="00904FBC">
            <w:pPr>
              <w:spacing w:after="0" w:line="240" w:lineRule="auto"/>
              <w:rPr>
                <w:sz w:val="16"/>
                <w:szCs w:val="16"/>
                <w:lang w:val="en-CA"/>
              </w:rPr>
            </w:pPr>
            <w:r w:rsidRPr="00904FBC">
              <w:rPr>
                <w:b/>
                <w:sz w:val="16"/>
                <w:szCs w:val="16"/>
                <w:lang w:val="en-CA"/>
              </w:rPr>
              <w:t>No. Controls</w:t>
            </w:r>
          </w:p>
        </w:tc>
        <w:tc>
          <w:tcPr>
            <w:tcW w:w="892" w:type="dxa"/>
            <w:tcBorders>
              <w:left w:val="double" w:sz="4" w:space="0" w:color="auto"/>
              <w:right w:val="nil"/>
            </w:tcBorders>
            <w:shd w:val="clear" w:color="auto" w:fill="D9D9D9"/>
            <w:vAlign w:val="center"/>
          </w:tcPr>
          <w:p w:rsidR="00B1258F" w:rsidRPr="00904FBC" w:rsidRDefault="00B1258F" w:rsidP="00904FBC">
            <w:pPr>
              <w:spacing w:after="0" w:line="240" w:lineRule="auto"/>
              <w:rPr>
                <w:rFonts w:eastAsia="Times New Roman"/>
                <w:color w:val="000000"/>
                <w:sz w:val="16"/>
                <w:szCs w:val="16"/>
                <w:lang w:val="en-CA"/>
              </w:rPr>
            </w:pPr>
            <w:r w:rsidRPr="00904FBC">
              <w:rPr>
                <w:b/>
                <w:sz w:val="16"/>
                <w:szCs w:val="16"/>
                <w:lang w:val="en-CA"/>
              </w:rPr>
              <w:t>Mean Age (SD) Cases</w:t>
            </w:r>
          </w:p>
        </w:tc>
        <w:tc>
          <w:tcPr>
            <w:tcW w:w="893" w:type="dxa"/>
            <w:tcBorders>
              <w:left w:val="double" w:sz="4" w:space="0" w:color="auto"/>
              <w:right w:val="nil"/>
            </w:tcBorders>
            <w:shd w:val="clear" w:color="auto" w:fill="D9D9D9"/>
            <w:vAlign w:val="center"/>
          </w:tcPr>
          <w:p w:rsidR="00B1258F" w:rsidRPr="00904FBC" w:rsidRDefault="00B1258F" w:rsidP="00904FBC">
            <w:pPr>
              <w:spacing w:after="0" w:line="240" w:lineRule="auto"/>
              <w:rPr>
                <w:rFonts w:eastAsia="Times New Roman"/>
                <w:color w:val="000000"/>
                <w:sz w:val="16"/>
                <w:szCs w:val="16"/>
                <w:lang w:val="en-CA"/>
              </w:rPr>
            </w:pPr>
            <w:r w:rsidRPr="00904FBC">
              <w:rPr>
                <w:b/>
                <w:sz w:val="16"/>
                <w:szCs w:val="16"/>
                <w:lang w:val="en-CA"/>
              </w:rPr>
              <w:t>Mean Age (SD) Controls</w:t>
            </w:r>
          </w:p>
        </w:tc>
        <w:tc>
          <w:tcPr>
            <w:tcW w:w="785" w:type="dxa"/>
            <w:tcBorders>
              <w:left w:val="double" w:sz="4" w:space="0" w:color="auto"/>
              <w:right w:val="nil"/>
            </w:tcBorders>
            <w:shd w:val="clear" w:color="auto" w:fill="D9D9D9"/>
            <w:vAlign w:val="center"/>
          </w:tcPr>
          <w:p w:rsidR="00B1258F" w:rsidRPr="00904FBC" w:rsidRDefault="00B1258F" w:rsidP="00904FBC">
            <w:pPr>
              <w:spacing w:after="0" w:line="240" w:lineRule="auto"/>
              <w:rPr>
                <w:sz w:val="16"/>
                <w:szCs w:val="16"/>
                <w:lang w:val="en-CA"/>
              </w:rPr>
            </w:pPr>
            <w:r w:rsidRPr="00904FBC">
              <w:rPr>
                <w:rFonts w:eastAsia="Times New Roman"/>
                <w:b/>
                <w:sz w:val="16"/>
                <w:szCs w:val="16"/>
                <w:lang w:val="en-CA"/>
              </w:rPr>
              <w:t>Sex (%) Female Cases</w:t>
            </w:r>
          </w:p>
        </w:tc>
        <w:tc>
          <w:tcPr>
            <w:tcW w:w="743" w:type="dxa"/>
            <w:tcBorders>
              <w:left w:val="double" w:sz="4" w:space="0" w:color="auto"/>
              <w:right w:val="nil"/>
            </w:tcBorders>
            <w:shd w:val="clear" w:color="auto" w:fill="D9D9D9"/>
            <w:vAlign w:val="center"/>
          </w:tcPr>
          <w:p w:rsidR="00B1258F" w:rsidRPr="00904FBC" w:rsidRDefault="00B1258F" w:rsidP="00904FBC">
            <w:pPr>
              <w:spacing w:after="0" w:line="240" w:lineRule="auto"/>
              <w:rPr>
                <w:sz w:val="16"/>
                <w:szCs w:val="16"/>
                <w:lang w:val="en-CA"/>
              </w:rPr>
            </w:pPr>
            <w:r w:rsidRPr="00904FBC">
              <w:rPr>
                <w:rFonts w:eastAsia="Times New Roman"/>
                <w:b/>
                <w:sz w:val="16"/>
                <w:szCs w:val="16"/>
                <w:lang w:val="en-CA"/>
              </w:rPr>
              <w:t>Sex (%) Female Controls</w:t>
            </w:r>
          </w:p>
        </w:tc>
        <w:tc>
          <w:tcPr>
            <w:tcW w:w="1002" w:type="dxa"/>
            <w:tcBorders>
              <w:left w:val="double" w:sz="4" w:space="0" w:color="auto"/>
              <w:right w:val="nil"/>
            </w:tcBorders>
            <w:shd w:val="clear" w:color="auto" w:fill="D9D9D9"/>
            <w:vAlign w:val="center"/>
          </w:tcPr>
          <w:p w:rsidR="00B1258F" w:rsidRPr="00904FBC" w:rsidRDefault="00B1258F" w:rsidP="00904FBC">
            <w:pPr>
              <w:spacing w:after="0" w:line="240" w:lineRule="auto"/>
              <w:rPr>
                <w:sz w:val="16"/>
                <w:szCs w:val="16"/>
                <w:lang w:val="en-CA"/>
              </w:rPr>
            </w:pPr>
            <w:r w:rsidRPr="00904FBC">
              <w:rPr>
                <w:rFonts w:eastAsia="Times New Roman"/>
                <w:b/>
                <w:sz w:val="16"/>
                <w:szCs w:val="16"/>
                <w:lang w:val="en-CA"/>
              </w:rPr>
              <w:t>Most Common Infection Cases (Enzyme-Bacteria)</w:t>
            </w:r>
          </w:p>
        </w:tc>
        <w:tc>
          <w:tcPr>
            <w:tcW w:w="1027" w:type="dxa"/>
            <w:tcBorders>
              <w:left w:val="double" w:sz="4" w:space="0" w:color="auto"/>
              <w:right w:val="double" w:sz="4" w:space="0" w:color="auto"/>
            </w:tcBorders>
            <w:shd w:val="clear" w:color="auto" w:fill="D9D9D9"/>
            <w:vAlign w:val="center"/>
          </w:tcPr>
          <w:p w:rsidR="00B1258F" w:rsidRPr="00904FBC" w:rsidRDefault="00B1258F" w:rsidP="00904FBC">
            <w:pPr>
              <w:spacing w:after="0" w:line="240" w:lineRule="auto"/>
              <w:rPr>
                <w:sz w:val="16"/>
                <w:szCs w:val="16"/>
                <w:lang w:val="en-CA"/>
              </w:rPr>
            </w:pPr>
            <w:r w:rsidRPr="00904FBC">
              <w:rPr>
                <w:rFonts w:eastAsia="Times New Roman"/>
                <w:b/>
                <w:sz w:val="16"/>
                <w:szCs w:val="16"/>
                <w:lang w:val="en-CA"/>
              </w:rPr>
              <w:t>Control Group Definition</w:t>
            </w:r>
          </w:p>
        </w:tc>
        <w:tc>
          <w:tcPr>
            <w:tcW w:w="1661" w:type="dxa"/>
            <w:tcBorders>
              <w:left w:val="double" w:sz="4" w:space="0" w:color="auto"/>
              <w:right w:val="single" w:sz="4" w:space="0" w:color="auto"/>
            </w:tcBorders>
            <w:shd w:val="clear" w:color="auto" w:fill="D9D9D9"/>
            <w:vAlign w:val="center"/>
          </w:tcPr>
          <w:p w:rsidR="00B1258F" w:rsidRPr="00904FBC" w:rsidRDefault="00B1258F" w:rsidP="00904FBC">
            <w:pPr>
              <w:spacing w:after="0" w:line="240" w:lineRule="auto"/>
              <w:rPr>
                <w:sz w:val="16"/>
                <w:szCs w:val="16"/>
                <w:lang w:val="en-CA"/>
              </w:rPr>
            </w:pPr>
            <w:r w:rsidRPr="00904FBC">
              <w:rPr>
                <w:rFonts w:eastAsia="Times New Roman"/>
                <w:b/>
                <w:sz w:val="16"/>
                <w:szCs w:val="16"/>
                <w:lang w:val="en-CA"/>
              </w:rPr>
              <w:t>Main Comorbidities (%)</w:t>
            </w:r>
          </w:p>
        </w:tc>
      </w:tr>
      <w:tr w:rsidR="00B1258F" w:rsidRPr="00904FBC" w:rsidTr="00904FBC">
        <w:trPr>
          <w:trHeight w:val="7"/>
        </w:trPr>
        <w:tc>
          <w:tcPr>
            <w:tcW w:w="1008" w:type="dxa"/>
            <w:tcBorders>
              <w:left w:val="sing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Sbrana et al. 2016</w:t>
            </w:r>
            <w:r w:rsidRPr="00904FBC">
              <w:rPr>
                <w:sz w:val="16"/>
                <w:szCs w:val="16"/>
                <w:lang w:val="en-CA"/>
              </w:rPr>
              <w:fldChar w:fldCharType="begin" w:fldLock="1"/>
            </w:r>
            <w:r w:rsidRPr="00904FBC">
              <w:rPr>
                <w:sz w:val="16"/>
                <w:szCs w:val="16"/>
                <w:lang w:val="en-CA"/>
              </w:rPr>
              <w:instrText>ADDIN CSL_CITATION {"citationItems":[{"id":"ITEM-1","itemData":{"author":[{"dropping-particle":"","family":"Sbrana","given":"Francesco","non-dropping-particle":"","parse-names":false,"suffix":""},{"dropping-particle":"","family":"Malacarne","given":"Paolo","non-dropping-particle":"","parse-names":false,"suffix":""},{"dropping-particle":"","family":"Bassetti","given":"Matteo","non-dropping-particle":"","parse-names":false,"suffix":""},{"dropping-particle":"","family":"Tascini","given":"Carlo","non-dropping-particle":"","parse-names":false,"suffix":""},{"dropping-particle":"","family":"Vegnuti","given":"Lara","non-dropping-particle":"","parse-names":false,"suffix":""},{"dropping-particle":"Della","family":"Siega","given":"Paola","non-dropping-particle":"","parse-names":false,"suffix":""},{"dropping-particle":"","family":"Ripoli","given":"Andrea","non-dropping-particle":"","parse-names":false,"suffix":""},{"dropping-particle":"","family":"Ansaldi","given":"Filippo","non-dropping-particle":"","parse-names":false,"suffix":""},{"dropping-particle":"","family":"Menichetti","given":"Francesco","non-dropping-particle":"","parse-names":false,"suffix":""},{"dropping-particle":"","family":"Toscana","given":"Fondazione","non-dropping-particle":"","parse-names":false,"suffix":""},{"dropping-particle":"","family":"Monasterio","given":"Gabriele","non-dropping-particle":"","parse-names":false,"suffix":""},{"dropping-particle":"","family":"Anestesia","given":"U O","non-dropping-particle":"","parse-names":false,"suffix":""},{"dropping-particle":"","family":"Vi","given":"Rianimazione","non-dropping-particle":"","parse-names":false,"suffix":""}],"container-title":"Minerva Anestesiologica","id":"ITEM-1","issue":"6","issued":{"date-parts":[["2016"]]},"page":"635-640","title":"Risk factors for ventilator associated pneumonia due to carbapenemase-producing Klebsiella pneumoniae in mechanically ventilated patients with tracheal and rectal colonization","type":"article-journal","volume":"82"},"uris":["http://www.mendeley.com/documents/?uuid=28c1b302-1a2e-41ed-8330-9a95ab9dde68"]}],"mendeley":{"formattedCitation":"&lt;sup&gt;23&lt;/sup&gt;","plainTextFormattedCitation":"23","previouslyFormattedCitation":"&lt;sup&gt;23&lt;/sup&gt;"},"properties":{"noteIndex":0},"schema":"https://github.com/citation-style-language/schema/raw/master/csl-citation.json"}</w:instrText>
            </w:r>
            <w:r w:rsidRPr="00904FBC">
              <w:rPr>
                <w:sz w:val="16"/>
                <w:szCs w:val="16"/>
                <w:lang w:val="en-CA"/>
              </w:rPr>
              <w:fldChar w:fldCharType="separate"/>
            </w:r>
            <w:r w:rsidRPr="00904FBC">
              <w:rPr>
                <w:noProof/>
                <w:sz w:val="16"/>
                <w:szCs w:val="16"/>
                <w:vertAlign w:val="superscript"/>
                <w:lang w:val="en-CA"/>
              </w:rPr>
              <w:t>23</w:t>
            </w:r>
            <w:r w:rsidRPr="00904FBC">
              <w:rPr>
                <w:sz w:val="16"/>
                <w:szCs w:val="16"/>
                <w:lang w:val="en-CA"/>
              </w:rPr>
              <w:fldChar w:fldCharType="end"/>
            </w:r>
          </w:p>
        </w:tc>
        <w:tc>
          <w:tcPr>
            <w:tcW w:w="99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Italy</w:t>
            </w:r>
          </w:p>
        </w:tc>
        <w:tc>
          <w:tcPr>
            <w:tcW w:w="117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Matched Case-Control*</w:t>
            </w:r>
          </w:p>
        </w:tc>
        <w:tc>
          <w:tcPr>
            <w:tcW w:w="1260" w:type="dxa"/>
            <w:tcBorders>
              <w:left w:val="double" w:sz="4" w:space="0" w:color="auto"/>
              <w:right w:val="nil"/>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Medical-surgical-trauma ICU</w:t>
            </w:r>
          </w:p>
        </w:tc>
        <w:tc>
          <w:tcPr>
            <w:tcW w:w="74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30</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60</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57 (18)</w:t>
            </w:r>
          </w:p>
        </w:tc>
        <w:tc>
          <w:tcPr>
            <w:tcW w:w="89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56 (18)</w:t>
            </w:r>
          </w:p>
        </w:tc>
        <w:tc>
          <w:tcPr>
            <w:tcW w:w="78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17%</w:t>
            </w:r>
          </w:p>
        </w:tc>
        <w:tc>
          <w:tcPr>
            <w:tcW w:w="74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22%</w:t>
            </w:r>
          </w:p>
        </w:tc>
        <w:tc>
          <w:tcPr>
            <w:tcW w:w="100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Ventilator associated pneumonia (KPC-KP)</w:t>
            </w:r>
          </w:p>
        </w:tc>
        <w:tc>
          <w:tcPr>
            <w:tcW w:w="1027" w:type="dxa"/>
            <w:tcBorders>
              <w:left w:val="double" w:sz="4" w:space="0" w:color="auto"/>
              <w:right w:val="doub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KPC-KP Colonized</w:t>
            </w:r>
          </w:p>
        </w:tc>
        <w:tc>
          <w:tcPr>
            <w:tcW w:w="1661" w:type="dxa"/>
            <w:tcBorders>
              <w:left w:val="double" w:sz="4" w:space="0" w:color="auto"/>
              <w:right w:val="sing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40% comorbidity in case and control (heart failure, renal replacement therapy, COPD, and/or insulin-dependent diabetes mellitus)</w:t>
            </w:r>
          </w:p>
        </w:tc>
      </w:tr>
      <w:tr w:rsidR="00B1258F" w:rsidRPr="00904FBC" w:rsidTr="00904FBC">
        <w:trPr>
          <w:trHeight w:val="7"/>
        </w:trPr>
        <w:tc>
          <w:tcPr>
            <w:tcW w:w="1008" w:type="dxa"/>
            <w:tcBorders>
              <w:left w:val="sing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Shilo et al. 2013</w:t>
            </w:r>
            <w:r w:rsidRPr="00904FBC">
              <w:rPr>
                <w:sz w:val="16"/>
                <w:szCs w:val="16"/>
                <w:lang w:val="en-CA"/>
              </w:rPr>
              <w:fldChar w:fldCharType="begin" w:fldLock="1"/>
            </w:r>
            <w:r w:rsidRPr="00904FBC">
              <w:rPr>
                <w:sz w:val="16"/>
                <w:szCs w:val="16"/>
                <w:lang w:val="en-CA"/>
              </w:rPr>
              <w:instrText>ADDIN CSL_CITATION {"citationItems":[{"id":"ITEM-1","itemData":{"DOI":"10.1007/s15010-012-0380-0","ISBN":"1439-0973 (Electronic)\\r0300-8126 (Linking)","ISSN":"03008126","PMID":"23271210","abstract":"BACKGROUND: The objective of this study was to evaluate the mortality of and risk factors for bacteriuria due to carbapenem-resistant Klebsiella pneumoniae (CRKp) versus carbapenem-susceptible K. pneumoniae (CSKp) producing extended spectrum β lactamase (ESBL).\\n\\nMETHODS: This was a retrospective case-control study in which 135 case-patients with bacteriuria due to CRKp were compared with 127 control patients with CSKp producing ESBL. In a first step, multivariate Cox regression and Kaplan-Meier survival analysis models were used to determine the difference in mortality between the two groups and risk factors for mortality. In a second step, a univariate analysis was used to identify risk factors for CRKp colonization.\\n\\nRESULTS: There were no significant demographic or clinical differences between the groups. In-hospital mortality in the study and control groups was 29 and 25 %, respectively (non-significant difference). Multivariate analysis revealed that the most important risk factor for mortality in both groups was being bed ridden [hazard ratio 2.2, 95 % confidence interval (CI) 1.23-3.93; P = 0.008]. Patients with CRKp bacteriuria had a longer hospitalization time with a mean ± standard deviation of 28 ± 33 days compared to 22 ± 28 days in the control group (P &lt; 0.05). Several univariate risk factors for acquiring CRKp bacteriuria were identified: antibiotic use [odds ratio (OR) 1.93, 95 % CI 1.18-3.17, p = 0.008], especially colistin (OR 2.04, 95 % CI 1.04-4.02; P = 0.036), presence of a urinary catheter (OR 2.09, 95 % CI 1.2-3.63; P = 0.008), surgery (OR 3.94, 95 % CI 1.85-8.37; P = 0.0002), invasive procedures (OR 3.06, 95 % CI 1.61-5.8; P = 0.0004), and intensive care unit admission (OR 2.49, 95 % CI 1.18-5.37; P = 0.015).\\n\\nCONCLUSION: Bacteriuria caused by CRKp as compared that caused by CSKp was not found to be a risk factor for death.","author":[{"dropping-particle":"","family":"Shilo","given":"S.","non-dropping-particle":"","parse-names":false,"suffix":""},{"dropping-particle":"V.","family":"Assous","given":"M.","non-dropping-particle":"","parse-names":false,"suffix":""},{"dropping-particle":"","family":"Lachish","given":"T.","non-dropping-particle":"","parse-names":false,"suffix":""},{"dropping-particle":"","family":"Kopuit","given":"P.","non-dropping-particle":"","parse-names":false,"suffix":""},{"dropping-particle":"","family":"Bdolah-Abram","given":"T.","non-dropping-particle":"","parse-names":false,"suffix":""},{"dropping-particle":"","family":"Yinnon","given":"A. M.","non-dropping-particle":"","parse-names":false,"suffix":""},{"dropping-particle":"","family":"Wiener-Well","given":"Y.","non-dropping-particle":"","parse-names":false,"suffix":""}],"container-title":"Infection","id":"ITEM-1","issue":"2","issued":{"date-parts":[["2013"]]},"page":"503-509","title":"Risk factors for bacteriuria with carbapenem-resistant Klebsiella pneumoniae and its impact on mortality: A case-control study","type":"article-journal","volume":"41"},"uris":["http://www.mendeley.com/documents/?uuid=4f6d373c-545a-4c2b-a037-3522c366280a"]}],"mendeley":{"formattedCitation":"&lt;sup&gt;24&lt;/sup&gt;","plainTextFormattedCitation":"24","previouslyFormattedCitation":"&lt;sup&gt;24&lt;/sup&gt;"},"properties":{"noteIndex":0},"schema":"https://github.com/citation-style-language/schema/raw/master/csl-citation.json"}</w:instrText>
            </w:r>
            <w:r w:rsidRPr="00904FBC">
              <w:rPr>
                <w:sz w:val="16"/>
                <w:szCs w:val="16"/>
                <w:lang w:val="en-CA"/>
              </w:rPr>
              <w:fldChar w:fldCharType="separate"/>
            </w:r>
            <w:r w:rsidRPr="00904FBC">
              <w:rPr>
                <w:noProof/>
                <w:sz w:val="16"/>
                <w:szCs w:val="16"/>
                <w:vertAlign w:val="superscript"/>
                <w:lang w:val="en-CA"/>
              </w:rPr>
              <w:t>24</w:t>
            </w:r>
            <w:r w:rsidRPr="00904FBC">
              <w:rPr>
                <w:sz w:val="16"/>
                <w:szCs w:val="16"/>
                <w:lang w:val="en-CA"/>
              </w:rPr>
              <w:fldChar w:fldCharType="end"/>
            </w:r>
          </w:p>
        </w:tc>
        <w:tc>
          <w:tcPr>
            <w:tcW w:w="99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Israel</w:t>
            </w:r>
          </w:p>
        </w:tc>
        <w:tc>
          <w:tcPr>
            <w:tcW w:w="117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Matched Case-Control*</w:t>
            </w:r>
          </w:p>
        </w:tc>
        <w:tc>
          <w:tcPr>
            <w:tcW w:w="1260" w:type="dxa"/>
            <w:tcBorders>
              <w:left w:val="double" w:sz="4" w:space="0" w:color="auto"/>
              <w:right w:val="nil"/>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Shaare Zedek Medical Centre, University-Affiliated Hospital</w:t>
            </w:r>
          </w:p>
        </w:tc>
        <w:tc>
          <w:tcPr>
            <w:tcW w:w="74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135</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127</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 xml:space="preserve"> 77 (14)</w:t>
            </w:r>
          </w:p>
        </w:tc>
        <w:tc>
          <w:tcPr>
            <w:tcW w:w="89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80 (13)</w:t>
            </w:r>
          </w:p>
        </w:tc>
        <w:tc>
          <w:tcPr>
            <w:tcW w:w="78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 xml:space="preserve"> 54%</w:t>
            </w:r>
          </w:p>
        </w:tc>
        <w:tc>
          <w:tcPr>
            <w:tcW w:w="74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58%</w:t>
            </w:r>
          </w:p>
        </w:tc>
        <w:tc>
          <w:tcPr>
            <w:tcW w:w="100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Bacteriuria, possibility of UTI (KPC-KP)</w:t>
            </w:r>
          </w:p>
        </w:tc>
        <w:tc>
          <w:tcPr>
            <w:tcW w:w="1027" w:type="dxa"/>
            <w:tcBorders>
              <w:left w:val="double" w:sz="4" w:space="0" w:color="auto"/>
              <w:right w:val="doub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 xml:space="preserve">ESBL-producing CS KP </w:t>
            </w:r>
          </w:p>
        </w:tc>
        <w:tc>
          <w:tcPr>
            <w:tcW w:w="1661" w:type="dxa"/>
            <w:tcBorders>
              <w:left w:val="double" w:sz="4" w:space="0" w:color="auto"/>
              <w:right w:val="sing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Cases - Physical Disability (64%); Controls - Physical Disability (54%)</w:t>
            </w:r>
          </w:p>
        </w:tc>
      </w:tr>
      <w:tr w:rsidR="00B1258F" w:rsidRPr="00904FBC" w:rsidTr="00904FBC">
        <w:trPr>
          <w:trHeight w:val="7"/>
        </w:trPr>
        <w:tc>
          <w:tcPr>
            <w:tcW w:w="1008" w:type="dxa"/>
            <w:tcBorders>
              <w:left w:val="sing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Tascini et al. 2015</w:t>
            </w:r>
            <w:r w:rsidRPr="00904FBC">
              <w:rPr>
                <w:sz w:val="16"/>
                <w:szCs w:val="16"/>
                <w:lang w:val="en-CA"/>
              </w:rPr>
              <w:fldChar w:fldCharType="begin" w:fldLock="1"/>
            </w:r>
            <w:r w:rsidRPr="00904FBC">
              <w:rPr>
                <w:sz w:val="16"/>
                <w:szCs w:val="16"/>
                <w:lang w:val="en-CA"/>
              </w:rPr>
              <w:instrText>ADDIN CSL_CITATION {"citationItems":[{"id":"ITEM-1","itemData":{"DOI":"10.1016/j.cmi.2015.04.010","ISSN":"14690691","PMID":"25911991","abstract":"To evaluate the relationship between carbapenemase-producing Klebsiella pneumoniae (KPC-Kp) gut colonization and mortality in diabetic patients with a foot infection (DFI) we performed a single-centre, retrospective, matched case-control study. In the study period, we identified 21 patients with DFI who had KPC-Kp gut colonization and 21 controls. The 90-day mortality rate was significantly higher in patients with colonized guts (47%) than the controls (4%) (p 0.013). A multivariate analysis demonstrated that gut colonization with KPC-Kp was the only independent predictor of mortality: odds ratio 13.33, 95% CI 1.90-272.80, p 0.024. In patients with DFI, KPC-Kp gut colonization appears to be an important risk factor for mortality.","author":[{"dropping-particle":"","family":"Tascini","given":"C.","non-dropping-particle":"","parse-names":false,"suffix":""},{"dropping-particle":"","family":"Lipsky","given":"B. A.","non-dropping-particle":"","parse-names":false,"suffix":""},{"dropping-particle":"","family":"Iacopi","given":"E.","non-dropping-particle":"","parse-names":false,"suffix":""},{"dropping-particle":"","family":"Ripoli","given":"A.","non-dropping-particle":"","parse-names":false,"suffix":""},{"dropping-particle":"","family":"Sbrana","given":"F.","non-dropping-particle":"","parse-names":false,"suffix":""},{"dropping-particle":"","family":"Coppelli","given":"A.","non-dropping-particle":"","parse-names":false,"suffix":""},{"dropping-particle":"","family":"Goretti","given":"C.","non-dropping-particle":"","parse-names":false,"suffix":""},{"dropping-particle":"","family":"Piaggesi","given":"A.","non-dropping-particle":"","parse-names":false,"suffix":""},{"dropping-particle":"","family":"Menichetti","given":"F.","non-dropping-particle":"","parse-names":false,"suffix":""}],"container-title":"Clinical Microbiology and Infection","id":"ITEM-1","issue":"8","issued":{"date-parts":[["2015"]]},"page":"e790.e1-790.e3","publisher":"Elsevier","title":"KPC-producing Klebsiella pneumoniae rectal colonization is a risk factor for mortality in patients with diabetic foot infections","type":"article-journal","volume":"21"},"uris":["http://www.mendeley.com/documents/?uuid=5dfed4e6-dfa4-417b-9e63-4b93241046e8"]}],"mendeley":{"formattedCitation":"&lt;sup&gt;25&lt;/sup&gt;","plainTextFormattedCitation":"25","previouslyFormattedCitation":"&lt;sup&gt;25&lt;/sup&gt;"},"properties":{"noteIndex":0},"schema":"https://github.com/citation-style-language/schema/raw/master/csl-citation.json"}</w:instrText>
            </w:r>
            <w:r w:rsidRPr="00904FBC">
              <w:rPr>
                <w:sz w:val="16"/>
                <w:szCs w:val="16"/>
                <w:lang w:val="en-CA"/>
              </w:rPr>
              <w:fldChar w:fldCharType="separate"/>
            </w:r>
            <w:r w:rsidRPr="00904FBC">
              <w:rPr>
                <w:noProof/>
                <w:sz w:val="16"/>
                <w:szCs w:val="16"/>
                <w:vertAlign w:val="superscript"/>
                <w:lang w:val="en-CA"/>
              </w:rPr>
              <w:t>25</w:t>
            </w:r>
            <w:r w:rsidRPr="00904FBC">
              <w:rPr>
                <w:sz w:val="16"/>
                <w:szCs w:val="16"/>
                <w:lang w:val="en-CA"/>
              </w:rPr>
              <w:fldChar w:fldCharType="end"/>
            </w:r>
          </w:p>
        </w:tc>
        <w:tc>
          <w:tcPr>
            <w:tcW w:w="99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Italy</w:t>
            </w:r>
          </w:p>
        </w:tc>
        <w:tc>
          <w:tcPr>
            <w:tcW w:w="117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Matched Case-Control*</w:t>
            </w:r>
          </w:p>
        </w:tc>
        <w:tc>
          <w:tcPr>
            <w:tcW w:w="1260" w:type="dxa"/>
            <w:tcBorders>
              <w:left w:val="double" w:sz="4" w:space="0" w:color="auto"/>
              <w:right w:val="nil"/>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Tertiary-Care University</w:t>
            </w:r>
            <w:r w:rsidRPr="00904FBC">
              <w:rPr>
                <w:sz w:val="16"/>
                <w:szCs w:val="16"/>
                <w:lang w:val="en-CA"/>
              </w:rPr>
              <w:br/>
              <w:t>Hospital</w:t>
            </w:r>
          </w:p>
        </w:tc>
        <w:tc>
          <w:tcPr>
            <w:tcW w:w="74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6</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21</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NR</w:t>
            </w:r>
            <w:r w:rsidRPr="00904FBC">
              <w:rPr>
                <w:sz w:val="16"/>
                <w:szCs w:val="16"/>
                <w:vertAlign w:val="superscript"/>
                <w:lang w:val="en-CA"/>
              </w:rPr>
              <w:t>†</w:t>
            </w:r>
          </w:p>
        </w:tc>
        <w:tc>
          <w:tcPr>
            <w:tcW w:w="89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70 (9)</w:t>
            </w:r>
          </w:p>
        </w:tc>
        <w:tc>
          <w:tcPr>
            <w:tcW w:w="78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NR</w:t>
            </w:r>
            <w:r w:rsidRPr="00904FBC">
              <w:rPr>
                <w:sz w:val="16"/>
                <w:szCs w:val="16"/>
                <w:vertAlign w:val="superscript"/>
                <w:lang w:val="en-CA"/>
              </w:rPr>
              <w:t>†</w:t>
            </w:r>
          </w:p>
        </w:tc>
        <w:tc>
          <w:tcPr>
            <w:tcW w:w="74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24%</w:t>
            </w:r>
          </w:p>
        </w:tc>
        <w:tc>
          <w:tcPr>
            <w:tcW w:w="100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Diabetic Foot Infection (KPC-KP)</w:t>
            </w:r>
          </w:p>
        </w:tc>
        <w:tc>
          <w:tcPr>
            <w:tcW w:w="1027" w:type="dxa"/>
            <w:tcBorders>
              <w:left w:val="double" w:sz="4" w:space="0" w:color="auto"/>
              <w:right w:val="doub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No KPC-KP colonization or Diabetic Foot Infection</w:t>
            </w:r>
          </w:p>
        </w:tc>
        <w:tc>
          <w:tcPr>
            <w:tcW w:w="1661" w:type="dxa"/>
            <w:tcBorders>
              <w:left w:val="double" w:sz="4" w:space="0" w:color="auto"/>
              <w:right w:val="sing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NR; Charlson index was comparable for cases and controls</w:t>
            </w:r>
          </w:p>
        </w:tc>
      </w:tr>
      <w:tr w:rsidR="00B1258F" w:rsidRPr="00904FBC" w:rsidTr="00904FBC">
        <w:trPr>
          <w:trHeight w:val="7"/>
        </w:trPr>
        <w:tc>
          <w:tcPr>
            <w:tcW w:w="1008" w:type="dxa"/>
            <w:tcBorders>
              <w:left w:val="sing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Torres-González et al. 2016</w:t>
            </w:r>
            <w:r w:rsidRPr="00904FBC">
              <w:rPr>
                <w:sz w:val="16"/>
                <w:szCs w:val="16"/>
                <w:lang w:val="en-CA"/>
              </w:rPr>
              <w:fldChar w:fldCharType="begin" w:fldLock="1"/>
            </w:r>
            <w:r w:rsidRPr="00904FBC">
              <w:rPr>
                <w:sz w:val="16"/>
                <w:szCs w:val="16"/>
                <w:lang w:val="en-CA"/>
              </w:rPr>
              <w:instrText>ADDIN CSL_CITATION {"citationItems":[{"id":"ITEM-1","itemData":{"author":[{"dropping-particle":"","family":"Torres-Gonzalez","given":"Pedro","non-dropping-particle":"","parse-names":false,"suffix":""},{"dropping-particle":"","family":"Ortiz-Brizuela","given":"Edgar","non-dropping-particle":"","parse-names":false,"suffix":""},{"dropping-particle":"","family":"Cervera-Hernandez","given":"Miguel Enrique","non-dropping-particle":"","parse-names":false,"suffix":""},{"dropping-particle":"","family":"Bobadilla-del Valle","given":"Miriam","non-dropping-particle":"","parse-names":false,"suffix":""},{"dropping-particle":"","family":"Martinez-Gamboa","given":"Areli","non-dropping-particle":"","parse-names":false,"suffix":""},{"dropping-particle":"","family":"Sifuentes-Osornio","given":"Jose","non-dropping-particle":"","parse-names":false,"suffix":""},{"dropping-particle":"","family":"Ponce-de-Leon","given":"Alfredo","non-dropping-particle":"","parse-names":false,"suffix":""}],"container-title":"Diagnostic Microbiology and Infectious Disease","id":"ITEM-1","issue":"2","issued":{"date-parts":[["2016"]]},"page":"243-248","publisher":"Elsevier Inc.","title":"Associated factors and outcomes for OXA-232 Carbapenem-resistant Enterobacteriaceae infections in a tertiary care centre in Mexico City: A case–control-control study","type":"article-journal","volume":"86"},"uris":["http://www.mendeley.com/documents/?uuid=6e74d34f-8e9c-481a-b5af-e3a97dfc5f1f"]}],"mendeley":{"formattedCitation":"&lt;sup&gt;26&lt;/sup&gt;","plainTextFormattedCitation":"26","previouslyFormattedCitation":"&lt;sup&gt;26&lt;/sup&gt;"},"properties":{"noteIndex":0},"schema":"https://github.com/citation-style-language/schema/raw/master/csl-citation.json"}</w:instrText>
            </w:r>
            <w:r w:rsidRPr="00904FBC">
              <w:rPr>
                <w:sz w:val="16"/>
                <w:szCs w:val="16"/>
                <w:lang w:val="en-CA"/>
              </w:rPr>
              <w:fldChar w:fldCharType="separate"/>
            </w:r>
            <w:r w:rsidRPr="00904FBC">
              <w:rPr>
                <w:noProof/>
                <w:sz w:val="16"/>
                <w:szCs w:val="16"/>
                <w:vertAlign w:val="superscript"/>
                <w:lang w:val="en-CA"/>
              </w:rPr>
              <w:t>26</w:t>
            </w:r>
            <w:r w:rsidRPr="00904FBC">
              <w:rPr>
                <w:sz w:val="16"/>
                <w:szCs w:val="16"/>
                <w:lang w:val="en-CA"/>
              </w:rPr>
              <w:fldChar w:fldCharType="end"/>
            </w:r>
          </w:p>
        </w:tc>
        <w:tc>
          <w:tcPr>
            <w:tcW w:w="99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Mexico</w:t>
            </w:r>
          </w:p>
        </w:tc>
        <w:tc>
          <w:tcPr>
            <w:tcW w:w="117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Matched Case-Control*</w:t>
            </w:r>
          </w:p>
        </w:tc>
        <w:tc>
          <w:tcPr>
            <w:tcW w:w="1260" w:type="dxa"/>
            <w:tcBorders>
              <w:left w:val="double" w:sz="4" w:space="0" w:color="auto"/>
              <w:right w:val="nil"/>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Tertiary care hospital for patients with complex medical and surgical problems</w:t>
            </w:r>
          </w:p>
        </w:tc>
        <w:tc>
          <w:tcPr>
            <w:tcW w:w="74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27</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108</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48.2 (15.5)</w:t>
            </w:r>
          </w:p>
        </w:tc>
        <w:tc>
          <w:tcPr>
            <w:tcW w:w="89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C1 -  59.3 (18); C2 - 51.4 (20)</w:t>
            </w:r>
          </w:p>
        </w:tc>
        <w:tc>
          <w:tcPr>
            <w:tcW w:w="78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66.6%</w:t>
            </w:r>
          </w:p>
        </w:tc>
        <w:tc>
          <w:tcPr>
            <w:tcW w:w="74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C1 - 70.4%; C2 - 55.6%</w:t>
            </w:r>
          </w:p>
        </w:tc>
        <w:tc>
          <w:tcPr>
            <w:tcW w:w="100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UTI (OXA –</w:t>
            </w:r>
            <w:r w:rsidRPr="00904FBC">
              <w:rPr>
                <w:i/>
                <w:sz w:val="16"/>
                <w:szCs w:val="16"/>
                <w:lang w:val="en-CA"/>
              </w:rPr>
              <w:t>E.</w:t>
            </w:r>
            <w:r w:rsidRPr="00904FBC">
              <w:rPr>
                <w:sz w:val="16"/>
                <w:szCs w:val="16"/>
                <w:lang w:val="en-CA"/>
              </w:rPr>
              <w:t xml:space="preserve"> </w:t>
            </w:r>
            <w:r w:rsidRPr="00904FBC">
              <w:rPr>
                <w:i/>
                <w:sz w:val="16"/>
                <w:szCs w:val="16"/>
                <w:lang w:val="en-CA"/>
              </w:rPr>
              <w:t>Coli</w:t>
            </w:r>
            <w:r w:rsidRPr="00904FBC">
              <w:rPr>
                <w:sz w:val="16"/>
                <w:szCs w:val="16"/>
                <w:lang w:val="en-CA"/>
              </w:rPr>
              <w:t>, n=17</w:t>
            </w:r>
            <w:r w:rsidRPr="00904FBC">
              <w:rPr>
                <w:i/>
                <w:sz w:val="16"/>
                <w:szCs w:val="16"/>
                <w:lang w:val="en-CA"/>
              </w:rPr>
              <w:t xml:space="preserve">; </w:t>
            </w:r>
            <w:r w:rsidRPr="00904FBC">
              <w:rPr>
                <w:sz w:val="16"/>
                <w:szCs w:val="16"/>
                <w:lang w:val="en-CA"/>
              </w:rPr>
              <w:t>KP, n=6)</w:t>
            </w:r>
          </w:p>
        </w:tc>
        <w:tc>
          <w:tcPr>
            <w:tcW w:w="1027" w:type="dxa"/>
            <w:tcBorders>
              <w:left w:val="double" w:sz="4" w:space="0" w:color="auto"/>
              <w:right w:val="doub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C1 - third-generation cephalosporin and CS (n=54); C2 - ESBL-producing CS (n=54)</w:t>
            </w:r>
          </w:p>
        </w:tc>
        <w:tc>
          <w:tcPr>
            <w:tcW w:w="1661" w:type="dxa"/>
            <w:tcBorders>
              <w:left w:val="double" w:sz="4" w:space="0" w:color="auto"/>
              <w:right w:val="sing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Cases - Kidney Transplant (11%) and Billary Duct injury (11%); Controls - NR</w:t>
            </w:r>
          </w:p>
        </w:tc>
      </w:tr>
      <w:tr w:rsidR="00B1258F" w:rsidRPr="00904FBC" w:rsidTr="00904FBC">
        <w:trPr>
          <w:trHeight w:val="7"/>
        </w:trPr>
        <w:tc>
          <w:tcPr>
            <w:tcW w:w="1008" w:type="dxa"/>
            <w:tcBorders>
              <w:left w:val="sing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Tumbarello et al. 2014</w:t>
            </w:r>
            <w:r w:rsidRPr="00904FBC">
              <w:rPr>
                <w:sz w:val="16"/>
                <w:szCs w:val="16"/>
                <w:lang w:val="en-CA"/>
              </w:rPr>
              <w:fldChar w:fldCharType="begin" w:fldLock="1"/>
            </w:r>
            <w:r w:rsidRPr="00904FBC">
              <w:rPr>
                <w:sz w:val="16"/>
                <w:szCs w:val="16"/>
                <w:lang w:val="en-CA"/>
              </w:rPr>
              <w:instrText>ADDIN CSL_CITATION {"citationItems":[{"id":"ITEM-1","itemData":{"DOI":"10.1128/AAC.02373-13","ISBN":"1098-6596 (Electronic)\\r0066-4804 (Linking)","ISSN":"10986596","PMID":"24733460","abstract":"The production of Klebsiella pneumoniae (Kp) carbapenemases (KPCs) by Enterobacteriaceae has become a significant problem in recent years.To identify factors that could predict isolation of KPC-Kp in clinical samples from hospitalized patients, we conducted a retrospective, matched (1:2) case-control studies in five large Italian hospitals. The case cohort consisted of adult inpatients whose hospital stay included at least one documented isolation of a KPC-Kp strain from a clinical specimen. For each case enrolled, we randomly selected two matched controls with no KPC-Kp-positive cultures of any type during their hospitalization. Matching involved hospital, ward, and month/year of admission, as well as time at risk for KPC-Kp isolation. A subgroup analysis was also carried out to identify risk factors specifically associated with true KPC-Kp infection.During the study period, KPC-Kp was isolated from clinical samples of 657 patients; 426 of these cases appeared to be true infections. Independent predictors of KPC-Kp isolation were recent admission to ICU, indwelling urinary catheter, central venous catheter (CVC), and/or surgical drain, ≥ 2 recent hospitalizations, hematological cancer, and recent fluoroquinolone and/or carbapenem therapy. Charlson Index ≥3, indwelling CVC, recent surgery, neutropenia, ≥2 recent hospitalizations, and recent fluoroquinolone and/or carbapenem therapy were independent risk factors for KPC-Kp infection. Models developed to predict KPC-Kp isolation and KPC Kp infection displayed good predictive power with the areas under the receiver-operating characteristic curves of 0.82 (95% CI, 0.80-0.84) and 0.82 (95% CI, 0.80-0.85), respectively.This study provides novel information, which might be useful for the clinical management of patients harboring KPC Kp and for controlling the spread of these organisms.","author":[{"dropping-particle":"","family":"Tumbarello","given":"Mario","non-dropping-particle":"","parse-names":false,"suffix":""},{"dropping-particle":"","family":"Trecarichi","given":"Enrico Maria","non-dropping-particle":"","parse-names":false,"suffix":""},{"dropping-particle":"","family":"Tumietto","given":"Fabio","non-dropping-particle":"","parse-names":false,"suffix":""},{"dropping-particle":"Del","family":"Bono","given":"Valerio","non-dropping-particle":"","parse-names":false,"suffix":""},{"dropping-particle":"","family":"Rosa","given":"Francesco Giuseppe","non-dropping-particle":"De","parse-names":false,"suffix":""},{"dropping-particle":"","family":"Bassetti","given":"Matteo","non-dropping-particle":"","parse-names":false,"suffix":""},{"dropping-particle":"","family":"Losito","given":"Angela Raffaella","non-dropping-particle":"","parse-names":false,"suffix":""},{"dropping-particle":"","family":"Tedeschi","given":"Sara","non-dropping-particle":"","parse-names":false,"suffix":""},{"dropping-particle":"","family":"Saffioti","given":"Carolina","non-dropping-particle":"","parse-names":false,"suffix":""},{"dropping-particle":"","family":"Corcione","given":"Silvia","non-dropping-particle":"","parse-names":false,"suffix":""},{"dropping-particle":"","family":"Giannella","given":"Maddalena","non-dropping-particle":"","parse-names":false,"suffix":""},{"dropping-particle":"","family":"Raffaelli","given":"Francesca","non-dropping-particle":"","parse-names":false,"suffix":""},{"dropping-particle":"","family":"Pagani","given":"Nicole","non-dropping-particle":"","parse-names":false,"suffix":""},{"dropping-particle":"","family":"Bartoletti","given":"Michele","non-dropping-particle":"","parse-names":false,"suffix":""},{"dropping-particle":"","family":"Spanu","given":"Teresa","non-dropping-particle":"","parse-names":false,"suffix":""},{"dropping-particle":"","family":"Marchese","given":"Anna","non-dropping-particle":"","parse-names":false,"suffix":""},{"dropping-particle":"","family":"Cauda","given":"Roberto","non-dropping-particle":"","parse-names":false,"suffix":""},{"dropping-particle":"","family":"Viscoli","given":"Claudio","non-dropping-particle":"","parse-names":false,"suffix":""},{"dropping-particle":"","family":"Viale","given":"Pierluigi","non-dropping-particle":"","parse-names":false,"suffix":""}],"container-title":"Antimicrobial Agents and Chemotherapy","id":"ITEM-1","issue":"6","issued":{"date-parts":[["2014"]]},"page":"3514-3520","title":"Predictive models for identification of hospitalized patients harboring KPC-producing klebsiella pneumoniae","type":"article-journal","volume":"58"},"uris":["http://www.mendeley.com/documents/?uuid=c73e2a8a-acb1-4907-bddf-7568ddc4b812"]}],"mendeley":{"formattedCitation":"&lt;sup&gt;27&lt;/sup&gt;","plainTextFormattedCitation":"27","previouslyFormattedCitation":"&lt;sup&gt;27&lt;/sup&gt;"},"properties":{"noteIndex":0},"schema":"https://github.com/citation-style-language/schema/raw/master/csl-citation.json"}</w:instrText>
            </w:r>
            <w:r w:rsidRPr="00904FBC">
              <w:rPr>
                <w:sz w:val="16"/>
                <w:szCs w:val="16"/>
                <w:lang w:val="en-CA"/>
              </w:rPr>
              <w:fldChar w:fldCharType="separate"/>
            </w:r>
            <w:r w:rsidRPr="00904FBC">
              <w:rPr>
                <w:noProof/>
                <w:sz w:val="16"/>
                <w:szCs w:val="16"/>
                <w:vertAlign w:val="superscript"/>
                <w:lang w:val="en-CA"/>
              </w:rPr>
              <w:t>27</w:t>
            </w:r>
            <w:r w:rsidRPr="00904FBC">
              <w:rPr>
                <w:sz w:val="16"/>
                <w:szCs w:val="16"/>
                <w:lang w:val="en-CA"/>
              </w:rPr>
              <w:fldChar w:fldCharType="end"/>
            </w:r>
          </w:p>
        </w:tc>
        <w:tc>
          <w:tcPr>
            <w:tcW w:w="99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Italy</w:t>
            </w:r>
          </w:p>
        </w:tc>
        <w:tc>
          <w:tcPr>
            <w:tcW w:w="1170" w:type="dxa"/>
            <w:tcBorders>
              <w:left w:val="double" w:sz="4" w:space="0" w:color="auto"/>
              <w:right w:val="double" w:sz="4" w:space="0" w:color="auto"/>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Matched Case-Control*</w:t>
            </w:r>
          </w:p>
        </w:tc>
        <w:tc>
          <w:tcPr>
            <w:tcW w:w="1260" w:type="dxa"/>
            <w:tcBorders>
              <w:left w:val="double" w:sz="4" w:space="0" w:color="auto"/>
              <w:right w:val="nil"/>
            </w:tcBorders>
            <w:shd w:val="clear" w:color="auto" w:fill="auto"/>
            <w:vAlign w:val="center"/>
            <w:hideMark/>
          </w:tcPr>
          <w:p w:rsidR="00B1258F" w:rsidRPr="00904FBC" w:rsidRDefault="00B1258F" w:rsidP="00904FBC">
            <w:pPr>
              <w:spacing w:after="0" w:line="240" w:lineRule="auto"/>
              <w:rPr>
                <w:sz w:val="16"/>
                <w:szCs w:val="16"/>
                <w:lang w:val="en-CA"/>
              </w:rPr>
            </w:pPr>
            <w:r w:rsidRPr="00904FBC">
              <w:rPr>
                <w:sz w:val="16"/>
                <w:szCs w:val="16"/>
                <w:lang w:val="en-CA"/>
              </w:rPr>
              <w:t>Databases maintained by microbiology laboratories of five full-service teaching hospitals</w:t>
            </w:r>
          </w:p>
        </w:tc>
        <w:tc>
          <w:tcPr>
            <w:tcW w:w="74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426</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231</w:t>
            </w:r>
          </w:p>
        </w:tc>
        <w:tc>
          <w:tcPr>
            <w:tcW w:w="89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68.5 (56–78)</w:t>
            </w:r>
            <w:r w:rsidRPr="00904FBC">
              <w:rPr>
                <w:sz w:val="16"/>
                <w:szCs w:val="16"/>
                <w:vertAlign w:val="superscript"/>
                <w:lang w:val="en-CA"/>
              </w:rPr>
              <w:t>‡</w:t>
            </w:r>
          </w:p>
        </w:tc>
        <w:tc>
          <w:tcPr>
            <w:tcW w:w="89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rFonts w:eastAsia="Times New Roman"/>
                <w:color w:val="000000"/>
                <w:sz w:val="16"/>
                <w:szCs w:val="16"/>
                <w:lang w:val="en-CA"/>
              </w:rPr>
              <w:t>NR</w:t>
            </w:r>
            <w:r w:rsidRPr="00904FBC">
              <w:rPr>
                <w:sz w:val="16"/>
                <w:szCs w:val="16"/>
                <w:vertAlign w:val="superscript"/>
                <w:lang w:val="en-CA"/>
              </w:rPr>
              <w:t>†</w:t>
            </w:r>
          </w:p>
        </w:tc>
        <w:tc>
          <w:tcPr>
            <w:tcW w:w="785"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44.1%</w:t>
            </w:r>
          </w:p>
        </w:tc>
        <w:tc>
          <w:tcPr>
            <w:tcW w:w="743"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NR</w:t>
            </w:r>
            <w:r w:rsidRPr="00904FBC">
              <w:rPr>
                <w:sz w:val="16"/>
                <w:szCs w:val="16"/>
                <w:vertAlign w:val="superscript"/>
                <w:lang w:val="en-CA"/>
              </w:rPr>
              <w:t>†</w:t>
            </w:r>
          </w:p>
        </w:tc>
        <w:tc>
          <w:tcPr>
            <w:tcW w:w="1002" w:type="dxa"/>
            <w:tcBorders>
              <w:left w:val="double" w:sz="4" w:space="0" w:color="auto"/>
              <w:right w:val="nil"/>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BSI (KPC-KP)</w:t>
            </w:r>
          </w:p>
        </w:tc>
        <w:tc>
          <w:tcPr>
            <w:tcW w:w="1027" w:type="dxa"/>
            <w:tcBorders>
              <w:left w:val="double" w:sz="4" w:space="0" w:color="auto"/>
              <w:right w:val="doub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KPC-KP Colonized, but no true infection</w:t>
            </w:r>
          </w:p>
        </w:tc>
        <w:tc>
          <w:tcPr>
            <w:tcW w:w="1661" w:type="dxa"/>
            <w:tcBorders>
              <w:left w:val="double" w:sz="4" w:space="0" w:color="auto"/>
              <w:right w:val="single" w:sz="4" w:space="0" w:color="auto"/>
            </w:tcBorders>
            <w:shd w:val="clear" w:color="auto" w:fill="auto"/>
            <w:vAlign w:val="center"/>
          </w:tcPr>
          <w:p w:rsidR="00B1258F" w:rsidRPr="00904FBC" w:rsidRDefault="00B1258F" w:rsidP="00904FBC">
            <w:pPr>
              <w:spacing w:after="0" w:line="240" w:lineRule="auto"/>
              <w:rPr>
                <w:sz w:val="16"/>
                <w:szCs w:val="16"/>
                <w:lang w:val="en-CA"/>
              </w:rPr>
            </w:pPr>
            <w:r w:rsidRPr="00904FBC">
              <w:rPr>
                <w:sz w:val="16"/>
                <w:szCs w:val="16"/>
                <w:lang w:val="en-CA"/>
              </w:rPr>
              <w:t xml:space="preserve">Cases - Cardiovascular disease (39.2%); Controls - Cardiovascular disease (45.5%) </w:t>
            </w:r>
          </w:p>
        </w:tc>
      </w:tr>
    </w:tbl>
    <w:p w:rsidR="00B1258F" w:rsidRPr="00E33EFF" w:rsidRDefault="00B1258F" w:rsidP="00B1258F">
      <w:pPr>
        <w:rPr>
          <w:szCs w:val="20"/>
        </w:rPr>
      </w:pPr>
    </w:p>
    <w:p w:rsidR="00B1258F" w:rsidRPr="00E33EFF" w:rsidRDefault="00B1258F" w:rsidP="00B1258F">
      <w:pPr>
        <w:rPr>
          <w:szCs w:val="20"/>
        </w:rPr>
      </w:pPr>
      <w:r w:rsidRPr="00E33EFF">
        <w:rPr>
          <w:szCs w:val="20"/>
        </w:rPr>
        <w:t>*Main outcomes of interest in our study were measured using a cohort study design and therefore the study was appraised as a prospective cohort study</w:t>
      </w:r>
    </w:p>
    <w:p w:rsidR="00B1258F" w:rsidRPr="00E33EFF" w:rsidRDefault="00B1258F" w:rsidP="00B1258F">
      <w:pPr>
        <w:outlineLvl w:val="0"/>
        <w:rPr>
          <w:szCs w:val="20"/>
        </w:rPr>
      </w:pPr>
      <w:r w:rsidRPr="00E33EFF">
        <w:rPr>
          <w:szCs w:val="20"/>
        </w:rPr>
        <w:t>‡ Median (Range), specified if IQR</w:t>
      </w:r>
    </w:p>
    <w:p w:rsidR="00B1258F" w:rsidRPr="00E33EFF" w:rsidRDefault="00B1258F" w:rsidP="00B1258F">
      <w:pPr>
        <w:rPr>
          <w:szCs w:val="20"/>
        </w:rPr>
      </w:pPr>
      <w:r w:rsidRPr="00E33EFF">
        <w:rPr>
          <w:szCs w:val="20"/>
        </w:rPr>
        <w:lastRenderedPageBreak/>
        <w:t>† Calculated Manually or NR, which means we were unable to calculate manually</w:t>
      </w:r>
    </w:p>
    <w:p w:rsidR="00B1258F" w:rsidRPr="00E33EFF" w:rsidRDefault="00B1258F" w:rsidP="00B1258F">
      <w:pPr>
        <w:rPr>
          <w:szCs w:val="20"/>
        </w:rPr>
      </w:pPr>
      <w:r w:rsidRPr="00E33EFF">
        <w:rPr>
          <w:szCs w:val="20"/>
        </w:rPr>
        <w:t>C1 – Control Group 1 ; C2 – Control Group 2</w:t>
      </w:r>
    </w:p>
    <w:p w:rsidR="00B1258F" w:rsidRPr="00E33EFF" w:rsidRDefault="00B1258F" w:rsidP="00B1258F">
      <w:pPr>
        <w:rPr>
          <w:szCs w:val="20"/>
        </w:rPr>
      </w:pPr>
      <w:r w:rsidRPr="00E33EFF">
        <w:rPr>
          <w:szCs w:val="20"/>
        </w:rPr>
        <w:t>CS – Carbapenem-Susceptible ; CR – Carbapenem-Resistant ; ESBL – Extended Spectrum Beta-Lactamase; CPE – Carbapenemase-producing Enterobacteriaceae</w:t>
      </w:r>
    </w:p>
    <w:p w:rsidR="00B1258F" w:rsidRPr="00E33EFF" w:rsidRDefault="00B1258F" w:rsidP="00B1258F">
      <w:pPr>
        <w:rPr>
          <w:szCs w:val="20"/>
        </w:rPr>
      </w:pPr>
      <w:r w:rsidRPr="00E33EFF">
        <w:rPr>
          <w:szCs w:val="20"/>
        </w:rPr>
        <w:t>BSI – Bloodstream Infection</w:t>
      </w:r>
    </w:p>
    <w:p w:rsidR="00B1258F" w:rsidRPr="00E33EFF" w:rsidRDefault="00B1258F" w:rsidP="00B1258F">
      <w:pPr>
        <w:rPr>
          <w:szCs w:val="20"/>
        </w:rPr>
      </w:pPr>
      <w:r w:rsidRPr="00E33EFF">
        <w:rPr>
          <w:szCs w:val="20"/>
        </w:rPr>
        <w:t xml:space="preserve">KP - </w:t>
      </w:r>
      <w:r w:rsidRPr="00E33EFF">
        <w:rPr>
          <w:i/>
          <w:szCs w:val="20"/>
        </w:rPr>
        <w:t>Klebsiella Pneumoniae</w:t>
      </w:r>
      <w:r w:rsidRPr="00E33EFF">
        <w:rPr>
          <w:szCs w:val="20"/>
        </w:rPr>
        <w:t xml:space="preserve"> ; EC - </w:t>
      </w:r>
      <w:r w:rsidRPr="00E33EFF">
        <w:rPr>
          <w:i/>
          <w:szCs w:val="20"/>
        </w:rPr>
        <w:t>Enterobacter cloacae</w:t>
      </w:r>
    </w:p>
    <w:p w:rsidR="00B1258F" w:rsidRPr="00E33EFF" w:rsidRDefault="00B1258F" w:rsidP="00B1258F">
      <w:pPr>
        <w:rPr>
          <w:rFonts w:eastAsia="Times"/>
          <w:b/>
          <w:szCs w:val="20"/>
        </w:rPr>
      </w:pPr>
      <w:r w:rsidRPr="00E33EFF">
        <w:rPr>
          <w:rFonts w:eastAsia="Times"/>
          <w:b/>
          <w:szCs w:val="20"/>
        </w:rPr>
        <w:br w:type="page"/>
      </w:r>
    </w:p>
    <w:p w:rsidR="00B1258F" w:rsidRDefault="00B1258F" w:rsidP="00B1258F">
      <w:pPr>
        <w:outlineLvl w:val="0"/>
        <w:rPr>
          <w:b/>
        </w:rPr>
        <w:sectPr w:rsidR="00B1258F" w:rsidSect="00082AA5">
          <w:pgSz w:w="15840" w:h="12240" w:orient="landscape"/>
          <w:pgMar w:top="1440" w:right="1440" w:bottom="1440" w:left="1440" w:header="709" w:footer="709" w:gutter="0"/>
          <w:lnNumType w:countBy="1" w:restart="continuous"/>
          <w:cols w:space="720"/>
          <w:titlePg/>
          <w:docGrid w:linePitch="326"/>
        </w:sectPr>
      </w:pPr>
    </w:p>
    <w:p w:rsidR="00B1258F" w:rsidRDefault="00B1258F" w:rsidP="00B1258F">
      <w:pPr>
        <w:outlineLvl w:val="0"/>
        <w:rPr>
          <w:b/>
        </w:rPr>
      </w:pPr>
      <w:r>
        <w:rPr>
          <w:b/>
        </w:rPr>
        <w:lastRenderedPageBreak/>
        <w:t>Appendix 4</w:t>
      </w:r>
      <w:r w:rsidRPr="006B5358">
        <w:rPr>
          <w:b/>
        </w:rPr>
        <w:t>. Quality appraisal results by study</w:t>
      </w:r>
    </w:p>
    <w:p w:rsidR="00B1258F" w:rsidRPr="006B5358" w:rsidRDefault="00B1258F" w:rsidP="00B1258F">
      <w:pPr>
        <w:rPr>
          <w:b/>
        </w:rPr>
      </w:pPr>
    </w:p>
    <w:p w:rsidR="00B1258F" w:rsidRPr="00E33EFF" w:rsidRDefault="00C16D2F" w:rsidP="00B1258F">
      <w:pPr>
        <w:rPr>
          <w:rFonts w:eastAsia="Times"/>
          <w:b/>
          <w:szCs w:val="20"/>
        </w:rPr>
      </w:pPr>
      <w:r>
        <w:rPr>
          <w:noProof/>
          <w:szCs w:val="20"/>
        </w:rPr>
        <w:drawing>
          <wp:inline distT="0" distB="0" distL="0" distR="0">
            <wp:extent cx="5953125" cy="3771900"/>
            <wp:effectExtent l="19050" t="0" r="9525" b="0"/>
            <wp:docPr id="1" name="Chart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8"/>
                    <pic:cNvPicPr>
                      <a:picLocks noChangeArrowheads="1"/>
                    </pic:cNvPicPr>
                  </pic:nvPicPr>
                  <pic:blipFill>
                    <a:blip r:embed="rId7" cstate="print"/>
                    <a:srcRect/>
                    <a:stretch>
                      <a:fillRect/>
                    </a:stretch>
                  </pic:blipFill>
                  <pic:spPr bwMode="auto">
                    <a:xfrm>
                      <a:off x="0" y="0"/>
                      <a:ext cx="5953125" cy="3771900"/>
                    </a:xfrm>
                    <a:prstGeom prst="rect">
                      <a:avLst/>
                    </a:prstGeom>
                    <a:noFill/>
                    <a:ln w="9525">
                      <a:noFill/>
                      <a:miter lim="800000"/>
                      <a:headEnd/>
                      <a:tailEnd/>
                    </a:ln>
                  </pic:spPr>
                </pic:pic>
              </a:graphicData>
            </a:graphic>
          </wp:inline>
        </w:drawing>
      </w:r>
      <w:r w:rsidR="00B1258F" w:rsidRPr="00E33EFF">
        <w:rPr>
          <w:rFonts w:eastAsia="Times"/>
          <w:b/>
          <w:szCs w:val="20"/>
        </w:rPr>
        <w:br w:type="page"/>
      </w:r>
    </w:p>
    <w:p w:rsidR="00B1258F" w:rsidRPr="00E33EFF" w:rsidRDefault="00B1258F" w:rsidP="00B1258F">
      <w:pPr>
        <w:rPr>
          <w:rFonts w:eastAsia="Times"/>
          <w:b/>
          <w:szCs w:val="20"/>
        </w:rPr>
        <w:sectPr w:rsidR="00B1258F" w:rsidRPr="00E33EFF" w:rsidSect="00082AA5">
          <w:footerReference w:type="default" r:id="rId8"/>
          <w:pgSz w:w="12240" w:h="15840"/>
          <w:pgMar w:top="1440" w:right="1440" w:bottom="1440" w:left="1440" w:header="709" w:footer="709" w:gutter="0"/>
          <w:lnNumType w:countBy="1" w:restart="continuous"/>
          <w:pgNumType w:start="0"/>
          <w:cols w:space="720"/>
          <w:titlePg/>
          <w:docGrid w:linePitch="326"/>
        </w:sectPr>
      </w:pPr>
    </w:p>
    <w:p w:rsidR="00B1258F" w:rsidRDefault="00B1258F" w:rsidP="00B1258F">
      <w:pPr>
        <w:outlineLvl w:val="0"/>
        <w:rPr>
          <w:b/>
        </w:rPr>
      </w:pPr>
    </w:p>
    <w:p w:rsidR="00B1258F" w:rsidRDefault="00B1258F" w:rsidP="00B1258F">
      <w:pPr>
        <w:outlineLvl w:val="0"/>
        <w:rPr>
          <w:b/>
        </w:rPr>
      </w:pPr>
      <w:r>
        <w:rPr>
          <w:b/>
        </w:rPr>
        <w:t>Appendix 5</w:t>
      </w:r>
      <w:r w:rsidRPr="006B5358">
        <w:rPr>
          <w:b/>
        </w:rPr>
        <w:t>. Quality appraisal results for cohort and case control studies</w:t>
      </w:r>
    </w:p>
    <w:p w:rsidR="00B1258F" w:rsidRPr="006B5358" w:rsidRDefault="00B1258F" w:rsidP="00B1258F">
      <w:pPr>
        <w:rPr>
          <w:b/>
        </w:rPr>
      </w:pPr>
    </w:p>
    <w:tbl>
      <w:tblPr>
        <w:tblW w:w="9355" w:type="dxa"/>
        <w:tblInd w:w="113" w:type="dxa"/>
        <w:tblLayout w:type="fixed"/>
        <w:tblLook w:val="04A0"/>
      </w:tblPr>
      <w:tblGrid>
        <w:gridCol w:w="1975"/>
        <w:gridCol w:w="670"/>
        <w:gridCol w:w="671"/>
        <w:gridCol w:w="671"/>
        <w:gridCol w:w="671"/>
        <w:gridCol w:w="671"/>
        <w:gridCol w:w="671"/>
        <w:gridCol w:w="671"/>
        <w:gridCol w:w="671"/>
        <w:gridCol w:w="671"/>
        <w:gridCol w:w="671"/>
        <w:gridCol w:w="671"/>
      </w:tblGrid>
      <w:tr w:rsidR="00B1258F" w:rsidRPr="00904FBC" w:rsidTr="00082AA5">
        <w:trPr>
          <w:trHeight w:val="270"/>
        </w:trPr>
        <w:tc>
          <w:tcPr>
            <w:tcW w:w="1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258F" w:rsidRPr="00904FBC" w:rsidRDefault="00B1258F" w:rsidP="00082AA5">
            <w:pPr>
              <w:rPr>
                <w:rFonts w:eastAsia="Times New Roman"/>
                <w:b/>
                <w:bCs/>
                <w:color w:val="000000"/>
                <w:szCs w:val="20"/>
                <w:lang w:val="en-CA"/>
              </w:rPr>
            </w:pPr>
            <w:r w:rsidRPr="00904FBC">
              <w:rPr>
                <w:rFonts w:eastAsia="Times New Roman"/>
                <w:b/>
                <w:bCs/>
                <w:color w:val="000000"/>
                <w:szCs w:val="20"/>
                <w:lang w:val="en-CA"/>
              </w:rPr>
              <w:t>Paper Citation (Author; Year)</w:t>
            </w:r>
          </w:p>
        </w:tc>
        <w:tc>
          <w:tcPr>
            <w:tcW w:w="7380" w:type="dxa"/>
            <w:gridSpan w:val="11"/>
            <w:tcBorders>
              <w:top w:val="single" w:sz="4" w:space="0" w:color="000000"/>
              <w:left w:val="nil"/>
              <w:bottom w:val="single" w:sz="4" w:space="0" w:color="000000"/>
              <w:right w:val="single" w:sz="4" w:space="0" w:color="000000"/>
            </w:tcBorders>
            <w:shd w:val="clear" w:color="auto" w:fill="auto"/>
            <w:noWrap/>
            <w:vAlign w:val="center"/>
            <w:hideMark/>
          </w:tcPr>
          <w:p w:rsidR="00B1258F" w:rsidRPr="00904FBC" w:rsidRDefault="00B1258F" w:rsidP="00082AA5">
            <w:pPr>
              <w:jc w:val="center"/>
              <w:rPr>
                <w:rFonts w:eastAsia="Times New Roman"/>
                <w:b/>
                <w:bCs/>
                <w:color w:val="000000"/>
                <w:szCs w:val="20"/>
                <w:lang w:val="en-CA"/>
              </w:rPr>
            </w:pPr>
            <w:r w:rsidRPr="00904FBC">
              <w:rPr>
                <w:rFonts w:eastAsia="Times New Roman"/>
                <w:b/>
                <w:bCs/>
                <w:color w:val="000000"/>
                <w:szCs w:val="20"/>
                <w:lang w:val="en-CA"/>
              </w:rPr>
              <w:t>Critical Appraisal Questions</w:t>
            </w:r>
          </w:p>
        </w:tc>
      </w:tr>
      <w:tr w:rsidR="00B1258F" w:rsidRPr="00904FBC" w:rsidTr="00082AA5">
        <w:trPr>
          <w:trHeight w:val="224"/>
        </w:trPr>
        <w:tc>
          <w:tcPr>
            <w:tcW w:w="1975" w:type="dxa"/>
            <w:vMerge/>
            <w:tcBorders>
              <w:top w:val="single" w:sz="4" w:space="0" w:color="000000"/>
              <w:left w:val="single" w:sz="4" w:space="0" w:color="000000"/>
              <w:bottom w:val="single" w:sz="4" w:space="0" w:color="auto"/>
              <w:right w:val="single" w:sz="4" w:space="0" w:color="000000"/>
            </w:tcBorders>
            <w:vAlign w:val="center"/>
            <w:hideMark/>
          </w:tcPr>
          <w:p w:rsidR="00B1258F" w:rsidRPr="00904FBC" w:rsidRDefault="00B1258F" w:rsidP="00082AA5">
            <w:pPr>
              <w:rPr>
                <w:rFonts w:eastAsia="Times New Roman"/>
                <w:b/>
                <w:bCs/>
                <w:color w:val="000000"/>
                <w:szCs w:val="20"/>
                <w:lang w:val="en-CA"/>
              </w:rPr>
            </w:pPr>
          </w:p>
        </w:tc>
        <w:tc>
          <w:tcPr>
            <w:tcW w:w="670" w:type="dxa"/>
            <w:tcBorders>
              <w:top w:val="nil"/>
              <w:left w:val="nil"/>
              <w:bottom w:val="single" w:sz="4" w:space="0" w:color="000000"/>
              <w:right w:val="single" w:sz="4" w:space="0" w:color="000000"/>
            </w:tcBorders>
            <w:shd w:val="clear" w:color="auto" w:fill="auto"/>
            <w:noWrap/>
            <w:vAlign w:val="center"/>
            <w:hideMark/>
          </w:tcPr>
          <w:p w:rsidR="00B1258F" w:rsidRPr="00904FBC" w:rsidRDefault="00B1258F" w:rsidP="00082AA5">
            <w:pPr>
              <w:jc w:val="center"/>
              <w:rPr>
                <w:rFonts w:eastAsia="Times New Roman"/>
                <w:b/>
                <w:bCs/>
                <w:color w:val="000000"/>
                <w:szCs w:val="20"/>
                <w:lang w:val="en-CA"/>
              </w:rPr>
            </w:pPr>
            <w:r w:rsidRPr="00904FBC">
              <w:rPr>
                <w:rFonts w:eastAsia="Times New Roman"/>
                <w:b/>
                <w:bCs/>
                <w:color w:val="000000"/>
                <w:szCs w:val="20"/>
                <w:lang w:val="en-CA"/>
              </w:rPr>
              <w:t>1</w:t>
            </w:r>
          </w:p>
        </w:tc>
        <w:tc>
          <w:tcPr>
            <w:tcW w:w="671" w:type="dxa"/>
            <w:tcBorders>
              <w:top w:val="nil"/>
              <w:left w:val="nil"/>
              <w:bottom w:val="single" w:sz="4" w:space="0" w:color="000000"/>
              <w:right w:val="single" w:sz="4" w:space="0" w:color="000000"/>
            </w:tcBorders>
            <w:shd w:val="clear" w:color="auto" w:fill="auto"/>
            <w:noWrap/>
            <w:vAlign w:val="center"/>
            <w:hideMark/>
          </w:tcPr>
          <w:p w:rsidR="00B1258F" w:rsidRPr="00904FBC" w:rsidRDefault="00B1258F" w:rsidP="00082AA5">
            <w:pPr>
              <w:jc w:val="center"/>
              <w:rPr>
                <w:rFonts w:eastAsia="Times New Roman"/>
                <w:b/>
                <w:bCs/>
                <w:color w:val="000000"/>
                <w:szCs w:val="20"/>
                <w:lang w:val="en-CA"/>
              </w:rPr>
            </w:pPr>
            <w:r w:rsidRPr="00904FBC">
              <w:rPr>
                <w:rFonts w:eastAsia="Times New Roman"/>
                <w:b/>
                <w:bCs/>
                <w:color w:val="000000"/>
                <w:szCs w:val="20"/>
                <w:lang w:val="en-CA"/>
              </w:rPr>
              <w:t>2</w:t>
            </w:r>
          </w:p>
        </w:tc>
        <w:tc>
          <w:tcPr>
            <w:tcW w:w="671" w:type="dxa"/>
            <w:tcBorders>
              <w:top w:val="nil"/>
              <w:left w:val="nil"/>
              <w:bottom w:val="single" w:sz="4" w:space="0" w:color="000000"/>
              <w:right w:val="single" w:sz="4" w:space="0" w:color="000000"/>
            </w:tcBorders>
            <w:shd w:val="clear" w:color="auto" w:fill="auto"/>
            <w:noWrap/>
            <w:vAlign w:val="center"/>
            <w:hideMark/>
          </w:tcPr>
          <w:p w:rsidR="00B1258F" w:rsidRPr="00904FBC" w:rsidRDefault="00B1258F" w:rsidP="00082AA5">
            <w:pPr>
              <w:jc w:val="center"/>
              <w:rPr>
                <w:rFonts w:eastAsia="Times New Roman"/>
                <w:b/>
                <w:bCs/>
                <w:color w:val="000000"/>
                <w:szCs w:val="20"/>
                <w:lang w:val="en-CA"/>
              </w:rPr>
            </w:pPr>
            <w:r w:rsidRPr="00904FBC">
              <w:rPr>
                <w:rFonts w:eastAsia="Times New Roman"/>
                <w:b/>
                <w:bCs/>
                <w:color w:val="000000"/>
                <w:szCs w:val="20"/>
                <w:lang w:val="en-CA"/>
              </w:rPr>
              <w:t>3</w:t>
            </w:r>
          </w:p>
        </w:tc>
        <w:tc>
          <w:tcPr>
            <w:tcW w:w="671" w:type="dxa"/>
            <w:tcBorders>
              <w:top w:val="nil"/>
              <w:left w:val="nil"/>
              <w:bottom w:val="single" w:sz="4" w:space="0" w:color="000000"/>
              <w:right w:val="single" w:sz="4" w:space="0" w:color="000000"/>
            </w:tcBorders>
            <w:shd w:val="clear" w:color="auto" w:fill="auto"/>
            <w:noWrap/>
            <w:vAlign w:val="center"/>
            <w:hideMark/>
          </w:tcPr>
          <w:p w:rsidR="00B1258F" w:rsidRPr="00904FBC" w:rsidRDefault="00B1258F" w:rsidP="00082AA5">
            <w:pPr>
              <w:jc w:val="center"/>
              <w:rPr>
                <w:rFonts w:eastAsia="Times New Roman"/>
                <w:b/>
                <w:bCs/>
                <w:color w:val="000000"/>
                <w:szCs w:val="20"/>
                <w:lang w:val="en-CA"/>
              </w:rPr>
            </w:pPr>
            <w:r w:rsidRPr="00904FBC">
              <w:rPr>
                <w:rFonts w:eastAsia="Times New Roman"/>
                <w:b/>
                <w:bCs/>
                <w:color w:val="000000"/>
                <w:szCs w:val="20"/>
                <w:lang w:val="en-CA"/>
              </w:rPr>
              <w:t>4</w:t>
            </w:r>
          </w:p>
        </w:tc>
        <w:tc>
          <w:tcPr>
            <w:tcW w:w="671" w:type="dxa"/>
            <w:tcBorders>
              <w:top w:val="nil"/>
              <w:left w:val="nil"/>
              <w:bottom w:val="single" w:sz="4" w:space="0" w:color="000000"/>
              <w:right w:val="single" w:sz="4" w:space="0" w:color="000000"/>
            </w:tcBorders>
            <w:shd w:val="clear" w:color="auto" w:fill="auto"/>
            <w:noWrap/>
            <w:vAlign w:val="center"/>
            <w:hideMark/>
          </w:tcPr>
          <w:p w:rsidR="00B1258F" w:rsidRPr="00904FBC" w:rsidRDefault="00B1258F" w:rsidP="00082AA5">
            <w:pPr>
              <w:jc w:val="center"/>
              <w:rPr>
                <w:rFonts w:eastAsia="Times New Roman"/>
                <w:b/>
                <w:bCs/>
                <w:color w:val="000000"/>
                <w:szCs w:val="20"/>
                <w:lang w:val="en-CA"/>
              </w:rPr>
            </w:pPr>
            <w:r w:rsidRPr="00904FBC">
              <w:rPr>
                <w:rFonts w:eastAsia="Times New Roman"/>
                <w:b/>
                <w:bCs/>
                <w:color w:val="000000"/>
                <w:szCs w:val="20"/>
                <w:lang w:val="en-CA"/>
              </w:rPr>
              <w:t>5</w:t>
            </w:r>
          </w:p>
        </w:tc>
        <w:tc>
          <w:tcPr>
            <w:tcW w:w="671" w:type="dxa"/>
            <w:tcBorders>
              <w:top w:val="nil"/>
              <w:left w:val="nil"/>
              <w:bottom w:val="single" w:sz="4" w:space="0" w:color="000000"/>
              <w:right w:val="single" w:sz="4" w:space="0" w:color="000000"/>
            </w:tcBorders>
            <w:shd w:val="clear" w:color="auto" w:fill="auto"/>
            <w:noWrap/>
            <w:vAlign w:val="center"/>
            <w:hideMark/>
          </w:tcPr>
          <w:p w:rsidR="00B1258F" w:rsidRPr="00904FBC" w:rsidRDefault="00B1258F" w:rsidP="00082AA5">
            <w:pPr>
              <w:jc w:val="center"/>
              <w:rPr>
                <w:rFonts w:eastAsia="Times New Roman"/>
                <w:b/>
                <w:bCs/>
                <w:color w:val="000000"/>
                <w:szCs w:val="20"/>
                <w:lang w:val="en-CA"/>
              </w:rPr>
            </w:pPr>
            <w:r w:rsidRPr="00904FBC">
              <w:rPr>
                <w:rFonts w:eastAsia="Times New Roman"/>
                <w:b/>
                <w:bCs/>
                <w:color w:val="000000"/>
                <w:szCs w:val="20"/>
                <w:lang w:val="en-CA"/>
              </w:rPr>
              <w:t>6</w:t>
            </w:r>
          </w:p>
        </w:tc>
        <w:tc>
          <w:tcPr>
            <w:tcW w:w="671" w:type="dxa"/>
            <w:tcBorders>
              <w:top w:val="nil"/>
              <w:left w:val="nil"/>
              <w:bottom w:val="single" w:sz="4" w:space="0" w:color="000000"/>
              <w:right w:val="single" w:sz="4" w:space="0" w:color="000000"/>
            </w:tcBorders>
            <w:shd w:val="clear" w:color="auto" w:fill="auto"/>
            <w:noWrap/>
            <w:vAlign w:val="center"/>
            <w:hideMark/>
          </w:tcPr>
          <w:p w:rsidR="00B1258F" w:rsidRPr="00904FBC" w:rsidRDefault="00B1258F" w:rsidP="00082AA5">
            <w:pPr>
              <w:jc w:val="center"/>
              <w:rPr>
                <w:rFonts w:eastAsia="Times New Roman"/>
                <w:b/>
                <w:bCs/>
                <w:color w:val="000000"/>
                <w:szCs w:val="20"/>
                <w:lang w:val="en-CA"/>
              </w:rPr>
            </w:pPr>
            <w:r w:rsidRPr="00904FBC">
              <w:rPr>
                <w:rFonts w:eastAsia="Times New Roman"/>
                <w:b/>
                <w:bCs/>
                <w:color w:val="000000"/>
                <w:szCs w:val="20"/>
                <w:lang w:val="en-CA"/>
              </w:rPr>
              <w:t>7</w:t>
            </w:r>
          </w:p>
        </w:tc>
        <w:tc>
          <w:tcPr>
            <w:tcW w:w="671" w:type="dxa"/>
            <w:tcBorders>
              <w:top w:val="nil"/>
              <w:left w:val="nil"/>
              <w:bottom w:val="single" w:sz="4" w:space="0" w:color="000000"/>
              <w:right w:val="single" w:sz="4" w:space="0" w:color="000000"/>
            </w:tcBorders>
            <w:shd w:val="clear" w:color="auto" w:fill="auto"/>
            <w:noWrap/>
            <w:vAlign w:val="center"/>
            <w:hideMark/>
          </w:tcPr>
          <w:p w:rsidR="00B1258F" w:rsidRPr="00904FBC" w:rsidRDefault="00B1258F" w:rsidP="00082AA5">
            <w:pPr>
              <w:jc w:val="center"/>
              <w:rPr>
                <w:rFonts w:eastAsia="Times New Roman"/>
                <w:b/>
                <w:bCs/>
                <w:color w:val="000000"/>
                <w:szCs w:val="20"/>
                <w:lang w:val="en-CA"/>
              </w:rPr>
            </w:pPr>
            <w:r w:rsidRPr="00904FBC">
              <w:rPr>
                <w:rFonts w:eastAsia="Times New Roman"/>
                <w:b/>
                <w:bCs/>
                <w:color w:val="000000"/>
                <w:szCs w:val="20"/>
                <w:lang w:val="en-CA"/>
              </w:rPr>
              <w:t>8</w:t>
            </w:r>
          </w:p>
        </w:tc>
        <w:tc>
          <w:tcPr>
            <w:tcW w:w="671" w:type="dxa"/>
            <w:tcBorders>
              <w:top w:val="nil"/>
              <w:left w:val="nil"/>
              <w:bottom w:val="single" w:sz="4" w:space="0" w:color="000000"/>
              <w:right w:val="single" w:sz="4" w:space="0" w:color="000000"/>
            </w:tcBorders>
            <w:shd w:val="clear" w:color="auto" w:fill="auto"/>
            <w:noWrap/>
            <w:vAlign w:val="center"/>
            <w:hideMark/>
          </w:tcPr>
          <w:p w:rsidR="00B1258F" w:rsidRPr="00904FBC" w:rsidRDefault="00B1258F" w:rsidP="00082AA5">
            <w:pPr>
              <w:jc w:val="center"/>
              <w:rPr>
                <w:rFonts w:eastAsia="Times New Roman"/>
                <w:b/>
                <w:bCs/>
                <w:color w:val="000000"/>
                <w:szCs w:val="20"/>
                <w:lang w:val="en-CA"/>
              </w:rPr>
            </w:pPr>
            <w:r w:rsidRPr="00904FBC">
              <w:rPr>
                <w:rFonts w:eastAsia="Times New Roman"/>
                <w:b/>
                <w:bCs/>
                <w:color w:val="000000"/>
                <w:szCs w:val="20"/>
                <w:lang w:val="en-CA"/>
              </w:rPr>
              <w:t>9</w:t>
            </w:r>
          </w:p>
        </w:tc>
        <w:tc>
          <w:tcPr>
            <w:tcW w:w="671" w:type="dxa"/>
            <w:tcBorders>
              <w:top w:val="nil"/>
              <w:left w:val="nil"/>
              <w:bottom w:val="single" w:sz="4" w:space="0" w:color="000000"/>
              <w:right w:val="single" w:sz="4" w:space="0" w:color="000000"/>
            </w:tcBorders>
            <w:shd w:val="clear" w:color="auto" w:fill="auto"/>
            <w:noWrap/>
            <w:vAlign w:val="center"/>
            <w:hideMark/>
          </w:tcPr>
          <w:p w:rsidR="00B1258F" w:rsidRPr="00904FBC" w:rsidRDefault="00B1258F" w:rsidP="00082AA5">
            <w:pPr>
              <w:jc w:val="center"/>
              <w:rPr>
                <w:rFonts w:eastAsia="Times New Roman"/>
                <w:b/>
                <w:bCs/>
                <w:color w:val="000000"/>
                <w:szCs w:val="20"/>
                <w:lang w:val="en-CA"/>
              </w:rPr>
            </w:pPr>
            <w:r w:rsidRPr="00904FBC">
              <w:rPr>
                <w:rFonts w:eastAsia="Times New Roman"/>
                <w:b/>
                <w:bCs/>
                <w:color w:val="000000"/>
                <w:szCs w:val="20"/>
                <w:lang w:val="en-CA"/>
              </w:rPr>
              <w:t>10</w:t>
            </w:r>
          </w:p>
        </w:tc>
        <w:tc>
          <w:tcPr>
            <w:tcW w:w="671" w:type="dxa"/>
            <w:tcBorders>
              <w:top w:val="nil"/>
              <w:left w:val="nil"/>
              <w:bottom w:val="single" w:sz="4" w:space="0" w:color="000000"/>
              <w:right w:val="single" w:sz="4" w:space="0" w:color="000000"/>
            </w:tcBorders>
            <w:shd w:val="clear" w:color="auto" w:fill="auto"/>
            <w:noWrap/>
            <w:vAlign w:val="center"/>
            <w:hideMark/>
          </w:tcPr>
          <w:p w:rsidR="00B1258F" w:rsidRPr="00904FBC" w:rsidRDefault="00B1258F" w:rsidP="00082AA5">
            <w:pPr>
              <w:jc w:val="center"/>
              <w:rPr>
                <w:rFonts w:eastAsia="Times New Roman"/>
                <w:b/>
                <w:bCs/>
                <w:color w:val="000000"/>
                <w:szCs w:val="20"/>
                <w:lang w:val="en-CA"/>
              </w:rPr>
            </w:pPr>
            <w:r w:rsidRPr="00904FBC">
              <w:rPr>
                <w:rFonts w:eastAsia="Times New Roman"/>
                <w:b/>
                <w:bCs/>
                <w:color w:val="000000"/>
                <w:szCs w:val="20"/>
                <w:lang w:val="en-CA"/>
              </w:rPr>
              <w:t>11</w:t>
            </w:r>
          </w:p>
        </w:tc>
      </w:tr>
      <w:tr w:rsidR="00B1258F" w:rsidRPr="00904FBC" w:rsidTr="00082AA5">
        <w:trPr>
          <w:trHeight w:val="285"/>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58F" w:rsidRPr="00904FBC" w:rsidRDefault="00B1258F" w:rsidP="00082AA5">
            <w:pPr>
              <w:rPr>
                <w:rFonts w:eastAsia="Times New Roman"/>
                <w:color w:val="000000"/>
                <w:szCs w:val="20"/>
                <w:lang w:val="en-CA"/>
              </w:rPr>
            </w:pPr>
            <w:r w:rsidRPr="00904FBC">
              <w:rPr>
                <w:rFonts w:eastAsia="Times New Roman"/>
                <w:color w:val="000000"/>
                <w:szCs w:val="20"/>
                <w:lang w:val="en-CA"/>
              </w:rPr>
              <w:t>Daikos 2009</w:t>
            </w:r>
          </w:p>
        </w:tc>
        <w:tc>
          <w:tcPr>
            <w:tcW w:w="670" w:type="dxa"/>
            <w:tcBorders>
              <w:top w:val="single" w:sz="4" w:space="0" w:color="000000"/>
              <w:left w:val="single" w:sz="4" w:space="0" w:color="auto"/>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rsidR="00B1258F" w:rsidRPr="00904FBC" w:rsidRDefault="00B1258F" w:rsidP="00082AA5">
            <w:pPr>
              <w:jc w:val="center"/>
              <w:rPr>
                <w:rFonts w:eastAsia="Times New Roman"/>
                <w:color w:val="9C0006"/>
                <w:szCs w:val="20"/>
                <w:lang w:val="en-CA"/>
              </w:rPr>
            </w:pPr>
            <w:r w:rsidRPr="00904FBC">
              <w:rPr>
                <w:rFonts w:eastAsia="Times New Roman"/>
                <w:color w:val="9C0006"/>
                <w:szCs w:val="20"/>
                <w:lang w:val="en-CA"/>
              </w:rPr>
              <w:t>N</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NA</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r>
      <w:tr w:rsidR="00B1258F" w:rsidRPr="00904FBC" w:rsidTr="00082AA5">
        <w:trPr>
          <w:trHeight w:val="285"/>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58F" w:rsidRPr="00904FBC" w:rsidRDefault="00B1258F" w:rsidP="00082AA5">
            <w:pPr>
              <w:rPr>
                <w:rFonts w:eastAsia="Times New Roman"/>
                <w:color w:val="000000"/>
                <w:szCs w:val="20"/>
                <w:lang w:val="en-CA"/>
              </w:rPr>
            </w:pPr>
            <w:r w:rsidRPr="00904FBC">
              <w:rPr>
                <w:rFonts w:eastAsia="Times New Roman"/>
                <w:color w:val="000000"/>
                <w:szCs w:val="20"/>
                <w:lang w:val="en-CA"/>
              </w:rPr>
              <w:t>Falcone 2009</w:t>
            </w:r>
          </w:p>
        </w:tc>
        <w:tc>
          <w:tcPr>
            <w:tcW w:w="670" w:type="dxa"/>
            <w:tcBorders>
              <w:top w:val="single" w:sz="4" w:space="0" w:color="000000"/>
              <w:left w:val="single" w:sz="4" w:space="0" w:color="auto"/>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rsidR="00B1258F" w:rsidRPr="00904FBC" w:rsidRDefault="00B1258F" w:rsidP="00082AA5">
            <w:pPr>
              <w:jc w:val="center"/>
              <w:rPr>
                <w:rFonts w:eastAsia="Times New Roman"/>
                <w:color w:val="9C0006"/>
                <w:szCs w:val="20"/>
                <w:lang w:val="en-CA"/>
              </w:rPr>
            </w:pPr>
            <w:r w:rsidRPr="00904FBC">
              <w:rPr>
                <w:rFonts w:eastAsia="Times New Roman"/>
                <w:color w:val="9C0006"/>
                <w:szCs w:val="20"/>
                <w:lang w:val="en-CA"/>
              </w:rPr>
              <w:t>N</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U</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U</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NA</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r>
      <w:tr w:rsidR="00B1258F" w:rsidRPr="00904FBC" w:rsidTr="00082AA5">
        <w:trPr>
          <w:trHeight w:val="28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8F" w:rsidRPr="00904FBC" w:rsidRDefault="00B1258F" w:rsidP="00082AA5">
            <w:pPr>
              <w:rPr>
                <w:rFonts w:eastAsia="Times New Roman"/>
                <w:szCs w:val="20"/>
                <w:lang w:val="en-CA"/>
              </w:rPr>
            </w:pPr>
            <w:r w:rsidRPr="00904FBC">
              <w:rPr>
                <w:rFonts w:eastAsia="Times New Roman"/>
                <w:szCs w:val="20"/>
                <w:lang w:val="en-CA"/>
              </w:rPr>
              <w:t>Fraenkel-Wandel 2016</w:t>
            </w:r>
          </w:p>
        </w:tc>
        <w:tc>
          <w:tcPr>
            <w:tcW w:w="670" w:type="dxa"/>
            <w:tcBorders>
              <w:top w:val="single" w:sz="4" w:space="0" w:color="000000"/>
              <w:left w:val="single" w:sz="4" w:space="0" w:color="auto"/>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U</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U</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NA</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r>
      <w:tr w:rsidR="00B1258F" w:rsidRPr="00904FBC" w:rsidTr="00082AA5">
        <w:trPr>
          <w:trHeight w:val="285"/>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58F" w:rsidRPr="00904FBC" w:rsidRDefault="00B1258F" w:rsidP="00082AA5">
            <w:pPr>
              <w:rPr>
                <w:rFonts w:eastAsia="Times New Roman"/>
                <w:color w:val="000000"/>
                <w:szCs w:val="20"/>
                <w:lang w:val="en-CA"/>
              </w:rPr>
            </w:pPr>
            <w:r w:rsidRPr="00904FBC">
              <w:rPr>
                <w:rFonts w:eastAsia="Times New Roman"/>
                <w:color w:val="000000"/>
                <w:szCs w:val="20"/>
                <w:lang w:val="en-CA"/>
              </w:rPr>
              <w:t>López-González 2017</w:t>
            </w:r>
          </w:p>
        </w:tc>
        <w:tc>
          <w:tcPr>
            <w:tcW w:w="670" w:type="dxa"/>
            <w:tcBorders>
              <w:top w:val="single" w:sz="4" w:space="0" w:color="000000"/>
              <w:left w:val="single" w:sz="4" w:space="0" w:color="auto"/>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U</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U</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U</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NA</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r>
      <w:tr w:rsidR="00B1258F" w:rsidRPr="00904FBC" w:rsidTr="00082AA5">
        <w:trPr>
          <w:trHeight w:val="285"/>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58F" w:rsidRPr="00904FBC" w:rsidRDefault="00B1258F" w:rsidP="00082AA5">
            <w:pPr>
              <w:rPr>
                <w:rFonts w:eastAsia="Times New Roman"/>
                <w:color w:val="000000"/>
                <w:szCs w:val="20"/>
                <w:lang w:val="en-CA"/>
              </w:rPr>
            </w:pPr>
            <w:r w:rsidRPr="00904FBC">
              <w:rPr>
                <w:rFonts w:eastAsia="Times New Roman"/>
                <w:color w:val="000000"/>
                <w:szCs w:val="20"/>
                <w:lang w:val="en-CA"/>
              </w:rPr>
              <w:t>C. Lubbert</w:t>
            </w:r>
          </w:p>
        </w:tc>
        <w:tc>
          <w:tcPr>
            <w:tcW w:w="670" w:type="dxa"/>
            <w:tcBorders>
              <w:top w:val="single" w:sz="4" w:space="0" w:color="000000"/>
              <w:left w:val="single" w:sz="4" w:space="0" w:color="auto"/>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NA</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r>
      <w:tr w:rsidR="00B1258F" w:rsidRPr="00904FBC" w:rsidTr="00082AA5">
        <w:trPr>
          <w:trHeight w:val="28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8F" w:rsidRPr="00904FBC" w:rsidRDefault="00B1258F" w:rsidP="00082AA5">
            <w:pPr>
              <w:rPr>
                <w:rFonts w:eastAsia="Times New Roman"/>
                <w:szCs w:val="20"/>
                <w:lang w:val="en-CA"/>
              </w:rPr>
            </w:pPr>
            <w:r w:rsidRPr="00904FBC">
              <w:rPr>
                <w:rFonts w:eastAsia="Times New Roman"/>
                <w:szCs w:val="20"/>
                <w:lang w:val="en-CA"/>
              </w:rPr>
              <w:t>E. Mouloudi 2014</w:t>
            </w:r>
          </w:p>
        </w:tc>
        <w:tc>
          <w:tcPr>
            <w:tcW w:w="670" w:type="dxa"/>
            <w:tcBorders>
              <w:top w:val="single" w:sz="4" w:space="0" w:color="000000"/>
              <w:left w:val="single" w:sz="4" w:space="0" w:color="auto"/>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NA</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r>
      <w:tr w:rsidR="00B1258F" w:rsidRPr="00904FBC" w:rsidTr="00082AA5">
        <w:trPr>
          <w:trHeight w:val="285"/>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58F" w:rsidRPr="00904FBC" w:rsidRDefault="00B1258F" w:rsidP="00082AA5">
            <w:pPr>
              <w:rPr>
                <w:rFonts w:eastAsia="Times New Roman"/>
                <w:color w:val="000000"/>
                <w:szCs w:val="20"/>
                <w:lang w:val="en-CA"/>
              </w:rPr>
            </w:pPr>
            <w:r w:rsidRPr="00904FBC">
              <w:rPr>
                <w:rFonts w:eastAsia="Times New Roman"/>
                <w:color w:val="000000"/>
                <w:szCs w:val="20"/>
                <w:lang w:val="en-CA"/>
              </w:rPr>
              <w:t>M. Papadimitriou-Olivgeris 2013</w:t>
            </w:r>
          </w:p>
        </w:tc>
        <w:tc>
          <w:tcPr>
            <w:tcW w:w="670" w:type="dxa"/>
            <w:tcBorders>
              <w:top w:val="single" w:sz="4" w:space="0" w:color="000000"/>
              <w:left w:val="single" w:sz="4" w:space="0" w:color="auto"/>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rsidR="00B1258F" w:rsidRPr="00904FBC" w:rsidRDefault="00B1258F" w:rsidP="00082AA5">
            <w:pPr>
              <w:jc w:val="center"/>
              <w:rPr>
                <w:rFonts w:eastAsia="Times New Roman"/>
                <w:color w:val="9C0006"/>
                <w:szCs w:val="20"/>
                <w:lang w:val="en-CA"/>
              </w:rPr>
            </w:pPr>
            <w:r w:rsidRPr="00904FBC">
              <w:rPr>
                <w:rFonts w:eastAsia="Times New Roman"/>
                <w:color w:val="9C0006"/>
                <w:szCs w:val="20"/>
                <w:lang w:val="en-CA"/>
              </w:rPr>
              <w:t>N</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NA</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r>
      <w:tr w:rsidR="00B1258F" w:rsidRPr="00904FBC" w:rsidTr="00082AA5">
        <w:trPr>
          <w:trHeight w:val="28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8F" w:rsidRPr="00904FBC" w:rsidRDefault="00B1258F" w:rsidP="00082AA5">
            <w:pPr>
              <w:rPr>
                <w:rFonts w:eastAsia="Times New Roman"/>
                <w:szCs w:val="20"/>
                <w:lang w:val="en-CA"/>
              </w:rPr>
            </w:pPr>
            <w:r w:rsidRPr="00904FBC">
              <w:rPr>
                <w:rFonts w:eastAsia="Times New Roman"/>
                <w:szCs w:val="20"/>
                <w:lang w:val="en-CA"/>
              </w:rPr>
              <w:t>Qureshi 2012</w:t>
            </w:r>
          </w:p>
        </w:tc>
        <w:tc>
          <w:tcPr>
            <w:tcW w:w="670" w:type="dxa"/>
            <w:tcBorders>
              <w:top w:val="single" w:sz="4" w:space="0" w:color="000000"/>
              <w:left w:val="single" w:sz="4" w:space="0" w:color="auto"/>
              <w:bottom w:val="single" w:sz="4" w:space="0" w:color="000000"/>
              <w:right w:val="single" w:sz="4" w:space="0" w:color="000000"/>
            </w:tcBorders>
            <w:shd w:val="clear" w:color="FFC7CE" w:fill="FFC7CE"/>
            <w:noWrap/>
            <w:vAlign w:val="center"/>
            <w:hideMark/>
          </w:tcPr>
          <w:p w:rsidR="00B1258F" w:rsidRPr="00904FBC" w:rsidRDefault="00B1258F" w:rsidP="00082AA5">
            <w:pPr>
              <w:jc w:val="center"/>
              <w:rPr>
                <w:rFonts w:eastAsia="Times New Roman"/>
                <w:color w:val="9C0006"/>
                <w:szCs w:val="20"/>
                <w:lang w:val="en-CA"/>
              </w:rPr>
            </w:pPr>
            <w:r w:rsidRPr="00904FBC">
              <w:rPr>
                <w:rFonts w:eastAsia="Times New Roman"/>
                <w:color w:val="9C0006"/>
                <w:szCs w:val="20"/>
                <w:lang w:val="en-CA"/>
              </w:rPr>
              <w:t>N</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rsidR="00B1258F" w:rsidRPr="00904FBC" w:rsidRDefault="00B1258F" w:rsidP="00082AA5">
            <w:pPr>
              <w:jc w:val="center"/>
              <w:rPr>
                <w:rFonts w:eastAsia="Times New Roman"/>
                <w:color w:val="9C0006"/>
                <w:szCs w:val="20"/>
                <w:lang w:val="en-CA"/>
              </w:rPr>
            </w:pPr>
            <w:r w:rsidRPr="00904FBC">
              <w:rPr>
                <w:rFonts w:eastAsia="Times New Roman"/>
                <w:color w:val="9C0006"/>
                <w:szCs w:val="20"/>
                <w:lang w:val="en-CA"/>
              </w:rPr>
              <w:t>N</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r>
      <w:tr w:rsidR="00B1258F" w:rsidRPr="00904FBC" w:rsidTr="00082AA5">
        <w:trPr>
          <w:trHeight w:val="285"/>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58F" w:rsidRPr="00904FBC" w:rsidRDefault="00B1258F" w:rsidP="00082AA5">
            <w:pPr>
              <w:rPr>
                <w:rFonts w:eastAsia="Times New Roman"/>
                <w:color w:val="000000"/>
                <w:szCs w:val="20"/>
                <w:lang w:val="en-CA"/>
              </w:rPr>
            </w:pPr>
            <w:r w:rsidRPr="00904FBC">
              <w:rPr>
                <w:rFonts w:eastAsia="Times New Roman"/>
                <w:color w:val="000000"/>
                <w:szCs w:val="20"/>
                <w:lang w:val="en-CA"/>
              </w:rPr>
              <w:t>Sanchez-Romero 2011</w:t>
            </w:r>
          </w:p>
        </w:tc>
        <w:tc>
          <w:tcPr>
            <w:tcW w:w="670" w:type="dxa"/>
            <w:tcBorders>
              <w:top w:val="single" w:sz="4" w:space="0" w:color="000000"/>
              <w:left w:val="single" w:sz="4" w:space="0" w:color="auto"/>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NA</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r>
      <w:tr w:rsidR="00B1258F" w:rsidRPr="00904FBC" w:rsidTr="00082AA5">
        <w:trPr>
          <w:trHeight w:val="285"/>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58F" w:rsidRPr="00904FBC" w:rsidRDefault="00B1258F" w:rsidP="00082AA5">
            <w:pPr>
              <w:rPr>
                <w:rFonts w:eastAsia="Times New Roman"/>
                <w:color w:val="000000"/>
                <w:szCs w:val="20"/>
                <w:lang w:val="en-CA"/>
              </w:rPr>
            </w:pPr>
            <w:r w:rsidRPr="00904FBC">
              <w:rPr>
                <w:rFonts w:eastAsia="Times New Roman"/>
                <w:color w:val="000000"/>
                <w:szCs w:val="20"/>
                <w:lang w:val="en-CA"/>
              </w:rPr>
              <w:t>Sbrana 2016</w:t>
            </w:r>
          </w:p>
        </w:tc>
        <w:tc>
          <w:tcPr>
            <w:tcW w:w="670" w:type="dxa"/>
            <w:tcBorders>
              <w:top w:val="single" w:sz="4" w:space="0" w:color="000000"/>
              <w:left w:val="single" w:sz="4" w:space="0" w:color="auto"/>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U</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U</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NA</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r>
      <w:tr w:rsidR="00B1258F" w:rsidRPr="00904FBC" w:rsidTr="00082AA5">
        <w:trPr>
          <w:trHeight w:val="285"/>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58F" w:rsidRPr="00904FBC" w:rsidRDefault="00B1258F" w:rsidP="00082AA5">
            <w:pPr>
              <w:rPr>
                <w:rFonts w:eastAsia="Times New Roman"/>
                <w:color w:val="000000"/>
                <w:szCs w:val="20"/>
                <w:lang w:val="en-CA"/>
              </w:rPr>
            </w:pPr>
            <w:r w:rsidRPr="00904FBC">
              <w:rPr>
                <w:rFonts w:eastAsia="Times New Roman"/>
                <w:color w:val="000000"/>
                <w:szCs w:val="20"/>
                <w:lang w:val="en-CA"/>
              </w:rPr>
              <w:t>Shilo 2013</w:t>
            </w:r>
          </w:p>
        </w:tc>
        <w:tc>
          <w:tcPr>
            <w:tcW w:w="670" w:type="dxa"/>
            <w:tcBorders>
              <w:top w:val="single" w:sz="4" w:space="0" w:color="000000"/>
              <w:left w:val="single" w:sz="4" w:space="0" w:color="auto"/>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U</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NA</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r>
      <w:tr w:rsidR="00B1258F" w:rsidRPr="00904FBC" w:rsidTr="00082AA5">
        <w:trPr>
          <w:trHeight w:val="28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8F" w:rsidRPr="00904FBC" w:rsidRDefault="00B1258F" w:rsidP="00082AA5">
            <w:pPr>
              <w:rPr>
                <w:rFonts w:eastAsia="Times New Roman"/>
                <w:color w:val="000000"/>
                <w:szCs w:val="20"/>
                <w:lang w:val="en-CA"/>
              </w:rPr>
            </w:pPr>
            <w:r w:rsidRPr="00904FBC">
              <w:rPr>
                <w:rFonts w:eastAsia="Times New Roman"/>
                <w:color w:val="000000"/>
                <w:szCs w:val="20"/>
                <w:lang w:val="en-CA"/>
              </w:rPr>
              <w:t>Tascini 2015</w:t>
            </w:r>
          </w:p>
        </w:tc>
        <w:tc>
          <w:tcPr>
            <w:tcW w:w="670" w:type="dxa"/>
            <w:tcBorders>
              <w:top w:val="single" w:sz="4" w:space="0" w:color="000000"/>
              <w:left w:val="single" w:sz="4" w:space="0" w:color="auto"/>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NA</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r>
      <w:tr w:rsidR="00B1258F" w:rsidRPr="00904FBC" w:rsidTr="00082AA5">
        <w:trPr>
          <w:trHeight w:val="28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8F" w:rsidRPr="00904FBC" w:rsidRDefault="00B1258F" w:rsidP="00082AA5">
            <w:pPr>
              <w:rPr>
                <w:rFonts w:eastAsia="Times New Roman"/>
                <w:color w:val="000000"/>
                <w:szCs w:val="20"/>
                <w:lang w:val="en-CA"/>
              </w:rPr>
            </w:pPr>
            <w:r w:rsidRPr="00904FBC">
              <w:rPr>
                <w:rFonts w:eastAsia="Times New Roman"/>
                <w:color w:val="000000"/>
                <w:szCs w:val="20"/>
                <w:lang w:val="en-CA"/>
              </w:rPr>
              <w:t>Torres-Gonzalez 2016</w:t>
            </w:r>
          </w:p>
        </w:tc>
        <w:tc>
          <w:tcPr>
            <w:tcW w:w="670" w:type="dxa"/>
            <w:tcBorders>
              <w:top w:val="single" w:sz="4" w:space="0" w:color="000000"/>
              <w:left w:val="single" w:sz="4" w:space="0" w:color="auto"/>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U</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U</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U</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NA</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r>
      <w:tr w:rsidR="00B1258F" w:rsidRPr="00904FBC" w:rsidTr="00082AA5">
        <w:trPr>
          <w:trHeight w:val="28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8F" w:rsidRPr="00904FBC" w:rsidRDefault="00B1258F" w:rsidP="00082AA5">
            <w:pPr>
              <w:rPr>
                <w:rFonts w:eastAsia="Times New Roman"/>
                <w:color w:val="000000"/>
                <w:szCs w:val="20"/>
                <w:lang w:val="en-CA"/>
              </w:rPr>
            </w:pPr>
            <w:r w:rsidRPr="00904FBC">
              <w:rPr>
                <w:rFonts w:eastAsia="Times New Roman"/>
                <w:color w:val="000000"/>
                <w:szCs w:val="20"/>
                <w:lang w:val="en-CA"/>
              </w:rPr>
              <w:t>Tumbarello 2014</w:t>
            </w:r>
          </w:p>
        </w:tc>
        <w:tc>
          <w:tcPr>
            <w:tcW w:w="670" w:type="dxa"/>
            <w:tcBorders>
              <w:top w:val="single" w:sz="4" w:space="0" w:color="000000"/>
              <w:left w:val="single" w:sz="4" w:space="0" w:color="auto"/>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rsidR="00B1258F" w:rsidRPr="00904FBC" w:rsidRDefault="00B1258F" w:rsidP="00082AA5">
            <w:pPr>
              <w:jc w:val="center"/>
              <w:rPr>
                <w:rFonts w:eastAsia="Times New Roman"/>
                <w:color w:val="9C0006"/>
                <w:szCs w:val="20"/>
                <w:lang w:val="en-CA"/>
              </w:rPr>
            </w:pPr>
            <w:r w:rsidRPr="00904FBC">
              <w:rPr>
                <w:rFonts w:eastAsia="Times New Roman"/>
                <w:color w:val="9C0006"/>
                <w:szCs w:val="20"/>
                <w:lang w:val="en-CA"/>
              </w:rPr>
              <w:t>N</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r>
      <w:tr w:rsidR="00B1258F" w:rsidRPr="00904FBC" w:rsidTr="00082AA5">
        <w:trPr>
          <w:trHeight w:val="28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8F" w:rsidRPr="00904FBC" w:rsidRDefault="00B1258F" w:rsidP="00082AA5">
            <w:pPr>
              <w:rPr>
                <w:rFonts w:eastAsia="Times New Roman"/>
                <w:color w:val="000000"/>
                <w:szCs w:val="20"/>
                <w:lang w:val="en-CA"/>
              </w:rPr>
            </w:pPr>
            <w:r w:rsidRPr="00904FBC">
              <w:rPr>
                <w:rFonts w:eastAsia="Times New Roman"/>
                <w:color w:val="000000"/>
                <w:szCs w:val="20"/>
                <w:lang w:val="en-CA"/>
              </w:rPr>
              <w:t>Ben-David 2012</w:t>
            </w:r>
          </w:p>
        </w:tc>
        <w:tc>
          <w:tcPr>
            <w:tcW w:w="670" w:type="dxa"/>
            <w:tcBorders>
              <w:top w:val="single" w:sz="4" w:space="0" w:color="000000"/>
              <w:left w:val="single" w:sz="4" w:space="0" w:color="auto"/>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U</w:t>
            </w:r>
          </w:p>
        </w:tc>
        <w:tc>
          <w:tcPr>
            <w:tcW w:w="671" w:type="dxa"/>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rsidR="00B1258F" w:rsidRPr="00904FBC" w:rsidRDefault="00B1258F" w:rsidP="00082AA5">
            <w:pPr>
              <w:jc w:val="center"/>
              <w:rPr>
                <w:rFonts w:eastAsia="Times New Roman"/>
                <w:color w:val="9C0006"/>
                <w:szCs w:val="20"/>
                <w:lang w:val="en-CA"/>
              </w:rPr>
            </w:pPr>
            <w:r w:rsidRPr="00904FBC">
              <w:rPr>
                <w:rFonts w:eastAsia="Times New Roman"/>
                <w:color w:val="9C0006"/>
                <w:szCs w:val="20"/>
                <w:lang w:val="en-CA"/>
              </w:rPr>
              <w:t>N</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NA</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r>
      <w:tr w:rsidR="00B1258F" w:rsidRPr="00904FBC" w:rsidTr="00082AA5">
        <w:trPr>
          <w:trHeight w:val="28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8F" w:rsidRPr="00904FBC" w:rsidRDefault="00B1258F" w:rsidP="00082AA5">
            <w:pPr>
              <w:rPr>
                <w:rFonts w:eastAsia="Times New Roman"/>
                <w:color w:val="000000"/>
                <w:szCs w:val="20"/>
                <w:lang w:val="en-CA"/>
              </w:rPr>
            </w:pPr>
            <w:r w:rsidRPr="00904FBC">
              <w:rPr>
                <w:rFonts w:eastAsia="Times New Roman"/>
                <w:color w:val="000000"/>
                <w:szCs w:val="20"/>
                <w:lang w:val="en-CA"/>
              </w:rPr>
              <w:t>McLaughlin 2014</w:t>
            </w:r>
          </w:p>
        </w:tc>
        <w:tc>
          <w:tcPr>
            <w:tcW w:w="670" w:type="dxa"/>
            <w:tcBorders>
              <w:top w:val="single" w:sz="4" w:space="0" w:color="000000"/>
              <w:left w:val="single" w:sz="4" w:space="0" w:color="auto"/>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671" w:type="dxa"/>
            <w:tcBorders>
              <w:top w:val="single" w:sz="4" w:space="0" w:color="000000"/>
              <w:left w:val="single" w:sz="4" w:space="0" w:color="000000"/>
              <w:bottom w:val="single" w:sz="4" w:space="0" w:color="000000"/>
              <w:right w:val="single" w:sz="4" w:space="0" w:color="000000"/>
            </w:tcBorders>
            <w:shd w:val="clear" w:color="FFEB9C" w:fill="FFEB9C"/>
            <w:noWrap/>
            <w:vAlign w:val="center"/>
            <w:hideMark/>
          </w:tcPr>
          <w:p w:rsidR="00B1258F" w:rsidRPr="00904FBC" w:rsidRDefault="00B1258F" w:rsidP="00082AA5">
            <w:pPr>
              <w:jc w:val="center"/>
              <w:rPr>
                <w:rFonts w:eastAsia="Times New Roman"/>
                <w:color w:val="9C6500"/>
                <w:szCs w:val="20"/>
                <w:lang w:val="en-CA"/>
              </w:rPr>
            </w:pPr>
            <w:r w:rsidRPr="00904FBC">
              <w:rPr>
                <w:rFonts w:eastAsia="Times New Roman"/>
                <w:color w:val="9C6500"/>
                <w:szCs w:val="20"/>
                <w:lang w:val="en-CA"/>
              </w:rPr>
              <w:t>NA</w:t>
            </w:r>
          </w:p>
        </w:tc>
        <w:tc>
          <w:tcPr>
            <w:tcW w:w="671"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r>
    </w:tbl>
    <w:p w:rsidR="00B1258F" w:rsidRDefault="00B1258F" w:rsidP="00B1258F">
      <w:pPr>
        <w:tabs>
          <w:tab w:val="left" w:pos="5814"/>
        </w:tabs>
        <w:rPr>
          <w:szCs w:val="20"/>
        </w:rPr>
      </w:pPr>
      <w:r>
        <w:rPr>
          <w:szCs w:val="20"/>
        </w:rPr>
        <w:tab/>
      </w:r>
    </w:p>
    <w:p w:rsidR="00B1258F" w:rsidRDefault="00B1258F" w:rsidP="00B1258F">
      <w:pPr>
        <w:outlineLvl w:val="0"/>
        <w:rPr>
          <w:szCs w:val="20"/>
        </w:rPr>
      </w:pPr>
      <w:r w:rsidRPr="00E33EFF">
        <w:rPr>
          <w:szCs w:val="20"/>
        </w:rPr>
        <w:t>NA, Not applicable; N, No; U, Unclear; Y, Yes</w:t>
      </w:r>
    </w:p>
    <w:p w:rsidR="00B1258F" w:rsidRPr="00E33EFF" w:rsidRDefault="00B1258F" w:rsidP="00B1258F">
      <w:pPr>
        <w:rPr>
          <w:szCs w:val="20"/>
        </w:rPr>
      </w:pPr>
    </w:p>
    <w:p w:rsidR="00B1258F" w:rsidRPr="00E33EFF" w:rsidRDefault="00B1258F" w:rsidP="00B1258F">
      <w:pPr>
        <w:rPr>
          <w:b/>
          <w:szCs w:val="20"/>
        </w:rPr>
      </w:pPr>
      <w:r w:rsidRPr="00E33EFF">
        <w:rPr>
          <w:b/>
          <w:szCs w:val="20"/>
        </w:rPr>
        <w:lastRenderedPageBreak/>
        <w:t>Questions:</w:t>
      </w:r>
      <w:r w:rsidRPr="00E33EFF">
        <w:rPr>
          <w:szCs w:val="20"/>
        </w:rPr>
        <w:t xml:space="preserve"> 1. Were the two groups similar and recruited from the same population?; 2. Were the exposures measured similarly to assign people to both exposed and unexposed groups?; 3. Was the exposure measured in a valid and reliable way?; 4. Were confounding factors identified?; 5. Were strategies to deal with confounding factors stated?; 6. Were the groups/participants free of the outcome at the start of the study (or at the moment of exposure)?; 7. Were the outcomes measured in a valid and reliable way?; 8. Was the follow up time reported and sufficient to be long enough for outcomes to occur?; 9. Was follow up complete, and if not, were the reasons to loss to follow up described and explored?; 10. Were strategies to address incomplete follow up utilized?; 11. Was appropriate statistical analysis used?</w:t>
      </w:r>
      <w:r w:rsidRPr="00E33EFF">
        <w:rPr>
          <w:b/>
          <w:szCs w:val="20"/>
        </w:rPr>
        <w:br w:type="page"/>
      </w:r>
    </w:p>
    <w:p w:rsidR="00B1258F" w:rsidRPr="00E33EFF" w:rsidRDefault="00B1258F" w:rsidP="00B1258F">
      <w:pPr>
        <w:rPr>
          <w:szCs w:val="20"/>
        </w:rPr>
      </w:pPr>
    </w:p>
    <w:tbl>
      <w:tblPr>
        <w:tblW w:w="9310" w:type="dxa"/>
        <w:tblInd w:w="113" w:type="dxa"/>
        <w:tblLayout w:type="fixed"/>
        <w:tblLook w:val="04A0"/>
      </w:tblPr>
      <w:tblGrid>
        <w:gridCol w:w="1975"/>
        <w:gridCol w:w="733"/>
        <w:gridCol w:w="734"/>
        <w:gridCol w:w="733"/>
        <w:gridCol w:w="734"/>
        <w:gridCol w:w="733"/>
        <w:gridCol w:w="734"/>
        <w:gridCol w:w="733"/>
        <w:gridCol w:w="734"/>
        <w:gridCol w:w="733"/>
        <w:gridCol w:w="734"/>
      </w:tblGrid>
      <w:tr w:rsidR="00B1258F" w:rsidRPr="00904FBC" w:rsidTr="00082AA5">
        <w:trPr>
          <w:trHeight w:val="270"/>
        </w:trPr>
        <w:tc>
          <w:tcPr>
            <w:tcW w:w="1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258F" w:rsidRPr="00904FBC" w:rsidRDefault="00B1258F" w:rsidP="00082AA5">
            <w:pPr>
              <w:rPr>
                <w:rFonts w:eastAsia="Times New Roman"/>
                <w:b/>
                <w:bCs/>
                <w:color w:val="000000"/>
                <w:szCs w:val="20"/>
                <w:lang w:val="en-CA"/>
              </w:rPr>
            </w:pPr>
            <w:r w:rsidRPr="00904FBC">
              <w:rPr>
                <w:rFonts w:eastAsia="Times New Roman"/>
                <w:b/>
                <w:bCs/>
                <w:color w:val="000000"/>
                <w:szCs w:val="20"/>
                <w:lang w:val="en-CA"/>
              </w:rPr>
              <w:t>Paper Citation (Author Year)</w:t>
            </w:r>
          </w:p>
        </w:tc>
        <w:tc>
          <w:tcPr>
            <w:tcW w:w="7335" w:type="dxa"/>
            <w:gridSpan w:val="10"/>
            <w:tcBorders>
              <w:top w:val="single" w:sz="4" w:space="0" w:color="000000"/>
              <w:left w:val="nil"/>
              <w:bottom w:val="single" w:sz="4" w:space="0" w:color="000000"/>
              <w:right w:val="single" w:sz="4" w:space="0" w:color="000000"/>
            </w:tcBorders>
            <w:shd w:val="clear" w:color="auto" w:fill="auto"/>
            <w:noWrap/>
            <w:vAlign w:val="center"/>
            <w:hideMark/>
          </w:tcPr>
          <w:p w:rsidR="00B1258F" w:rsidRPr="00904FBC" w:rsidRDefault="00B1258F" w:rsidP="00082AA5">
            <w:pPr>
              <w:jc w:val="center"/>
              <w:rPr>
                <w:rFonts w:eastAsia="Times New Roman"/>
                <w:b/>
                <w:bCs/>
                <w:color w:val="000000"/>
                <w:szCs w:val="20"/>
                <w:lang w:val="en-CA"/>
              </w:rPr>
            </w:pPr>
            <w:r w:rsidRPr="00904FBC">
              <w:rPr>
                <w:rFonts w:eastAsia="Times New Roman"/>
                <w:b/>
                <w:bCs/>
                <w:color w:val="000000"/>
                <w:szCs w:val="20"/>
                <w:lang w:val="en-CA"/>
              </w:rPr>
              <w:t>Critical Appraisal Questions</w:t>
            </w:r>
          </w:p>
        </w:tc>
      </w:tr>
      <w:tr w:rsidR="00B1258F" w:rsidRPr="00904FBC" w:rsidTr="00082AA5">
        <w:trPr>
          <w:trHeight w:val="285"/>
        </w:trPr>
        <w:tc>
          <w:tcPr>
            <w:tcW w:w="1975" w:type="dxa"/>
            <w:vMerge/>
            <w:tcBorders>
              <w:top w:val="single" w:sz="4" w:space="0" w:color="000000"/>
              <w:left w:val="single" w:sz="4" w:space="0" w:color="000000"/>
              <w:bottom w:val="single" w:sz="4" w:space="0" w:color="000000"/>
              <w:right w:val="single" w:sz="4" w:space="0" w:color="000000"/>
            </w:tcBorders>
            <w:vAlign w:val="center"/>
            <w:hideMark/>
          </w:tcPr>
          <w:p w:rsidR="00B1258F" w:rsidRPr="00904FBC" w:rsidRDefault="00B1258F" w:rsidP="00082AA5">
            <w:pPr>
              <w:jc w:val="center"/>
              <w:rPr>
                <w:rFonts w:eastAsia="Times New Roman"/>
                <w:bCs/>
                <w:color w:val="000000"/>
                <w:szCs w:val="20"/>
                <w:lang w:val="en-CA"/>
              </w:rPr>
            </w:pPr>
          </w:p>
        </w:tc>
        <w:tc>
          <w:tcPr>
            <w:tcW w:w="733" w:type="dxa"/>
            <w:tcBorders>
              <w:top w:val="nil"/>
              <w:left w:val="nil"/>
              <w:bottom w:val="single" w:sz="4" w:space="0" w:color="000000"/>
              <w:right w:val="single" w:sz="4" w:space="0" w:color="000000"/>
            </w:tcBorders>
            <w:shd w:val="clear" w:color="auto" w:fill="auto"/>
            <w:noWrap/>
            <w:vAlign w:val="center"/>
            <w:hideMark/>
          </w:tcPr>
          <w:p w:rsidR="00B1258F" w:rsidRPr="00904FBC" w:rsidRDefault="00B1258F" w:rsidP="00082AA5">
            <w:pPr>
              <w:jc w:val="center"/>
              <w:rPr>
                <w:rFonts w:eastAsia="Times New Roman"/>
                <w:bCs/>
                <w:color w:val="000000"/>
                <w:szCs w:val="20"/>
                <w:lang w:val="en-CA"/>
              </w:rPr>
            </w:pPr>
            <w:r w:rsidRPr="00904FBC">
              <w:rPr>
                <w:rFonts w:eastAsia="Times New Roman"/>
                <w:bCs/>
                <w:color w:val="000000"/>
                <w:szCs w:val="20"/>
                <w:lang w:val="en-CA"/>
              </w:rPr>
              <w:t>1</w:t>
            </w:r>
          </w:p>
        </w:tc>
        <w:tc>
          <w:tcPr>
            <w:tcW w:w="734" w:type="dxa"/>
            <w:tcBorders>
              <w:top w:val="nil"/>
              <w:left w:val="nil"/>
              <w:bottom w:val="single" w:sz="4" w:space="0" w:color="000000"/>
              <w:right w:val="single" w:sz="4" w:space="0" w:color="000000"/>
            </w:tcBorders>
            <w:shd w:val="clear" w:color="auto" w:fill="auto"/>
            <w:noWrap/>
            <w:vAlign w:val="center"/>
            <w:hideMark/>
          </w:tcPr>
          <w:p w:rsidR="00B1258F" w:rsidRPr="00904FBC" w:rsidRDefault="00B1258F" w:rsidP="00082AA5">
            <w:pPr>
              <w:jc w:val="center"/>
              <w:rPr>
                <w:rFonts w:eastAsia="Times New Roman"/>
                <w:bCs/>
                <w:color w:val="000000"/>
                <w:szCs w:val="20"/>
                <w:lang w:val="en-CA"/>
              </w:rPr>
            </w:pPr>
            <w:r w:rsidRPr="00904FBC">
              <w:rPr>
                <w:rFonts w:eastAsia="Times New Roman"/>
                <w:bCs/>
                <w:color w:val="000000"/>
                <w:szCs w:val="20"/>
                <w:lang w:val="en-CA"/>
              </w:rPr>
              <w:t>2</w:t>
            </w:r>
          </w:p>
        </w:tc>
        <w:tc>
          <w:tcPr>
            <w:tcW w:w="733" w:type="dxa"/>
            <w:tcBorders>
              <w:top w:val="nil"/>
              <w:left w:val="nil"/>
              <w:bottom w:val="single" w:sz="4" w:space="0" w:color="000000"/>
              <w:right w:val="single" w:sz="4" w:space="0" w:color="000000"/>
            </w:tcBorders>
            <w:shd w:val="clear" w:color="auto" w:fill="auto"/>
            <w:noWrap/>
            <w:vAlign w:val="center"/>
            <w:hideMark/>
          </w:tcPr>
          <w:p w:rsidR="00B1258F" w:rsidRPr="00904FBC" w:rsidRDefault="00B1258F" w:rsidP="00082AA5">
            <w:pPr>
              <w:jc w:val="center"/>
              <w:rPr>
                <w:rFonts w:eastAsia="Times New Roman"/>
                <w:bCs/>
                <w:color w:val="000000"/>
                <w:szCs w:val="20"/>
                <w:lang w:val="en-CA"/>
              </w:rPr>
            </w:pPr>
            <w:r w:rsidRPr="00904FBC">
              <w:rPr>
                <w:rFonts w:eastAsia="Times New Roman"/>
                <w:bCs/>
                <w:color w:val="000000"/>
                <w:szCs w:val="20"/>
                <w:lang w:val="en-CA"/>
              </w:rPr>
              <w:t>3</w:t>
            </w:r>
          </w:p>
        </w:tc>
        <w:tc>
          <w:tcPr>
            <w:tcW w:w="734" w:type="dxa"/>
            <w:tcBorders>
              <w:top w:val="nil"/>
              <w:left w:val="nil"/>
              <w:bottom w:val="single" w:sz="4" w:space="0" w:color="000000"/>
              <w:right w:val="single" w:sz="4" w:space="0" w:color="000000"/>
            </w:tcBorders>
            <w:shd w:val="clear" w:color="auto" w:fill="auto"/>
            <w:noWrap/>
            <w:vAlign w:val="center"/>
            <w:hideMark/>
          </w:tcPr>
          <w:p w:rsidR="00B1258F" w:rsidRPr="00904FBC" w:rsidRDefault="00B1258F" w:rsidP="00082AA5">
            <w:pPr>
              <w:jc w:val="center"/>
              <w:rPr>
                <w:rFonts w:eastAsia="Times New Roman"/>
                <w:bCs/>
                <w:color w:val="000000"/>
                <w:szCs w:val="20"/>
                <w:lang w:val="en-CA"/>
              </w:rPr>
            </w:pPr>
            <w:r w:rsidRPr="00904FBC">
              <w:rPr>
                <w:rFonts w:eastAsia="Times New Roman"/>
                <w:bCs/>
                <w:color w:val="000000"/>
                <w:szCs w:val="20"/>
                <w:lang w:val="en-CA"/>
              </w:rPr>
              <w:t>4</w:t>
            </w:r>
          </w:p>
        </w:tc>
        <w:tc>
          <w:tcPr>
            <w:tcW w:w="733" w:type="dxa"/>
            <w:tcBorders>
              <w:top w:val="nil"/>
              <w:left w:val="nil"/>
              <w:bottom w:val="single" w:sz="4" w:space="0" w:color="000000"/>
              <w:right w:val="single" w:sz="4" w:space="0" w:color="000000"/>
            </w:tcBorders>
            <w:shd w:val="clear" w:color="auto" w:fill="auto"/>
            <w:noWrap/>
            <w:vAlign w:val="center"/>
            <w:hideMark/>
          </w:tcPr>
          <w:p w:rsidR="00B1258F" w:rsidRPr="00904FBC" w:rsidRDefault="00B1258F" w:rsidP="00082AA5">
            <w:pPr>
              <w:jc w:val="center"/>
              <w:rPr>
                <w:rFonts w:eastAsia="Times New Roman"/>
                <w:bCs/>
                <w:color w:val="000000"/>
                <w:szCs w:val="20"/>
                <w:lang w:val="en-CA"/>
              </w:rPr>
            </w:pPr>
            <w:r w:rsidRPr="00904FBC">
              <w:rPr>
                <w:rFonts w:eastAsia="Times New Roman"/>
                <w:bCs/>
                <w:color w:val="000000"/>
                <w:szCs w:val="20"/>
                <w:lang w:val="en-CA"/>
              </w:rPr>
              <w:t>5</w:t>
            </w:r>
          </w:p>
        </w:tc>
        <w:tc>
          <w:tcPr>
            <w:tcW w:w="734" w:type="dxa"/>
            <w:tcBorders>
              <w:top w:val="nil"/>
              <w:left w:val="nil"/>
              <w:bottom w:val="single" w:sz="4" w:space="0" w:color="000000"/>
              <w:right w:val="single" w:sz="4" w:space="0" w:color="000000"/>
            </w:tcBorders>
            <w:shd w:val="clear" w:color="auto" w:fill="auto"/>
            <w:noWrap/>
            <w:vAlign w:val="center"/>
            <w:hideMark/>
          </w:tcPr>
          <w:p w:rsidR="00B1258F" w:rsidRPr="00904FBC" w:rsidRDefault="00B1258F" w:rsidP="00082AA5">
            <w:pPr>
              <w:jc w:val="center"/>
              <w:rPr>
                <w:rFonts w:eastAsia="Times New Roman"/>
                <w:bCs/>
                <w:color w:val="000000"/>
                <w:szCs w:val="20"/>
                <w:lang w:val="en-CA"/>
              </w:rPr>
            </w:pPr>
            <w:r w:rsidRPr="00904FBC">
              <w:rPr>
                <w:rFonts w:eastAsia="Times New Roman"/>
                <w:bCs/>
                <w:color w:val="000000"/>
                <w:szCs w:val="20"/>
                <w:lang w:val="en-CA"/>
              </w:rPr>
              <w:t>6</w:t>
            </w:r>
          </w:p>
        </w:tc>
        <w:tc>
          <w:tcPr>
            <w:tcW w:w="733" w:type="dxa"/>
            <w:tcBorders>
              <w:top w:val="nil"/>
              <w:left w:val="nil"/>
              <w:bottom w:val="single" w:sz="4" w:space="0" w:color="000000"/>
              <w:right w:val="single" w:sz="4" w:space="0" w:color="000000"/>
            </w:tcBorders>
            <w:shd w:val="clear" w:color="auto" w:fill="auto"/>
            <w:noWrap/>
            <w:vAlign w:val="center"/>
            <w:hideMark/>
          </w:tcPr>
          <w:p w:rsidR="00B1258F" w:rsidRPr="00904FBC" w:rsidRDefault="00B1258F" w:rsidP="00082AA5">
            <w:pPr>
              <w:jc w:val="center"/>
              <w:rPr>
                <w:rFonts w:eastAsia="Times New Roman"/>
                <w:bCs/>
                <w:color w:val="000000"/>
                <w:szCs w:val="20"/>
                <w:lang w:val="en-CA"/>
              </w:rPr>
            </w:pPr>
            <w:r w:rsidRPr="00904FBC">
              <w:rPr>
                <w:rFonts w:eastAsia="Times New Roman"/>
                <w:bCs/>
                <w:color w:val="000000"/>
                <w:szCs w:val="20"/>
                <w:lang w:val="en-CA"/>
              </w:rPr>
              <w:t>7</w:t>
            </w:r>
          </w:p>
        </w:tc>
        <w:tc>
          <w:tcPr>
            <w:tcW w:w="734" w:type="dxa"/>
            <w:tcBorders>
              <w:top w:val="nil"/>
              <w:left w:val="nil"/>
              <w:bottom w:val="single" w:sz="4" w:space="0" w:color="000000"/>
              <w:right w:val="single" w:sz="4" w:space="0" w:color="000000"/>
            </w:tcBorders>
            <w:shd w:val="clear" w:color="auto" w:fill="auto"/>
            <w:noWrap/>
            <w:vAlign w:val="center"/>
            <w:hideMark/>
          </w:tcPr>
          <w:p w:rsidR="00B1258F" w:rsidRPr="00904FBC" w:rsidRDefault="00B1258F" w:rsidP="00082AA5">
            <w:pPr>
              <w:jc w:val="center"/>
              <w:rPr>
                <w:rFonts w:eastAsia="Times New Roman"/>
                <w:bCs/>
                <w:color w:val="000000"/>
                <w:szCs w:val="20"/>
                <w:lang w:val="en-CA"/>
              </w:rPr>
            </w:pPr>
            <w:r w:rsidRPr="00904FBC">
              <w:rPr>
                <w:rFonts w:eastAsia="Times New Roman"/>
                <w:bCs/>
                <w:color w:val="000000"/>
                <w:szCs w:val="20"/>
                <w:lang w:val="en-CA"/>
              </w:rPr>
              <w:t>8</w:t>
            </w:r>
          </w:p>
        </w:tc>
        <w:tc>
          <w:tcPr>
            <w:tcW w:w="733" w:type="dxa"/>
            <w:tcBorders>
              <w:top w:val="nil"/>
              <w:left w:val="nil"/>
              <w:bottom w:val="single" w:sz="4" w:space="0" w:color="000000"/>
              <w:right w:val="single" w:sz="4" w:space="0" w:color="000000"/>
            </w:tcBorders>
            <w:shd w:val="clear" w:color="auto" w:fill="auto"/>
            <w:noWrap/>
            <w:vAlign w:val="center"/>
            <w:hideMark/>
          </w:tcPr>
          <w:p w:rsidR="00B1258F" w:rsidRPr="00904FBC" w:rsidRDefault="00B1258F" w:rsidP="00082AA5">
            <w:pPr>
              <w:jc w:val="center"/>
              <w:rPr>
                <w:rFonts w:eastAsia="Times New Roman"/>
                <w:bCs/>
                <w:color w:val="000000"/>
                <w:szCs w:val="20"/>
                <w:lang w:val="en-CA"/>
              </w:rPr>
            </w:pPr>
            <w:r w:rsidRPr="00904FBC">
              <w:rPr>
                <w:rFonts w:eastAsia="Times New Roman"/>
                <w:bCs/>
                <w:color w:val="000000"/>
                <w:szCs w:val="20"/>
                <w:lang w:val="en-CA"/>
              </w:rPr>
              <w:t>9</w:t>
            </w:r>
          </w:p>
        </w:tc>
        <w:tc>
          <w:tcPr>
            <w:tcW w:w="734" w:type="dxa"/>
            <w:tcBorders>
              <w:top w:val="nil"/>
              <w:left w:val="nil"/>
              <w:bottom w:val="single" w:sz="4" w:space="0" w:color="000000"/>
              <w:right w:val="single" w:sz="4" w:space="0" w:color="000000"/>
            </w:tcBorders>
            <w:shd w:val="clear" w:color="auto" w:fill="auto"/>
            <w:noWrap/>
            <w:vAlign w:val="center"/>
            <w:hideMark/>
          </w:tcPr>
          <w:p w:rsidR="00B1258F" w:rsidRPr="00904FBC" w:rsidRDefault="00B1258F" w:rsidP="00082AA5">
            <w:pPr>
              <w:jc w:val="center"/>
              <w:rPr>
                <w:rFonts w:eastAsia="Times New Roman"/>
                <w:bCs/>
                <w:color w:val="000000"/>
                <w:szCs w:val="20"/>
                <w:lang w:val="en-CA"/>
              </w:rPr>
            </w:pPr>
            <w:r w:rsidRPr="00904FBC">
              <w:rPr>
                <w:rFonts w:eastAsia="Times New Roman"/>
                <w:bCs/>
                <w:color w:val="000000"/>
                <w:szCs w:val="20"/>
                <w:lang w:val="en-CA"/>
              </w:rPr>
              <w:t>10</w:t>
            </w:r>
          </w:p>
        </w:tc>
      </w:tr>
      <w:tr w:rsidR="00B1258F" w:rsidRPr="00904FBC" w:rsidTr="00082AA5">
        <w:trPr>
          <w:trHeight w:val="285"/>
        </w:trPr>
        <w:tc>
          <w:tcPr>
            <w:tcW w:w="1975" w:type="dxa"/>
            <w:tcBorders>
              <w:top w:val="nil"/>
              <w:left w:val="single" w:sz="4" w:space="0" w:color="000000"/>
              <w:bottom w:val="single" w:sz="4" w:space="0" w:color="000000"/>
              <w:right w:val="single" w:sz="4" w:space="0" w:color="000000"/>
            </w:tcBorders>
            <w:shd w:val="clear" w:color="auto" w:fill="auto"/>
            <w:hideMark/>
          </w:tcPr>
          <w:p w:rsidR="00B1258F" w:rsidRPr="00904FBC" w:rsidRDefault="00B1258F" w:rsidP="00082AA5">
            <w:pPr>
              <w:rPr>
                <w:rFonts w:eastAsia="Times New Roman"/>
                <w:color w:val="000000"/>
                <w:szCs w:val="20"/>
                <w:lang w:val="en-CA"/>
              </w:rPr>
            </w:pPr>
            <w:r w:rsidRPr="00904FBC">
              <w:rPr>
                <w:rFonts w:eastAsia="Times New Roman"/>
                <w:color w:val="000000"/>
                <w:szCs w:val="20"/>
                <w:lang w:val="en-CA"/>
              </w:rPr>
              <w:t>Mouloudi 2010</w:t>
            </w:r>
          </w:p>
        </w:tc>
        <w:tc>
          <w:tcPr>
            <w:tcW w:w="733" w:type="dxa"/>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rsidR="00B1258F" w:rsidRPr="00904FBC" w:rsidRDefault="00B1258F" w:rsidP="00082AA5">
            <w:pPr>
              <w:jc w:val="center"/>
              <w:rPr>
                <w:rFonts w:eastAsia="Times New Roman"/>
                <w:color w:val="9C0006"/>
                <w:szCs w:val="20"/>
                <w:lang w:val="en-CA"/>
              </w:rPr>
            </w:pPr>
            <w:r w:rsidRPr="00904FBC">
              <w:rPr>
                <w:rFonts w:eastAsia="Times New Roman"/>
                <w:color w:val="9C0006"/>
                <w:szCs w:val="20"/>
                <w:lang w:val="en-CA"/>
              </w:rPr>
              <w:t>N</w:t>
            </w:r>
          </w:p>
        </w:tc>
        <w:tc>
          <w:tcPr>
            <w:tcW w:w="734" w:type="dxa"/>
            <w:tcBorders>
              <w:top w:val="single" w:sz="4" w:space="0" w:color="000000"/>
              <w:left w:val="single" w:sz="4" w:space="0" w:color="000000"/>
              <w:bottom w:val="single" w:sz="4" w:space="0" w:color="000000"/>
              <w:right w:val="single" w:sz="4" w:space="0" w:color="000000"/>
            </w:tcBorders>
            <w:shd w:val="clear" w:color="FFC7CE" w:fill="FFC7CE"/>
            <w:noWrap/>
            <w:vAlign w:val="center"/>
            <w:hideMark/>
          </w:tcPr>
          <w:p w:rsidR="00B1258F" w:rsidRPr="00904FBC" w:rsidRDefault="00B1258F" w:rsidP="00082AA5">
            <w:pPr>
              <w:jc w:val="center"/>
              <w:rPr>
                <w:rFonts w:eastAsia="Times New Roman"/>
                <w:color w:val="9C0006"/>
                <w:szCs w:val="20"/>
                <w:lang w:val="en-CA"/>
              </w:rPr>
            </w:pPr>
            <w:r w:rsidRPr="00904FBC">
              <w:rPr>
                <w:rFonts w:eastAsia="Times New Roman"/>
                <w:color w:val="9C0006"/>
                <w:szCs w:val="20"/>
                <w:lang w:val="en-CA"/>
              </w:rPr>
              <w:t>N</w:t>
            </w:r>
          </w:p>
        </w:tc>
        <w:tc>
          <w:tcPr>
            <w:tcW w:w="733"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734"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733"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734"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733"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734"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733"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c>
          <w:tcPr>
            <w:tcW w:w="734" w:type="dxa"/>
            <w:tcBorders>
              <w:top w:val="single" w:sz="4" w:space="0" w:color="000000"/>
              <w:left w:val="single" w:sz="4" w:space="0" w:color="000000"/>
              <w:bottom w:val="single" w:sz="4" w:space="0" w:color="000000"/>
              <w:right w:val="single" w:sz="4" w:space="0" w:color="000000"/>
            </w:tcBorders>
            <w:shd w:val="clear" w:color="C6EFCE" w:fill="C6EFCE"/>
            <w:noWrap/>
            <w:vAlign w:val="center"/>
            <w:hideMark/>
          </w:tcPr>
          <w:p w:rsidR="00B1258F" w:rsidRPr="00904FBC" w:rsidRDefault="00B1258F" w:rsidP="00082AA5">
            <w:pPr>
              <w:jc w:val="center"/>
              <w:rPr>
                <w:rFonts w:eastAsia="Times New Roman"/>
                <w:color w:val="006100"/>
                <w:szCs w:val="20"/>
                <w:lang w:val="en-CA"/>
              </w:rPr>
            </w:pPr>
            <w:r w:rsidRPr="00904FBC">
              <w:rPr>
                <w:rFonts w:eastAsia="Times New Roman"/>
                <w:color w:val="006100"/>
                <w:szCs w:val="20"/>
                <w:lang w:val="en-CA"/>
              </w:rPr>
              <w:t>Y</w:t>
            </w:r>
          </w:p>
        </w:tc>
      </w:tr>
    </w:tbl>
    <w:p w:rsidR="00B1258F" w:rsidRPr="00E33EFF" w:rsidRDefault="00B1258F" w:rsidP="00B1258F">
      <w:pPr>
        <w:rPr>
          <w:szCs w:val="20"/>
        </w:rPr>
      </w:pPr>
    </w:p>
    <w:p w:rsidR="00B1258F" w:rsidRPr="00E33EFF" w:rsidRDefault="00B1258F" w:rsidP="00B1258F">
      <w:pPr>
        <w:outlineLvl w:val="0"/>
        <w:rPr>
          <w:szCs w:val="20"/>
        </w:rPr>
      </w:pPr>
      <w:r w:rsidRPr="00E33EFF">
        <w:rPr>
          <w:szCs w:val="20"/>
        </w:rPr>
        <w:t>N, No;  Y, Yes</w:t>
      </w:r>
    </w:p>
    <w:p w:rsidR="00B1258F" w:rsidRPr="00E33EFF" w:rsidRDefault="00B1258F" w:rsidP="00B1258F">
      <w:pPr>
        <w:rPr>
          <w:b/>
          <w:szCs w:val="20"/>
        </w:rPr>
      </w:pPr>
    </w:p>
    <w:p w:rsidR="00B1258F" w:rsidRDefault="00B1258F" w:rsidP="00B1258F">
      <w:pPr>
        <w:rPr>
          <w:szCs w:val="20"/>
        </w:rPr>
      </w:pPr>
      <w:r w:rsidRPr="00E33EFF">
        <w:rPr>
          <w:b/>
          <w:szCs w:val="20"/>
        </w:rPr>
        <w:t>Questions:</w:t>
      </w:r>
      <w:r w:rsidRPr="00E33EFF">
        <w:rPr>
          <w:szCs w:val="20"/>
        </w:rPr>
        <w:t xml:space="preserve"> 1. Were the groups comparable other than the presence of disease in cases or the absence of disease in controls?; 2. Were cases and controls matched appropriately?; 3. Were the same criteria used for identification of cases and controls?; 4. Was exposure measured in a standard, valid and reliable way?; 5. Was exposure measured in the same way for cases and controls?; 6. Were confounding factors identified?; 7. Were strategies to deal with confounding factors stated?; 8. Were outcomes assessed in a standard, valid and reliable way for cases and controls?; 9. Was the exposure period of interest long enough to be meaningful?; 10. Was a</w:t>
      </w:r>
      <w:r>
        <w:rPr>
          <w:szCs w:val="20"/>
        </w:rPr>
        <w:t>ppropriate statistical analysis?</w:t>
      </w:r>
    </w:p>
    <w:p w:rsidR="00B1258F" w:rsidRDefault="00B1258F" w:rsidP="00B1258F">
      <w:pPr>
        <w:rPr>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rPr>
          <w:b/>
          <w:bCs/>
          <w:szCs w:val="20"/>
        </w:rPr>
      </w:pPr>
    </w:p>
    <w:p w:rsidR="00B1258F" w:rsidRDefault="00B1258F" w:rsidP="00B1258F">
      <w:pPr>
        <w:outlineLvl w:val="0"/>
        <w:rPr>
          <w:rFonts w:eastAsia="Times"/>
          <w:b/>
          <w:szCs w:val="20"/>
        </w:rPr>
      </w:pPr>
      <w:r w:rsidRPr="00BA67C1">
        <w:rPr>
          <w:b/>
          <w:bCs/>
          <w:szCs w:val="20"/>
        </w:rPr>
        <w:t xml:space="preserve">Appendix </w:t>
      </w:r>
      <w:r>
        <w:rPr>
          <w:b/>
          <w:bCs/>
          <w:szCs w:val="20"/>
        </w:rPr>
        <w:t>6</w:t>
      </w:r>
      <w:r w:rsidRPr="00BA67C1">
        <w:rPr>
          <w:b/>
          <w:bCs/>
          <w:szCs w:val="20"/>
        </w:rPr>
        <w:t>.</w:t>
      </w:r>
      <w:r>
        <w:rPr>
          <w:b/>
          <w:bCs/>
          <w:szCs w:val="20"/>
        </w:rPr>
        <w:t xml:space="preserve"> </w:t>
      </w:r>
      <w:r w:rsidRPr="00E33EFF">
        <w:rPr>
          <w:rFonts w:eastAsia="Times"/>
          <w:b/>
          <w:szCs w:val="20"/>
        </w:rPr>
        <w:t>Summary of data extraction categorized by health outcomes and sequelae</w:t>
      </w:r>
    </w:p>
    <w:p w:rsidR="00B1258F" w:rsidRPr="00E33EFF" w:rsidRDefault="00B1258F" w:rsidP="00B1258F">
      <w:pPr>
        <w:outlineLvl w:val="0"/>
        <w:rPr>
          <w:rFonts w:eastAsia="Times"/>
          <w:b/>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22"/>
        <w:gridCol w:w="1301"/>
        <w:gridCol w:w="1470"/>
        <w:gridCol w:w="1470"/>
        <w:gridCol w:w="1532"/>
        <w:gridCol w:w="1694"/>
      </w:tblGrid>
      <w:tr w:rsidR="00B1258F" w:rsidRPr="00904FBC" w:rsidTr="00904FBC">
        <w:trPr>
          <w:trHeight w:val="450"/>
        </w:trPr>
        <w:tc>
          <w:tcPr>
            <w:tcW w:w="2422" w:type="dxa"/>
            <w:tcBorders>
              <w:top w:val="single" w:sz="4" w:space="0" w:color="auto"/>
              <w:left w:val="single" w:sz="4" w:space="0" w:color="auto"/>
              <w:bottom w:val="single" w:sz="4" w:space="0" w:color="auto"/>
              <w:right w:val="single" w:sz="4" w:space="0" w:color="auto"/>
            </w:tcBorders>
            <w:shd w:val="clear" w:color="auto" w:fill="D9D9D9"/>
            <w:vAlign w:val="center"/>
          </w:tcPr>
          <w:p w:rsidR="00B1258F" w:rsidRPr="00904FBC" w:rsidRDefault="00B1258F" w:rsidP="00082AA5">
            <w:pPr>
              <w:jc w:val="center"/>
              <w:rPr>
                <w:rFonts w:eastAsia="Times"/>
                <w:b/>
                <w:sz w:val="16"/>
                <w:szCs w:val="16"/>
              </w:rPr>
            </w:pPr>
          </w:p>
        </w:tc>
        <w:tc>
          <w:tcPr>
            <w:tcW w:w="1301" w:type="dxa"/>
            <w:tcBorders>
              <w:top w:val="single" w:sz="4" w:space="0" w:color="auto"/>
              <w:left w:val="single" w:sz="4" w:space="0" w:color="auto"/>
              <w:bottom w:val="single" w:sz="4" w:space="0" w:color="auto"/>
              <w:right w:val="single" w:sz="4" w:space="0" w:color="auto"/>
            </w:tcBorders>
            <w:shd w:val="clear" w:color="auto" w:fill="D9D9D9"/>
            <w:vAlign w:val="center"/>
          </w:tcPr>
          <w:p w:rsidR="00B1258F" w:rsidRPr="00904FBC" w:rsidRDefault="00B1258F" w:rsidP="00082AA5">
            <w:pPr>
              <w:jc w:val="center"/>
              <w:rPr>
                <w:rFonts w:eastAsia="Times"/>
                <w:b/>
                <w:sz w:val="16"/>
                <w:szCs w:val="16"/>
              </w:rPr>
            </w:pPr>
            <w:r w:rsidRPr="00904FBC">
              <w:rPr>
                <w:rFonts w:eastAsia="Times"/>
                <w:b/>
                <w:sz w:val="16"/>
                <w:szCs w:val="16"/>
              </w:rPr>
              <w:t>Sample Size Cases</w:t>
            </w:r>
          </w:p>
        </w:tc>
        <w:tc>
          <w:tcPr>
            <w:tcW w:w="1470" w:type="dxa"/>
            <w:tcBorders>
              <w:left w:val="single" w:sz="4" w:space="0" w:color="auto"/>
            </w:tcBorders>
            <w:shd w:val="clear" w:color="auto" w:fill="D9D9D9"/>
            <w:vAlign w:val="center"/>
          </w:tcPr>
          <w:p w:rsidR="00B1258F" w:rsidRPr="00904FBC" w:rsidRDefault="00B1258F" w:rsidP="00082AA5">
            <w:pPr>
              <w:jc w:val="center"/>
              <w:rPr>
                <w:rFonts w:eastAsia="Times"/>
                <w:b/>
                <w:sz w:val="16"/>
                <w:szCs w:val="16"/>
              </w:rPr>
            </w:pPr>
            <w:r w:rsidRPr="00904FBC">
              <w:rPr>
                <w:rFonts w:eastAsia="Times"/>
                <w:b/>
                <w:sz w:val="16"/>
                <w:szCs w:val="16"/>
              </w:rPr>
              <w:t>Sample Size Controls</w:t>
            </w:r>
          </w:p>
        </w:tc>
        <w:tc>
          <w:tcPr>
            <w:tcW w:w="1470" w:type="dxa"/>
            <w:shd w:val="clear" w:color="auto" w:fill="D9D9D9"/>
            <w:vAlign w:val="center"/>
          </w:tcPr>
          <w:p w:rsidR="00B1258F" w:rsidRPr="00904FBC" w:rsidRDefault="00B1258F" w:rsidP="00082AA5">
            <w:pPr>
              <w:jc w:val="center"/>
              <w:rPr>
                <w:rFonts w:eastAsia="Times"/>
                <w:b/>
                <w:sz w:val="16"/>
                <w:szCs w:val="16"/>
              </w:rPr>
            </w:pPr>
            <w:r w:rsidRPr="00904FBC">
              <w:rPr>
                <w:rFonts w:eastAsia="Times"/>
                <w:b/>
                <w:sz w:val="16"/>
                <w:szCs w:val="16"/>
              </w:rPr>
              <w:t>Cases Results (%)</w:t>
            </w:r>
          </w:p>
        </w:tc>
        <w:tc>
          <w:tcPr>
            <w:tcW w:w="1532" w:type="dxa"/>
            <w:shd w:val="clear" w:color="auto" w:fill="D9D9D9"/>
            <w:vAlign w:val="center"/>
          </w:tcPr>
          <w:p w:rsidR="00B1258F" w:rsidRPr="00904FBC" w:rsidRDefault="00B1258F" w:rsidP="00082AA5">
            <w:pPr>
              <w:jc w:val="center"/>
              <w:rPr>
                <w:rFonts w:eastAsia="Times"/>
                <w:b/>
                <w:sz w:val="16"/>
                <w:szCs w:val="16"/>
              </w:rPr>
            </w:pPr>
            <w:r w:rsidRPr="00904FBC">
              <w:rPr>
                <w:rFonts w:eastAsia="Times"/>
                <w:b/>
                <w:sz w:val="16"/>
                <w:szCs w:val="16"/>
              </w:rPr>
              <w:t>Control Results (%)</w:t>
            </w:r>
          </w:p>
        </w:tc>
        <w:tc>
          <w:tcPr>
            <w:tcW w:w="1694" w:type="dxa"/>
            <w:shd w:val="clear" w:color="auto" w:fill="D9D9D9"/>
            <w:vAlign w:val="center"/>
          </w:tcPr>
          <w:p w:rsidR="00B1258F" w:rsidRPr="00904FBC" w:rsidRDefault="00B1258F" w:rsidP="00082AA5">
            <w:pPr>
              <w:jc w:val="center"/>
              <w:rPr>
                <w:rFonts w:eastAsia="Times"/>
                <w:b/>
                <w:sz w:val="16"/>
                <w:szCs w:val="16"/>
              </w:rPr>
            </w:pPr>
            <w:r w:rsidRPr="00904FBC">
              <w:rPr>
                <w:rFonts w:eastAsia="Times"/>
                <w:b/>
                <w:sz w:val="16"/>
                <w:szCs w:val="16"/>
              </w:rPr>
              <w:t>Risk Difference (%)</w:t>
            </w:r>
          </w:p>
        </w:tc>
      </w:tr>
      <w:tr w:rsidR="00B1258F" w:rsidRPr="00904FBC" w:rsidTr="00082AA5">
        <w:trPr>
          <w:trHeight w:val="135"/>
        </w:trPr>
        <w:tc>
          <w:tcPr>
            <w:tcW w:w="9889" w:type="dxa"/>
            <w:gridSpan w:val="6"/>
            <w:shd w:val="clear" w:color="auto" w:fill="C5E0B3"/>
          </w:tcPr>
          <w:p w:rsidR="00B1258F" w:rsidRPr="00904FBC" w:rsidRDefault="00B1258F" w:rsidP="00082AA5">
            <w:pPr>
              <w:jc w:val="center"/>
              <w:rPr>
                <w:rFonts w:eastAsia="Times"/>
                <w:b/>
                <w:sz w:val="16"/>
                <w:szCs w:val="16"/>
              </w:rPr>
            </w:pPr>
            <w:r w:rsidRPr="00904FBC">
              <w:rPr>
                <w:rFonts w:eastAsia="Times"/>
                <w:b/>
                <w:sz w:val="16"/>
                <w:szCs w:val="16"/>
              </w:rPr>
              <w:lastRenderedPageBreak/>
              <w:t>Category: Mortality</w:t>
            </w:r>
          </w:p>
        </w:tc>
      </w:tr>
      <w:tr w:rsidR="00B1258F" w:rsidRPr="00904FBC" w:rsidTr="00082AA5">
        <w:trPr>
          <w:trHeight w:val="135"/>
        </w:trPr>
        <w:tc>
          <w:tcPr>
            <w:tcW w:w="9889" w:type="dxa"/>
            <w:gridSpan w:val="6"/>
            <w:shd w:val="clear" w:color="auto" w:fill="E2EFD9"/>
          </w:tcPr>
          <w:p w:rsidR="00B1258F" w:rsidRPr="00904FBC" w:rsidRDefault="00B1258F" w:rsidP="00082AA5">
            <w:pPr>
              <w:jc w:val="center"/>
              <w:rPr>
                <w:rFonts w:eastAsia="Times"/>
                <w:sz w:val="16"/>
                <w:szCs w:val="16"/>
              </w:rPr>
            </w:pPr>
            <w:r w:rsidRPr="00904FBC">
              <w:rPr>
                <w:rFonts w:eastAsia="Times"/>
                <w:sz w:val="16"/>
                <w:szCs w:val="16"/>
              </w:rPr>
              <w:t>In-Hospital</w:t>
            </w:r>
          </w:p>
        </w:tc>
      </w:tr>
      <w:tr w:rsidR="00B1258F" w:rsidRPr="00904FBC" w:rsidTr="00082AA5">
        <w:trPr>
          <w:trHeight w:val="292"/>
        </w:trPr>
        <w:tc>
          <w:tcPr>
            <w:tcW w:w="2422" w:type="dxa"/>
            <w:vAlign w:val="center"/>
          </w:tcPr>
          <w:p w:rsidR="00B1258F" w:rsidRPr="00904FBC" w:rsidRDefault="00B1258F" w:rsidP="00082AA5">
            <w:pPr>
              <w:rPr>
                <w:rFonts w:eastAsia="Times"/>
                <w:sz w:val="16"/>
                <w:szCs w:val="16"/>
              </w:rPr>
            </w:pPr>
            <w:r w:rsidRPr="00904FBC">
              <w:rPr>
                <w:rFonts w:eastAsia="Times"/>
                <w:sz w:val="16"/>
                <w:szCs w:val="16"/>
              </w:rPr>
              <w:t>Ben-David et al. 2012</w:t>
            </w:r>
            <w:r w:rsidRPr="00904FBC">
              <w:rPr>
                <w:rFonts w:eastAsia="Times"/>
                <w:sz w:val="16"/>
                <w:szCs w:val="16"/>
              </w:rPr>
              <w:fldChar w:fldCharType="begin" w:fldLock="1"/>
            </w:r>
            <w:r w:rsidRPr="00904FBC">
              <w:rPr>
                <w:rFonts w:eastAsia="Times"/>
                <w:sz w:val="16"/>
                <w:szCs w:val="16"/>
              </w:rPr>
              <w:instrText>ADDIN CSL_CITATION {"citationItems":[{"id":"ITEM-1","itemData":{"DOI":"10.1111/j.1469-0691.2011.03478.x","ISBN":"1469-0691 (Electronic)\\n1198-743X (Linking)","ISSN":"14690691","PMID":"21722257","abstract":"The aim of this study was to evaluate the impact of carbapenem-resistant K. pneumoniae bloodstream infections on mortality. During the study period 42, 68 and 120 patients were identified with carbapenem-resistant, extended-spectrum b-lactamase producers (ESBL) and susceptible K. pneumoniae bloodstream infections, respectively. Patients with carbapenem-resistant K. pneumoniae had higher rates of prior antimicrobial exposure, other nosocomial infections, and use of invasive devices. Infection-related mortality was 48% for carba-penem-resistant, 22% for ESBL producers and 17% for susceptible K. pneumoniae. Independent risk factors for infection-related mortality were Pitt bacteraemia score, Charlson score and carbapenem resistance.","author":[{"dropping-particle":"","family":"Ben-David","given":"D.","non-dropping-particle":"","parse-names":false,"suffix":""},{"dropping-particle":"","family":"Kordevani","given":"R.","non-dropping-particle":"","parse-names":false,"suffix":""},{"dropping-particle":"","family":"Keller","given":"N.","non-dropping-particle":"","parse-names":false,"suffix":""},{"dropping-particle":"","family":"Tal","given":"I.","non-dropping-particle":"","parse-names":false,"suffix":""},{"dropping-particle":"","family":"Marzel","given":"A.","non-dropping-particle":"","parse-names":false,"suffix":""},{"dropping-particle":"","family":"Gal-Mor","given":"O.","non-dropping-particle":"","parse-names":false,"suffix":""},{"dropping-particle":"","family":"Maor","given":"Y.","non-dropping-particle":"","parse-names":false,"suffix":""},{"dropping-particle":"","family":"Rahav","given":"G.","non-dropping-particle":"","parse-names":false,"suffix":""}],"container-title":"Clinical Microbiology and Infection","id":"ITEM-1","issue":"1","issued":{"date-parts":[["2012"]]},"page":"54-60","publisher":"European Society of Clinical Infectious Diseases","title":"Outcome of carbapenem resistant Klebsiella pneumoniae bloodstream infections","type":"article-journal","volume":"18"},"uris":["http://www.mendeley.com/documents/?uuid=cfc2f597-6823-41b8-8ee6-f24676d8e5f7"]}],"mendeley":{"formattedCitation":"&lt;sup&gt;28&lt;/sup&gt;","plainTextFormattedCitation":"28","previouslyFormattedCitation":"&lt;sup&gt;28&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28</w:t>
            </w:r>
            <w:r w:rsidRPr="00904FBC">
              <w:rPr>
                <w:rFonts w:eastAsia="Times"/>
                <w:sz w:val="16"/>
                <w:szCs w:val="16"/>
              </w:rPr>
              <w:fldChar w:fldCharType="end"/>
            </w:r>
          </w:p>
        </w:tc>
        <w:tc>
          <w:tcPr>
            <w:tcW w:w="1301" w:type="dxa"/>
            <w:vAlign w:val="center"/>
          </w:tcPr>
          <w:p w:rsidR="00B1258F" w:rsidRPr="00904FBC" w:rsidRDefault="00B1258F" w:rsidP="00082AA5">
            <w:pPr>
              <w:jc w:val="center"/>
              <w:rPr>
                <w:rFonts w:eastAsia="Times"/>
                <w:sz w:val="16"/>
                <w:szCs w:val="16"/>
              </w:rPr>
            </w:pPr>
            <w:r w:rsidRPr="00904FBC">
              <w:rPr>
                <w:rFonts w:eastAsia="Times"/>
                <w:sz w:val="16"/>
                <w:szCs w:val="16"/>
              </w:rPr>
              <w:t>42</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150</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69.0%</w:t>
            </w:r>
          </w:p>
        </w:tc>
        <w:tc>
          <w:tcPr>
            <w:tcW w:w="1532" w:type="dxa"/>
            <w:vAlign w:val="center"/>
          </w:tcPr>
          <w:p w:rsidR="00B1258F" w:rsidRPr="00904FBC" w:rsidRDefault="00B1258F" w:rsidP="00082AA5">
            <w:pPr>
              <w:jc w:val="center"/>
              <w:rPr>
                <w:rFonts w:eastAsia="Times"/>
                <w:sz w:val="16"/>
                <w:szCs w:val="16"/>
              </w:rPr>
            </w:pPr>
            <w:r w:rsidRPr="00904FBC">
              <w:rPr>
                <w:rFonts w:eastAsia="Times"/>
                <w:sz w:val="16"/>
                <w:szCs w:val="16"/>
              </w:rPr>
              <w:t>30.0%</w:t>
            </w:r>
          </w:p>
        </w:tc>
        <w:tc>
          <w:tcPr>
            <w:tcW w:w="1694" w:type="dxa"/>
            <w:vAlign w:val="center"/>
          </w:tcPr>
          <w:p w:rsidR="00B1258F" w:rsidRPr="00904FBC" w:rsidRDefault="00B1258F" w:rsidP="00082AA5">
            <w:pPr>
              <w:jc w:val="center"/>
              <w:rPr>
                <w:rFonts w:eastAsia="Times"/>
                <w:sz w:val="16"/>
                <w:szCs w:val="16"/>
              </w:rPr>
            </w:pPr>
            <w:r w:rsidRPr="00904FBC">
              <w:rPr>
                <w:rFonts w:eastAsia="Times"/>
                <w:sz w:val="16"/>
                <w:szCs w:val="16"/>
              </w:rPr>
              <w:t>39.0%</w:t>
            </w:r>
          </w:p>
        </w:tc>
      </w:tr>
      <w:tr w:rsidR="00B1258F" w:rsidRPr="00904FBC" w:rsidTr="00082AA5">
        <w:trPr>
          <w:trHeight w:val="490"/>
        </w:trPr>
        <w:tc>
          <w:tcPr>
            <w:tcW w:w="2422" w:type="dxa"/>
            <w:vAlign w:val="center"/>
          </w:tcPr>
          <w:p w:rsidR="00B1258F" w:rsidRPr="00904FBC" w:rsidRDefault="00B1258F" w:rsidP="00082AA5">
            <w:pPr>
              <w:rPr>
                <w:rFonts w:eastAsia="Times"/>
                <w:sz w:val="16"/>
                <w:szCs w:val="16"/>
              </w:rPr>
            </w:pPr>
            <w:r w:rsidRPr="00904FBC">
              <w:rPr>
                <w:rFonts w:eastAsia="Times"/>
                <w:sz w:val="16"/>
                <w:szCs w:val="16"/>
              </w:rPr>
              <w:t>Fraenkel-Wandel et al. 2016</w:t>
            </w:r>
            <w:r w:rsidRPr="00904FBC">
              <w:rPr>
                <w:rFonts w:eastAsia="Times"/>
                <w:sz w:val="16"/>
                <w:szCs w:val="16"/>
              </w:rPr>
              <w:fldChar w:fldCharType="begin" w:fldLock="1"/>
            </w:r>
            <w:r w:rsidRPr="00904FBC">
              <w:rPr>
                <w:rFonts w:eastAsia="Times"/>
                <w:sz w:val="16"/>
                <w:szCs w:val="16"/>
              </w:rPr>
              <w:instrText>ADDIN CSL_CITATION {"citationItems":[{"id":"ITEM-1","itemData":{"DOI":"10.1093/jac/dkv414","abstract":"OBJECTIVES To determine the mortality rate secondary to blaKPC Klebsiella pneumoniae (KPC/Kp) bacteraemia, compared with that from ESBL-producing K. pneumoniae (ESBL/Kp) bacteraemia, and to determine associated risk factors. METHODS This was a retrospective case-control study of all 68 KPC/Kp bacteraemia patients diagnosed since 2006, matched by year of isolation, gender and age, at a ratio of 1:2, to 136 ESBL/Kp bacteraemia patients. RESULTS There were no demographic differences between the two groups, but there were minor clinical differences. Fewer KPC/Kp study patients than ESBL/Kp control patients had a systolic blood pressure &lt;90 mmHg (32/68, 47% versus 86/136, 63%, respectively, P = 0.02) or urinary catheterization (32/68, 47% versus 90/136, 66%, respectively, P = 0.005), while the KPC/Kp bacteraemia group had a greater incidence of acute renal failure (45/68, 66% versus 67/136, 49%, respectively, P = 0.02). There was no difference between the two groups in duration of hospitalization. The mortality rate of the KPC/Kp bacteraemia group was 44/68 (65%) compared with 54/136 (40%) in the ESBL/Kp bacteraemia control group (P = 0.008), which in the multivariate analysis remained highly significant (P &lt; 0.001). Only 11/68 (16%) of KPC/Kp patients were functionally independent at discharge compared with 43/136 (32%) ESBL/Kp patients (P = 0.012). CONCLUSIONS The selection of an ESBL/Kp control cohort with a ratio of 1:2 (study versus control group) helped resolve an as yet insufficiently settled question: bacteraemia with KPC/Kp is an independent risk factor for death, justifying the strict adherence to cohorting and isolation procedures.","author":[{"dropping-particle":"","family":"Fraenkel-Wandel","given":"Yedidah","non-dropping-particle":"","parse-names":false,"suffix":""},{"dropping-particle":"","family":"Raveh-Brawer","given":"David","non-dropping-particle":"","parse-names":false,"suffix":""},{"dropping-particle":"","family":"Wiener-Well","given":"Yonit","non-dropping-particle":"","parse-names":false,"suffix":""},{"dropping-particle":"","family":"Yinnon","given":"Amos M.","non-dropping-particle":"","parse-names":false,"suffix":""},{"dropping-particle":"V.","family":"Assous","given":"Marc","non-dropping-particle":"","parse-names":false,"suffix":""}],"container-title":"Journal of Antimicrobial Chemotherapy","id":"ITEM-1","issued":{"date-parts":[["2016"]]},"page":"1083-1087","title":"Mortality due to blaKPC Klebsiella pneumoniae bacteraemia","type":"article-journal","volume":"71"},"uris":["http://www.mendeley.com/documents/?uuid=dd057afc-de28-48fb-a901-75a2656e1367"]}],"mendeley":{"formattedCitation":"&lt;sup&gt;30&lt;/sup&gt;","plainTextFormattedCitation":"30","previouslyFormattedCitation":"&lt;sup&gt;30&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30</w:t>
            </w:r>
            <w:r w:rsidRPr="00904FBC">
              <w:rPr>
                <w:rFonts w:eastAsia="Times"/>
                <w:sz w:val="16"/>
                <w:szCs w:val="16"/>
              </w:rPr>
              <w:fldChar w:fldCharType="end"/>
            </w:r>
          </w:p>
        </w:tc>
        <w:tc>
          <w:tcPr>
            <w:tcW w:w="1301" w:type="dxa"/>
            <w:vAlign w:val="center"/>
          </w:tcPr>
          <w:p w:rsidR="00B1258F" w:rsidRPr="00904FBC" w:rsidRDefault="00B1258F" w:rsidP="00082AA5">
            <w:pPr>
              <w:jc w:val="center"/>
              <w:rPr>
                <w:rFonts w:eastAsia="Times"/>
                <w:sz w:val="16"/>
                <w:szCs w:val="16"/>
              </w:rPr>
            </w:pPr>
            <w:r w:rsidRPr="00904FBC">
              <w:rPr>
                <w:sz w:val="16"/>
                <w:szCs w:val="16"/>
              </w:rPr>
              <w:t>68</w:t>
            </w:r>
          </w:p>
        </w:tc>
        <w:tc>
          <w:tcPr>
            <w:tcW w:w="1470" w:type="dxa"/>
            <w:vAlign w:val="center"/>
          </w:tcPr>
          <w:p w:rsidR="00B1258F" w:rsidRPr="00904FBC" w:rsidRDefault="00B1258F" w:rsidP="00082AA5">
            <w:pPr>
              <w:jc w:val="center"/>
              <w:rPr>
                <w:rFonts w:eastAsia="Times"/>
                <w:sz w:val="16"/>
                <w:szCs w:val="16"/>
              </w:rPr>
            </w:pPr>
            <w:r w:rsidRPr="00904FBC">
              <w:rPr>
                <w:sz w:val="16"/>
                <w:szCs w:val="16"/>
              </w:rPr>
              <w:t>136</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64.7%</w:t>
            </w:r>
          </w:p>
        </w:tc>
        <w:tc>
          <w:tcPr>
            <w:tcW w:w="1532" w:type="dxa"/>
            <w:vAlign w:val="center"/>
          </w:tcPr>
          <w:p w:rsidR="00B1258F" w:rsidRPr="00904FBC" w:rsidRDefault="00B1258F" w:rsidP="00082AA5">
            <w:pPr>
              <w:jc w:val="center"/>
              <w:rPr>
                <w:rFonts w:eastAsia="Times"/>
                <w:sz w:val="16"/>
                <w:szCs w:val="16"/>
              </w:rPr>
            </w:pPr>
            <w:r w:rsidRPr="00904FBC">
              <w:rPr>
                <w:rFonts w:eastAsia="Times"/>
                <w:sz w:val="16"/>
                <w:szCs w:val="16"/>
              </w:rPr>
              <w:t>39.7%</w:t>
            </w:r>
          </w:p>
        </w:tc>
        <w:tc>
          <w:tcPr>
            <w:tcW w:w="1694" w:type="dxa"/>
            <w:vAlign w:val="center"/>
          </w:tcPr>
          <w:p w:rsidR="00B1258F" w:rsidRPr="00904FBC" w:rsidRDefault="00B1258F" w:rsidP="00082AA5">
            <w:pPr>
              <w:jc w:val="center"/>
              <w:rPr>
                <w:rFonts w:eastAsia="Times"/>
                <w:sz w:val="16"/>
                <w:szCs w:val="16"/>
              </w:rPr>
            </w:pPr>
            <w:r w:rsidRPr="00904FBC">
              <w:rPr>
                <w:rFonts w:eastAsia="Times"/>
                <w:sz w:val="16"/>
                <w:szCs w:val="16"/>
              </w:rPr>
              <w:t>25.0%</w:t>
            </w:r>
          </w:p>
        </w:tc>
      </w:tr>
      <w:tr w:rsidR="00B1258F" w:rsidRPr="00904FBC" w:rsidTr="00082AA5">
        <w:trPr>
          <w:trHeight w:val="154"/>
        </w:trPr>
        <w:tc>
          <w:tcPr>
            <w:tcW w:w="2422" w:type="dxa"/>
            <w:vAlign w:val="center"/>
          </w:tcPr>
          <w:p w:rsidR="00B1258F" w:rsidRPr="00904FBC" w:rsidRDefault="00B1258F" w:rsidP="00082AA5">
            <w:pPr>
              <w:rPr>
                <w:rFonts w:eastAsia="Times"/>
                <w:sz w:val="16"/>
                <w:szCs w:val="16"/>
              </w:rPr>
            </w:pPr>
            <w:r w:rsidRPr="00904FBC">
              <w:rPr>
                <w:rFonts w:eastAsia="Times"/>
                <w:sz w:val="16"/>
                <w:szCs w:val="16"/>
              </w:rPr>
              <w:t>Lubbert et al. 2014</w:t>
            </w:r>
            <w:r w:rsidRPr="00904FBC">
              <w:rPr>
                <w:rFonts w:eastAsia="Times"/>
                <w:sz w:val="16"/>
                <w:szCs w:val="16"/>
              </w:rPr>
              <w:fldChar w:fldCharType="begin" w:fldLock="1"/>
            </w:r>
            <w:r w:rsidRPr="00904FBC">
              <w:rPr>
                <w:rFonts w:eastAsia="Times"/>
                <w:sz w:val="16"/>
                <w:szCs w:val="16"/>
              </w:rPr>
              <w:instrText>ADDIN CSL_CITATION {"citationItems":[{"id":"ITEM-1","itemData":{"DOI":"10.1007/s15010-013-0547-3","ISBN":"1439-0973 (Electronic)\\r0300-8126 (Linking)","ISSN":"14390973","PMID":"24217959","abstract":"PURPOSE From mid-2010 to early 2013 there was a large single-center (Leipzig University Hospital, Germany) outbreak of Klebsiella pneumoniae carbapenemase (KPC) type 2 producing K. pneumoniae (KPC-2-KP) involving a total of 103 patients. The aim of this study was to compare KPC-positive liver transplant recipients (LTR) and KPC-negative controls to determine both the relative risk of infection following colonization with KPC-2-KP and the case fatality rate associated with KPC-2-KP. METHODS The study cohort of this retrospective observational study comprised nine patients who had undergone orthotopic liver transplantation (LTx) (median age of 52 years, range 28-73 years) with confirmed evidence of colonization with KPC-2-KP. The data from these nine LTR were matched to 18 LTR (1:2) in whom carbapenem-resistant pathogens were not present and compared for clinical outcomes. RESULTS Of these nine cases, eight (89 %) progressed to infection due to KPC-2-KP, and five (56 %) were confirmed to have bloodstream infection with KPC-2-KP. Matched-pair analysis of KPC-positive LTR and KPC-negative controls revealed a substantially increased relative risk of 7.0 (95 % confidence interval 1.8-27.1) for fatal infection with KPC-2-producing K. pneumoniae after transplantation with a mortality rate of 78 % (vs. 11 %, p = 0.001). CONCLUSIONS Colonization with KPC-2-KP in LTR leads to high infection rates and excess mortality. Therefore, frequent screening for carbapenem-resistant bacteria in patients on LTx waiting lists appears to be mandatory in an outbreak setting. Patients with evidence of persistent colonization with KPC-producing pathogens should be evaluated with extreme caution for LTx.","author":[{"dropping-particle":"","family":"Lübbert","given":"C.","non-dropping-particle":"","parse-names":false,"suffix":""},{"dropping-particle":"","family":"Becker-Rux","given":"D.","non-dropping-particle":"","parse-names":false,"suffix":""},{"dropping-particle":"","family":"Rodloff","given":"A. C.","non-dropping-particle":"","parse-names":false,"suffix":""},{"dropping-particle":"","family":"Laudi","given":"S.","non-dropping-particle":"","parse-names":false,"suffix":""},{"dropping-particle":"","family":"Busch","given":"T.","non-dropping-particle":"","parse-names":false,"suffix":""},{"dropping-particle":"","family":"Bartels","given":"M.","non-dropping-particle":"","parse-names":false,"suffix":""},{"dropping-particle":"","family":"Kaisers","given":"U. X.","non-dropping-particle":"","parse-names":false,"suffix":""}],"container-title":"Infection","id":"ITEM-1","issue":"2","issued":{"date-parts":[["2014"]]},"page":"309-316","title":"Colonization of liver transplant recipients with KPC-producing Klebsiella pneumoniae is associated with high infection rates and excess mortality: A case-control analysis","type":"article-journal","volume":"42"},"uris":["http://www.mendeley.com/documents/?uuid=9b12c7f5-5b57-445d-895d-e410f25d618d"]}],"mendeley":{"formattedCitation":"&lt;sup&gt;32&lt;/sup&gt;","plainTextFormattedCitation":"32","previouslyFormattedCitation":"&lt;sup&gt;32&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32</w:t>
            </w:r>
            <w:r w:rsidRPr="00904FBC">
              <w:rPr>
                <w:rFonts w:eastAsia="Times"/>
                <w:sz w:val="16"/>
                <w:szCs w:val="16"/>
              </w:rPr>
              <w:fldChar w:fldCharType="end"/>
            </w:r>
          </w:p>
        </w:tc>
        <w:tc>
          <w:tcPr>
            <w:tcW w:w="1301" w:type="dxa"/>
            <w:vAlign w:val="center"/>
          </w:tcPr>
          <w:p w:rsidR="00B1258F" w:rsidRPr="00904FBC" w:rsidRDefault="00B1258F" w:rsidP="00082AA5">
            <w:pPr>
              <w:jc w:val="center"/>
              <w:rPr>
                <w:rFonts w:eastAsia="Times"/>
                <w:sz w:val="16"/>
                <w:szCs w:val="16"/>
              </w:rPr>
            </w:pPr>
            <w:r w:rsidRPr="00904FBC">
              <w:rPr>
                <w:sz w:val="16"/>
                <w:szCs w:val="16"/>
              </w:rPr>
              <w:t>8</w:t>
            </w:r>
          </w:p>
        </w:tc>
        <w:tc>
          <w:tcPr>
            <w:tcW w:w="1470" w:type="dxa"/>
            <w:vAlign w:val="center"/>
          </w:tcPr>
          <w:p w:rsidR="00B1258F" w:rsidRPr="00904FBC" w:rsidRDefault="00B1258F" w:rsidP="00082AA5">
            <w:pPr>
              <w:jc w:val="center"/>
              <w:rPr>
                <w:rFonts w:eastAsia="Times"/>
                <w:sz w:val="16"/>
                <w:szCs w:val="16"/>
              </w:rPr>
            </w:pPr>
            <w:r w:rsidRPr="00904FBC">
              <w:rPr>
                <w:sz w:val="16"/>
                <w:szCs w:val="16"/>
              </w:rPr>
              <w:t>18</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75.0%</w:t>
            </w:r>
          </w:p>
        </w:tc>
        <w:tc>
          <w:tcPr>
            <w:tcW w:w="1532" w:type="dxa"/>
            <w:vAlign w:val="center"/>
          </w:tcPr>
          <w:p w:rsidR="00B1258F" w:rsidRPr="00904FBC" w:rsidRDefault="00B1258F" w:rsidP="00082AA5">
            <w:pPr>
              <w:jc w:val="center"/>
              <w:rPr>
                <w:rFonts w:eastAsia="Times"/>
                <w:sz w:val="16"/>
                <w:szCs w:val="16"/>
              </w:rPr>
            </w:pPr>
            <w:r w:rsidRPr="00904FBC">
              <w:rPr>
                <w:rFonts w:eastAsia="Times"/>
                <w:sz w:val="16"/>
                <w:szCs w:val="16"/>
              </w:rPr>
              <w:t>11.1%</w:t>
            </w:r>
          </w:p>
        </w:tc>
        <w:tc>
          <w:tcPr>
            <w:tcW w:w="1694" w:type="dxa"/>
            <w:vAlign w:val="center"/>
          </w:tcPr>
          <w:p w:rsidR="00B1258F" w:rsidRPr="00904FBC" w:rsidRDefault="00B1258F" w:rsidP="00082AA5">
            <w:pPr>
              <w:jc w:val="center"/>
              <w:rPr>
                <w:rFonts w:eastAsia="Times"/>
                <w:sz w:val="16"/>
                <w:szCs w:val="16"/>
              </w:rPr>
            </w:pPr>
            <w:r w:rsidRPr="00904FBC">
              <w:rPr>
                <w:rFonts w:eastAsia="Times"/>
                <w:sz w:val="16"/>
                <w:szCs w:val="16"/>
              </w:rPr>
              <w:t>63.9%</w:t>
            </w:r>
          </w:p>
        </w:tc>
      </w:tr>
      <w:tr w:rsidR="00B1258F" w:rsidRPr="00904FBC" w:rsidTr="00082AA5">
        <w:trPr>
          <w:trHeight w:val="292"/>
        </w:trPr>
        <w:tc>
          <w:tcPr>
            <w:tcW w:w="2422" w:type="dxa"/>
            <w:vAlign w:val="center"/>
          </w:tcPr>
          <w:p w:rsidR="00B1258F" w:rsidRPr="00904FBC" w:rsidRDefault="00B1258F" w:rsidP="00082AA5">
            <w:pPr>
              <w:rPr>
                <w:rFonts w:eastAsia="Times"/>
                <w:sz w:val="16"/>
                <w:szCs w:val="16"/>
              </w:rPr>
            </w:pPr>
            <w:r w:rsidRPr="00904FBC">
              <w:rPr>
                <w:rFonts w:eastAsia="Times"/>
                <w:sz w:val="16"/>
                <w:szCs w:val="16"/>
              </w:rPr>
              <w:t>McLaughlin et al. 2014</w:t>
            </w:r>
            <w:r w:rsidRPr="00904FBC">
              <w:rPr>
                <w:rFonts w:eastAsia="Times"/>
                <w:sz w:val="16"/>
                <w:szCs w:val="16"/>
              </w:rPr>
              <w:fldChar w:fldCharType="begin" w:fldLock="1"/>
            </w:r>
            <w:r w:rsidRPr="00904FBC">
              <w:rPr>
                <w:rFonts w:eastAsia="Times"/>
                <w:sz w:val="16"/>
                <w:szCs w:val="16"/>
              </w:rPr>
              <w:instrText>ADDIN CSL_CITATION {"citationItems":[{"id":"ITEM-1","itemData":{"DOI":"10.1186/1471-2334-14-31","ISBN":"1471-2334 (Electronic)\\r1471-2334 (Linking)","ISSN":"14712334","PMID":"24428847","abstract":"BACKGROUND: Previous studies may have overestimated morbidity and mortality due to Klebsiella pneumoniae producing carbapenemase (KPC) Klebsiella pneumoniae infections because of difficulties in modeling patient comorbidities. This pilot study sought to evaluate KPC virulence by combining clinical and Galleria mellonella models in patients with K. pneumoniae blood stream infections (BSIs).\\n\\nMETHODS: G. mellonella were inoculated using KPC(+) and KPC(-) isolates from these patients. Extent and rapidity of insect mortality was analyzed. Patients were stratified by KPC BSI status. Clinical outcomes of mortality and length of stay post-infection for survivors (LOS) were analyzed. Median virulence scores calculated from the insect studies were imputed in the clinical model.\\n\\nRESULTS: The in-vivo model revealed greater mortality in KPC(-) isolates (p &lt; 0.001). Fifteen patients with KPC(+) BSI were matched with 60 patients with KPC(-) BSI. Hospital mortality was greater in the KPC(+) group versus the KPC(-) group (OR 3.79, 95% CI 1.00 - 14.34). LOS was longer in the KPC(+) group (p &lt; 0.01). Conversely the virulence score attenuated the association between KPC(+) status and mortality and LOS in the final translational models.\\n\\nCONCLUSIONS: KPC(+) status was associated with decreased virulence in GM. Opposite findings were observed in patients. This pilot study demonstrates that measured virulence from GM may differ from human estimates of virulence.","author":[{"dropping-particle":"","family":"McLaughlin","given":"Milena M.","non-dropping-particle":"","parse-names":false,"suffix":""},{"dropping-particle":"","family":"Advincula","given":"M. R.","non-dropping-particle":"","parse-names":false,"suffix":""},{"dropping-particle":"","family":"Malczynski","given":"Michael","non-dropping-particle":"","parse-names":false,"suffix":""},{"dropping-particle":"","family":"Barajas","given":"Grace","non-dropping-particle":"","parse-names":false,"suffix":""},{"dropping-particle":"","family":"Qi","given":"Chao","non-dropping-particle":"","parse-names":false,"suffix":""},{"dropping-particle":"","family":"Scheetz","given":"Marc H.","non-dropping-particle":"","parse-names":false,"suffix":""}],"container-title":"BMC Infectious Diseases","id":"ITEM-1","issue":"1","issued":{"date-parts":[["2014"]]},"title":"Quantifying the clinical virulence of Klebsiella pneumoniae producing carbapenemase Klebsiella pneumoniae with a Galleria mellonella model and a pilot study to translate to patient outcomes","type":"article-journal","volume":"14"},"uris":["http://www.mendeley.com/documents/?uuid=6c04363c-3942-415e-aa9a-374bb8c3611d"]}],"mendeley":{"formattedCitation":"&lt;sup&gt;29&lt;/sup&gt;","plainTextFormattedCitation":"29","previouslyFormattedCitation":"&lt;sup&gt;29&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29</w:t>
            </w:r>
            <w:r w:rsidRPr="00904FBC">
              <w:rPr>
                <w:rFonts w:eastAsia="Times"/>
                <w:sz w:val="16"/>
                <w:szCs w:val="16"/>
              </w:rPr>
              <w:fldChar w:fldCharType="end"/>
            </w:r>
          </w:p>
        </w:tc>
        <w:tc>
          <w:tcPr>
            <w:tcW w:w="1301" w:type="dxa"/>
            <w:vAlign w:val="center"/>
          </w:tcPr>
          <w:p w:rsidR="00B1258F" w:rsidRPr="00904FBC" w:rsidRDefault="00B1258F" w:rsidP="00082AA5">
            <w:pPr>
              <w:jc w:val="center"/>
              <w:rPr>
                <w:rFonts w:eastAsia="Times"/>
                <w:sz w:val="16"/>
                <w:szCs w:val="16"/>
              </w:rPr>
            </w:pPr>
            <w:r w:rsidRPr="00904FBC">
              <w:rPr>
                <w:sz w:val="16"/>
                <w:szCs w:val="16"/>
              </w:rPr>
              <w:t>15</w:t>
            </w:r>
          </w:p>
        </w:tc>
        <w:tc>
          <w:tcPr>
            <w:tcW w:w="1470" w:type="dxa"/>
            <w:vAlign w:val="center"/>
          </w:tcPr>
          <w:p w:rsidR="00B1258F" w:rsidRPr="00904FBC" w:rsidRDefault="00B1258F" w:rsidP="00082AA5">
            <w:pPr>
              <w:jc w:val="center"/>
              <w:rPr>
                <w:rFonts w:eastAsia="Times"/>
                <w:sz w:val="16"/>
                <w:szCs w:val="16"/>
              </w:rPr>
            </w:pPr>
            <w:r w:rsidRPr="00904FBC">
              <w:rPr>
                <w:sz w:val="16"/>
                <w:szCs w:val="16"/>
              </w:rPr>
              <w:t>60</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33.3%</w:t>
            </w:r>
          </w:p>
        </w:tc>
        <w:tc>
          <w:tcPr>
            <w:tcW w:w="1532" w:type="dxa"/>
            <w:vAlign w:val="center"/>
          </w:tcPr>
          <w:p w:rsidR="00B1258F" w:rsidRPr="00904FBC" w:rsidRDefault="00B1258F" w:rsidP="00082AA5">
            <w:pPr>
              <w:jc w:val="center"/>
              <w:rPr>
                <w:rFonts w:eastAsia="Times"/>
                <w:sz w:val="16"/>
                <w:szCs w:val="16"/>
              </w:rPr>
            </w:pPr>
            <w:r w:rsidRPr="00904FBC">
              <w:rPr>
                <w:rFonts w:eastAsia="Times"/>
                <w:sz w:val="16"/>
                <w:szCs w:val="16"/>
              </w:rPr>
              <w:t>11.7%</w:t>
            </w:r>
          </w:p>
        </w:tc>
        <w:tc>
          <w:tcPr>
            <w:tcW w:w="1694" w:type="dxa"/>
            <w:vAlign w:val="center"/>
          </w:tcPr>
          <w:p w:rsidR="00B1258F" w:rsidRPr="00904FBC" w:rsidRDefault="00B1258F" w:rsidP="00082AA5">
            <w:pPr>
              <w:jc w:val="center"/>
              <w:rPr>
                <w:rFonts w:eastAsia="Times"/>
                <w:sz w:val="16"/>
                <w:szCs w:val="16"/>
              </w:rPr>
            </w:pPr>
            <w:r w:rsidRPr="00904FBC">
              <w:rPr>
                <w:rFonts w:eastAsia="Times"/>
                <w:sz w:val="16"/>
                <w:szCs w:val="16"/>
              </w:rPr>
              <w:t>21.7%</w:t>
            </w:r>
          </w:p>
        </w:tc>
      </w:tr>
      <w:tr w:rsidR="00B1258F" w:rsidRPr="00904FBC" w:rsidTr="00082AA5">
        <w:trPr>
          <w:trHeight w:val="292"/>
        </w:trPr>
        <w:tc>
          <w:tcPr>
            <w:tcW w:w="2422" w:type="dxa"/>
            <w:vAlign w:val="center"/>
          </w:tcPr>
          <w:p w:rsidR="00B1258F" w:rsidRPr="00904FBC" w:rsidRDefault="00B1258F" w:rsidP="00082AA5">
            <w:pPr>
              <w:rPr>
                <w:rFonts w:eastAsia="Times"/>
                <w:sz w:val="16"/>
                <w:szCs w:val="16"/>
              </w:rPr>
            </w:pPr>
            <w:r w:rsidRPr="00904FBC">
              <w:rPr>
                <w:rFonts w:eastAsia="Times"/>
                <w:sz w:val="16"/>
                <w:szCs w:val="16"/>
              </w:rPr>
              <w:t>Mouloudi et al. 2010</w:t>
            </w:r>
            <w:r w:rsidRPr="00904FBC">
              <w:rPr>
                <w:rFonts w:eastAsia="Times"/>
                <w:sz w:val="16"/>
                <w:szCs w:val="16"/>
              </w:rPr>
              <w:fldChar w:fldCharType="begin" w:fldLock="1"/>
            </w:r>
            <w:r w:rsidRPr="00904FBC">
              <w:rPr>
                <w:rFonts w:eastAsia="Times"/>
                <w:sz w:val="16"/>
                <w:szCs w:val="16"/>
              </w:rPr>
              <w:instrText>ADDIN CSL_CITATION {"citationItems":[{"id":"ITEM-1","itemData":{"DOI":"10.1086/657135","ISBN":"0899-823X","ISSN":"0899-823X","PMID":"20973725","abstract":"OBJECTIVE: To determine risk factors for bloodstream infections (BSIs) caused by Klebsiella pneumoniae producing metallo-β-lactamases (MBLs) or K. pneumoniae carbapenemases (KPCs), as well as risk factors for mortality associated with carbapenem-resistant K. pneumoniae, among intensive care unit (ICU) patients.\\n\\nMETHODS: Two case-control studies were conducted in a patient cohort with K. pneumoniae BSIs in an 8-bed ICU in a Greek hospital from January 1, 2007, through December 31, 2008. In study 1, patients with K. pneumoniae BSIs were allocated among 3 groups according to isolate susceptibility profile: (1) carbapenem-susceptible insolates (control group), (2) MBL-producing isolates, or (3) KPC-producing isolates. The MBL and KPC groups were compared with the control group to identify risk factors for development of K. pneumoniae BSI. In study 2, patients with K. pneumoniae BSIs who died were compared with survivors to identify risk factors for mortality.\\n\\nRESULTS: Fifty-nine patients had K. pneumoniae BSIs (22 with carbapenem-susceptible isolates, 18 with MBL-producing isolates, and 19 with KPC-producing isolates). All KPC-producing isolates carried the bla(KPC-2) gene, and 17 of 18 MBL-producing isolates carried bla(VIM-1). Acute Physiology and Chronic Health Evaluation II score (odds ratio, 1.13 [95% confidence interval, 1.03-1.25]; [Formula: see text]) was independently associated with KPC-producing K. pneumoniae BSIs. Nine (41%) of 22 control patients, 8 (44%) of 18 MBL group patients, and 13 (68%) of 19 KPC group patients died in the ICU. Nine (41%) of 22 control patients, 10 (56%) of 18 MBL group patients, and 15 (79%) of 19 KPC group patients died in the hospital. Isolation of KPC-producing K. pneumoniae was an independent predictor of ICU death ([Formula: see text]) and in-hospital death ([Formula: see text]) but not infection-attributable death.\\n\\nCONCLUSIONS: BSIs due to KPC-producing K. pneumoniae resulted in significantly increased mortality. The accurate and rapid detection of these pathogens is necessary for therapeutic considerations and for the implementation of infection control measures to contain them.","author":[{"dropping-particle":"","family":"Mouloudi","given":"Eleni","non-dropping-particle":"","parse-names":false,"suffix":""},{"dropping-particle":"","family":"Protonotariou","given":"Euthymia","non-dropping-particle":"","parse-names":false,"suffix":""},{"dropping-particle":"","family":"Zagorianou","given":"Alexia","non-dropping-particle":"","parse-names":false,"suffix":""},{"dropping-particle":"","family":"Iosifidis","given":"Elias","non-dropping-particle":"","parse-names":false,"suffix":""},{"dropping-particle":"","family":"Karapanagiotou","given":"Areti","non-dropping-particle":"","parse-names":false,"suffix":""},{"dropping-particle":"","family":"Giasnetsova","given":"Tatiana","non-dropping-particle":"","parse-names":false,"suffix":""},{"dropping-particle":"","family":"Tsioka","given":"Agoritsa","non-dropping-particle":"","parse-names":false,"suffix":""},{"dropping-particle":"","family":"Roilides","given":"Emmanuel","non-dropping-particle":"","parse-names":false,"suffix":""},{"dropping-particle":"","family":"Sofianou","given":"Danai","non-dropping-particle":"","parse-names":false,"suffix":""},{"dropping-particle":"","family":"Gritsi-Gerogianni","given":"Nikoleta","non-dropping-particle":"","parse-names":false,"suffix":""}],"container-title":"Infection Control &amp; Hospital Epidemiology","id":"ITEM-1","issue":"12","issued":{"date-parts":[["2010"]]},"page":"1250-1256","title":"Bloodstream Infections Caused by Metallo-β-Lactamase/Klebsiella pneumoniae Carbapenemase–Producing K. pneumoniae among Intensive Care Unit Patients in Greece: Risk Factors for Infection and Impact of Type of Resistance on Outcomes","type":"article-journal","volume":"31"},"uris":["http://www.mendeley.com/documents/?uuid=4717ca68-dfc0-4554-a124-bff2af09d858"]}],"mendeley":{"formattedCitation":"&lt;sup&gt;33&lt;/sup&gt;","plainTextFormattedCitation":"33","previouslyFormattedCitation":"&lt;sup&gt;33&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33</w:t>
            </w:r>
            <w:r w:rsidRPr="00904FBC">
              <w:rPr>
                <w:rFonts w:eastAsia="Times"/>
                <w:sz w:val="16"/>
                <w:szCs w:val="16"/>
              </w:rPr>
              <w:fldChar w:fldCharType="end"/>
            </w:r>
          </w:p>
        </w:tc>
        <w:tc>
          <w:tcPr>
            <w:tcW w:w="1301" w:type="dxa"/>
            <w:vAlign w:val="center"/>
          </w:tcPr>
          <w:p w:rsidR="00B1258F" w:rsidRPr="00904FBC" w:rsidRDefault="00B1258F" w:rsidP="00082AA5">
            <w:pPr>
              <w:jc w:val="center"/>
              <w:rPr>
                <w:rFonts w:eastAsia="Times"/>
                <w:sz w:val="16"/>
                <w:szCs w:val="16"/>
              </w:rPr>
            </w:pPr>
            <w:r w:rsidRPr="00904FBC">
              <w:rPr>
                <w:sz w:val="16"/>
                <w:szCs w:val="16"/>
              </w:rPr>
              <w:t>37</w:t>
            </w:r>
          </w:p>
        </w:tc>
        <w:tc>
          <w:tcPr>
            <w:tcW w:w="1470" w:type="dxa"/>
            <w:vAlign w:val="center"/>
          </w:tcPr>
          <w:p w:rsidR="00B1258F" w:rsidRPr="00904FBC" w:rsidRDefault="00B1258F" w:rsidP="00082AA5">
            <w:pPr>
              <w:jc w:val="center"/>
              <w:rPr>
                <w:rFonts w:eastAsia="Times"/>
                <w:sz w:val="16"/>
                <w:szCs w:val="16"/>
              </w:rPr>
            </w:pPr>
            <w:r w:rsidRPr="00904FBC">
              <w:rPr>
                <w:sz w:val="16"/>
                <w:szCs w:val="16"/>
              </w:rPr>
              <w:t>22</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67.6%</w:t>
            </w:r>
          </w:p>
        </w:tc>
        <w:tc>
          <w:tcPr>
            <w:tcW w:w="1532" w:type="dxa"/>
            <w:vAlign w:val="center"/>
          </w:tcPr>
          <w:p w:rsidR="00B1258F" w:rsidRPr="00904FBC" w:rsidRDefault="00B1258F" w:rsidP="00082AA5">
            <w:pPr>
              <w:jc w:val="center"/>
              <w:rPr>
                <w:rFonts w:eastAsia="Times"/>
                <w:sz w:val="16"/>
                <w:szCs w:val="16"/>
              </w:rPr>
            </w:pPr>
            <w:r w:rsidRPr="00904FBC">
              <w:rPr>
                <w:rFonts w:eastAsia="Times"/>
                <w:sz w:val="16"/>
                <w:szCs w:val="16"/>
              </w:rPr>
              <w:t>40.9%</w:t>
            </w:r>
          </w:p>
        </w:tc>
        <w:tc>
          <w:tcPr>
            <w:tcW w:w="1694" w:type="dxa"/>
            <w:vAlign w:val="center"/>
          </w:tcPr>
          <w:p w:rsidR="00B1258F" w:rsidRPr="00904FBC" w:rsidRDefault="00B1258F" w:rsidP="00082AA5">
            <w:pPr>
              <w:jc w:val="center"/>
              <w:rPr>
                <w:rFonts w:eastAsia="Times"/>
                <w:sz w:val="16"/>
                <w:szCs w:val="16"/>
              </w:rPr>
            </w:pPr>
            <w:r w:rsidRPr="00904FBC">
              <w:rPr>
                <w:rFonts w:eastAsia="Times"/>
                <w:sz w:val="16"/>
                <w:szCs w:val="16"/>
              </w:rPr>
              <w:t>26.7%</w:t>
            </w:r>
          </w:p>
        </w:tc>
      </w:tr>
      <w:tr w:rsidR="00B1258F" w:rsidRPr="00904FBC" w:rsidTr="00082AA5">
        <w:trPr>
          <w:trHeight w:val="135"/>
        </w:trPr>
        <w:tc>
          <w:tcPr>
            <w:tcW w:w="2422" w:type="dxa"/>
            <w:vAlign w:val="center"/>
          </w:tcPr>
          <w:p w:rsidR="00B1258F" w:rsidRPr="00904FBC" w:rsidRDefault="00B1258F" w:rsidP="00082AA5">
            <w:pPr>
              <w:rPr>
                <w:rFonts w:eastAsia="Times"/>
                <w:sz w:val="16"/>
                <w:szCs w:val="16"/>
              </w:rPr>
            </w:pPr>
            <w:r w:rsidRPr="00904FBC">
              <w:rPr>
                <w:rFonts w:eastAsia="Times"/>
                <w:sz w:val="16"/>
                <w:szCs w:val="16"/>
              </w:rPr>
              <w:t>Shilo et al. 2013</w:t>
            </w:r>
            <w:r w:rsidRPr="00904FBC">
              <w:rPr>
                <w:rFonts w:eastAsia="Times"/>
                <w:sz w:val="16"/>
                <w:szCs w:val="16"/>
              </w:rPr>
              <w:fldChar w:fldCharType="begin" w:fldLock="1"/>
            </w:r>
            <w:r w:rsidRPr="00904FBC">
              <w:rPr>
                <w:rFonts w:eastAsia="Times"/>
                <w:sz w:val="16"/>
                <w:szCs w:val="16"/>
              </w:rPr>
              <w:instrText>ADDIN CSL_CITATION {"citationItems":[{"id":"ITEM-1","itemData":{"DOI":"10.1007/s15010-012-0380-0","ISBN":"1439-0973 (Electronic)\\r0300-8126 (Linking)","ISSN":"03008126","PMID":"23271210","abstract":"BACKGROUND: The objective of this study was to evaluate the mortality of and risk factors for bacteriuria due to carbapenem-resistant Klebsiella pneumoniae (CRKp) versus carbapenem-susceptible K. pneumoniae (CSKp) producing extended spectrum β lactamase (ESBL).\\n\\nMETHODS: This was a retrospective case-control study in which 135 case-patients with bacteriuria due to CRKp were compared with 127 control patients with CSKp producing ESBL. In a first step, multivariate Cox regression and Kaplan-Meier survival analysis models were used to determine the difference in mortality between the two groups and risk factors for mortality. In a second step, a univariate analysis was used to identify risk factors for CRKp colonization.\\n\\nRESULTS: There were no significant demographic or clinical differences between the groups. In-hospital mortality in the study and control groups was 29 and 25 %, respectively (non-significant difference). Multivariate analysis revealed that the most important risk factor for mortality in both groups was being bed ridden [hazard ratio 2.2, 95 % confidence interval (CI) 1.23-3.93; P = 0.008]. Patients with CRKp bacteriuria had a longer hospitalization time with a mean ± standard deviation of 28 ± 33 days compared to 22 ± 28 days in the control group (P &lt; 0.05). Several univariate risk factors for acquiring CRKp bacteriuria were identified: antibiotic use [odds ratio (OR) 1.93, 95 % CI 1.18-3.17, p = 0.008], especially colistin (OR 2.04, 95 % CI 1.04-4.02; P = 0.036), presence of a urinary catheter (OR 2.09, 95 % CI 1.2-3.63; P = 0.008), surgery (OR 3.94, 95 % CI 1.85-8.37; P = 0.0002), invasive procedures (OR 3.06, 95 % CI 1.61-5.8; P = 0.0004), and intensive care unit admission (OR 2.49, 95 % CI 1.18-5.37; P = 0.015).\\n\\nCONCLUSION: Bacteriuria caused by CRKp as compared that caused by CSKp was not found to be a risk factor for death.","author":[{"dropping-particle":"","family":"Shilo","given":"S.","non-dropping-particle":"","parse-names":false,"suffix":""},{"dropping-particle":"V.","family":"Assous","given":"M.","non-dropping-particle":"","parse-names":false,"suffix":""},{"dropping-particle":"","family":"Lachish","given":"T.","non-dropping-particle":"","parse-names":false,"suffix":""},{"dropping-particle":"","family":"Kopuit","given":"P.","non-dropping-particle":"","parse-names":false,"suffix":""},{"dropping-particle":"","family":"Bdolah-Abram","given":"T.","non-dropping-particle":"","parse-names":false,"suffix":""},{"dropping-particle":"","family":"Yinnon","given":"A. M.","non-dropping-particle":"","parse-names":false,"suffix":""},{"dropping-particle":"","family":"Wiener-Well","given":"Y.","non-dropping-particle":"","parse-names":false,"suffix":""}],"container-title":"Infection","id":"ITEM-1","issue":"2","issued":{"date-parts":[["2013"]]},"page":"503-509","title":"Risk factors for bacteriuria with carbapenem-resistant Klebsiella pneumoniae and its impact on mortality: A case-control study","type":"article-journal","volume":"41"},"uris":["http://www.mendeley.com/documents/?uuid=4f6d373c-545a-4c2b-a037-3522c366280a"]}],"mendeley":{"formattedCitation":"&lt;sup&gt;24&lt;/sup&gt;","plainTextFormattedCitation":"24","previouslyFormattedCitation":"&lt;sup&gt;24&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24</w:t>
            </w:r>
            <w:r w:rsidRPr="00904FBC">
              <w:rPr>
                <w:rFonts w:eastAsia="Times"/>
                <w:sz w:val="16"/>
                <w:szCs w:val="16"/>
              </w:rPr>
              <w:fldChar w:fldCharType="end"/>
            </w:r>
          </w:p>
        </w:tc>
        <w:tc>
          <w:tcPr>
            <w:tcW w:w="1301" w:type="dxa"/>
            <w:vAlign w:val="center"/>
          </w:tcPr>
          <w:p w:rsidR="00B1258F" w:rsidRPr="00904FBC" w:rsidRDefault="00B1258F" w:rsidP="00082AA5">
            <w:pPr>
              <w:jc w:val="center"/>
              <w:rPr>
                <w:rFonts w:eastAsia="Times"/>
                <w:sz w:val="16"/>
                <w:szCs w:val="16"/>
              </w:rPr>
            </w:pPr>
            <w:r w:rsidRPr="00904FBC">
              <w:rPr>
                <w:sz w:val="16"/>
                <w:szCs w:val="16"/>
              </w:rPr>
              <w:t>135</w:t>
            </w:r>
          </w:p>
        </w:tc>
        <w:tc>
          <w:tcPr>
            <w:tcW w:w="1470" w:type="dxa"/>
            <w:vAlign w:val="center"/>
          </w:tcPr>
          <w:p w:rsidR="00B1258F" w:rsidRPr="00904FBC" w:rsidRDefault="00B1258F" w:rsidP="00082AA5">
            <w:pPr>
              <w:jc w:val="center"/>
              <w:rPr>
                <w:rFonts w:eastAsia="Times"/>
                <w:sz w:val="16"/>
                <w:szCs w:val="16"/>
              </w:rPr>
            </w:pPr>
            <w:r w:rsidRPr="00904FBC">
              <w:rPr>
                <w:sz w:val="16"/>
                <w:szCs w:val="16"/>
              </w:rPr>
              <w:t>127</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28.9%</w:t>
            </w:r>
          </w:p>
        </w:tc>
        <w:tc>
          <w:tcPr>
            <w:tcW w:w="1532" w:type="dxa"/>
            <w:vAlign w:val="center"/>
          </w:tcPr>
          <w:p w:rsidR="00B1258F" w:rsidRPr="00904FBC" w:rsidRDefault="00B1258F" w:rsidP="00082AA5">
            <w:pPr>
              <w:jc w:val="center"/>
              <w:rPr>
                <w:rFonts w:eastAsia="Times"/>
                <w:sz w:val="16"/>
                <w:szCs w:val="16"/>
              </w:rPr>
            </w:pPr>
            <w:r w:rsidRPr="00904FBC">
              <w:rPr>
                <w:rFonts w:eastAsia="Times"/>
                <w:sz w:val="16"/>
                <w:szCs w:val="16"/>
              </w:rPr>
              <w:t>25.2%</w:t>
            </w:r>
          </w:p>
        </w:tc>
        <w:tc>
          <w:tcPr>
            <w:tcW w:w="1694" w:type="dxa"/>
            <w:vAlign w:val="center"/>
          </w:tcPr>
          <w:p w:rsidR="00B1258F" w:rsidRPr="00904FBC" w:rsidRDefault="00B1258F" w:rsidP="00082AA5">
            <w:pPr>
              <w:jc w:val="center"/>
              <w:rPr>
                <w:rFonts w:eastAsia="Times"/>
                <w:sz w:val="16"/>
                <w:szCs w:val="16"/>
              </w:rPr>
            </w:pPr>
            <w:r w:rsidRPr="00904FBC">
              <w:rPr>
                <w:rFonts w:eastAsia="Times"/>
                <w:sz w:val="16"/>
                <w:szCs w:val="16"/>
              </w:rPr>
              <w:t>3.7%</w:t>
            </w:r>
          </w:p>
        </w:tc>
      </w:tr>
      <w:tr w:rsidR="00B1258F" w:rsidRPr="00904FBC" w:rsidTr="00082AA5">
        <w:trPr>
          <w:trHeight w:val="292"/>
        </w:trPr>
        <w:tc>
          <w:tcPr>
            <w:tcW w:w="2422" w:type="dxa"/>
            <w:vAlign w:val="center"/>
          </w:tcPr>
          <w:p w:rsidR="00B1258F" w:rsidRPr="00904FBC" w:rsidRDefault="00B1258F" w:rsidP="00082AA5">
            <w:pPr>
              <w:rPr>
                <w:rFonts w:eastAsia="Times"/>
                <w:sz w:val="16"/>
                <w:szCs w:val="16"/>
              </w:rPr>
            </w:pPr>
            <w:r w:rsidRPr="00904FBC">
              <w:rPr>
                <w:rFonts w:eastAsia="Times"/>
                <w:sz w:val="16"/>
                <w:szCs w:val="16"/>
              </w:rPr>
              <w:t>Tumbarello et al. 2014</w:t>
            </w:r>
            <w:r w:rsidRPr="00904FBC">
              <w:rPr>
                <w:rFonts w:eastAsia="Times"/>
                <w:sz w:val="16"/>
                <w:szCs w:val="16"/>
              </w:rPr>
              <w:fldChar w:fldCharType="begin" w:fldLock="1"/>
            </w:r>
            <w:r w:rsidRPr="00904FBC">
              <w:rPr>
                <w:rFonts w:eastAsia="Times"/>
                <w:sz w:val="16"/>
                <w:szCs w:val="16"/>
              </w:rPr>
              <w:instrText>ADDIN CSL_CITATION {"citationItems":[{"id":"ITEM-1","itemData":{"DOI":"10.1128/AAC.02373-13","ISBN":"1098-6596 (Electronic)\\r0066-4804 (Linking)","ISSN":"10986596","PMID":"24733460","abstract":"The production of Klebsiella pneumoniae (Kp) carbapenemases (KPCs) by Enterobacteriaceae has become a significant problem in recent years.To identify factors that could predict isolation of KPC-Kp in clinical samples from hospitalized patients, we conducted a retrospective, matched (1:2) case-control studies in five large Italian hospitals. The case cohort consisted of adult inpatients whose hospital stay included at least one documented isolation of a KPC-Kp strain from a clinical specimen. For each case enrolled, we randomly selected two matched controls with no KPC-Kp-positive cultures of any type during their hospitalization. Matching involved hospital, ward, and month/year of admission, as well as time at risk for KPC-Kp isolation. A subgroup analysis was also carried out to identify risk factors specifically associated with true KPC-Kp infection.During the study period, KPC-Kp was isolated from clinical samples of 657 patients; 426 of these cases appeared to be true infections. Independent predictors of KPC-Kp isolation were recent admission to ICU, indwelling urinary catheter, central venous catheter (CVC), and/or surgical drain, ≥ 2 recent hospitalizations, hematological cancer, and recent fluoroquinolone and/or carbapenem therapy. Charlson Index ≥3, indwelling CVC, recent surgery, neutropenia, ≥2 recent hospitalizations, and recent fluoroquinolone and/or carbapenem therapy were independent risk factors for KPC-Kp infection. Models developed to predict KPC-Kp isolation and KPC Kp infection displayed good predictive power with the areas under the receiver-operating characteristic curves of 0.82 (95% CI, 0.80-0.84) and 0.82 (95% CI, 0.80-0.85), respectively.This study provides novel information, which might be useful for the clinical management of patients harboring KPC Kp and for controlling the spread of these organisms.","author":[{"dropping-particle":"","family":"Tumbarello","given":"Mario","non-dropping-particle":"","parse-names":false,"suffix":""},{"dropping-particle":"","family":"Trecarichi","given":"Enrico Maria","non-dropping-particle":"","parse-names":false,"suffix":""},{"dropping-particle":"","family":"Tumietto","given":"Fabio","non-dropping-particle":"","parse-names":false,"suffix":""},{"dropping-particle":"Del","family":"Bono","given":"Valerio","non-dropping-particle":"","parse-names":false,"suffix":""},{"dropping-particle":"","family":"Rosa","given":"Francesco Giuseppe","non-dropping-particle":"De","parse-names":false,"suffix":""},{"dropping-particle":"","family":"Bassetti","given":"Matteo","non-dropping-particle":"","parse-names":false,"suffix":""},{"dropping-particle":"","family":"Losito","given":"Angela Raffaella","non-dropping-particle":"","parse-names":false,"suffix":""},{"dropping-particle":"","family":"Tedeschi","given":"Sara","non-dropping-particle":"","parse-names":false,"suffix":""},{"dropping-particle":"","family":"Saffioti","given":"Carolina","non-dropping-particle":"","parse-names":false,"suffix":""},{"dropping-particle":"","family":"Corcione","given":"Silvia","non-dropping-particle":"","parse-names":false,"suffix":""},{"dropping-particle":"","family":"Giannella","given":"Maddalena","non-dropping-particle":"","parse-names":false,"suffix":""},{"dropping-particle":"","family":"Raffaelli","given":"Francesca","non-dropping-particle":"","parse-names":false,"suffix":""},{"dropping-particle":"","family":"Pagani","given":"Nicole","non-dropping-particle":"","parse-names":false,"suffix":""},{"dropping-particle":"","family":"Bartoletti","given":"Michele","non-dropping-particle":"","parse-names":false,"suffix":""},{"dropping-particle":"","family":"Spanu","given":"Teresa","non-dropping-particle":"","parse-names":false,"suffix":""},{"dropping-particle":"","family":"Marchese","given":"Anna","non-dropping-particle":"","parse-names":false,"suffix":""},{"dropping-particle":"","family":"Cauda","given":"Roberto","non-dropping-particle":"","parse-names":false,"suffix":""},{"dropping-particle":"","family":"Viscoli","given":"Claudio","non-dropping-particle":"","parse-names":false,"suffix":""},{"dropping-particle":"","family":"Viale","given":"Pierluigi","non-dropping-particle":"","parse-names":false,"suffix":""}],"container-title":"Antimicrobial Agents and Chemotherapy","id":"ITEM-1","issue":"6","issued":{"date-parts":[["2014"]]},"page":"3514-3520","title":"Predictive models for identification of hospitalized patients harboring KPC-producing klebsiella pneumoniae","type":"article-journal","volume":"58"},"uris":["http://www.mendeley.com/documents/?uuid=c73e2a8a-acb1-4907-bddf-7568ddc4b812"]}],"mendeley":{"formattedCitation":"&lt;sup&gt;27&lt;/sup&gt;","plainTextFormattedCitation":"27","previouslyFormattedCitation":"&lt;sup&gt;27&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27</w:t>
            </w:r>
            <w:r w:rsidRPr="00904FBC">
              <w:rPr>
                <w:rFonts w:eastAsia="Times"/>
                <w:sz w:val="16"/>
                <w:szCs w:val="16"/>
              </w:rPr>
              <w:fldChar w:fldCharType="end"/>
            </w:r>
          </w:p>
        </w:tc>
        <w:tc>
          <w:tcPr>
            <w:tcW w:w="1301" w:type="dxa"/>
            <w:vAlign w:val="center"/>
          </w:tcPr>
          <w:p w:rsidR="00B1258F" w:rsidRPr="00904FBC" w:rsidRDefault="00B1258F" w:rsidP="00082AA5">
            <w:pPr>
              <w:jc w:val="center"/>
              <w:rPr>
                <w:rFonts w:eastAsia="Times"/>
                <w:sz w:val="16"/>
                <w:szCs w:val="16"/>
              </w:rPr>
            </w:pPr>
            <w:r w:rsidRPr="00904FBC">
              <w:rPr>
                <w:sz w:val="16"/>
                <w:szCs w:val="16"/>
              </w:rPr>
              <w:t>426</w:t>
            </w:r>
          </w:p>
        </w:tc>
        <w:tc>
          <w:tcPr>
            <w:tcW w:w="1470" w:type="dxa"/>
            <w:vAlign w:val="center"/>
          </w:tcPr>
          <w:p w:rsidR="00B1258F" w:rsidRPr="00904FBC" w:rsidRDefault="00B1258F" w:rsidP="00082AA5">
            <w:pPr>
              <w:jc w:val="center"/>
              <w:rPr>
                <w:rFonts w:eastAsia="Times"/>
                <w:sz w:val="16"/>
                <w:szCs w:val="16"/>
              </w:rPr>
            </w:pPr>
            <w:r w:rsidRPr="00904FBC">
              <w:rPr>
                <w:sz w:val="16"/>
                <w:szCs w:val="16"/>
              </w:rPr>
              <w:t>231</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38.3%</w:t>
            </w:r>
          </w:p>
        </w:tc>
        <w:tc>
          <w:tcPr>
            <w:tcW w:w="1532" w:type="dxa"/>
            <w:vAlign w:val="center"/>
          </w:tcPr>
          <w:p w:rsidR="00B1258F" w:rsidRPr="00904FBC" w:rsidRDefault="00B1258F" w:rsidP="00082AA5">
            <w:pPr>
              <w:jc w:val="center"/>
              <w:rPr>
                <w:rFonts w:eastAsia="Times"/>
                <w:sz w:val="16"/>
                <w:szCs w:val="16"/>
              </w:rPr>
            </w:pPr>
            <w:r w:rsidRPr="00904FBC">
              <w:rPr>
                <w:rFonts w:eastAsia="Times"/>
                <w:sz w:val="16"/>
                <w:szCs w:val="16"/>
              </w:rPr>
              <w:t>18.6%</w:t>
            </w:r>
          </w:p>
        </w:tc>
        <w:tc>
          <w:tcPr>
            <w:tcW w:w="1694" w:type="dxa"/>
            <w:vAlign w:val="center"/>
          </w:tcPr>
          <w:p w:rsidR="00B1258F" w:rsidRPr="00904FBC" w:rsidRDefault="00B1258F" w:rsidP="00082AA5">
            <w:pPr>
              <w:jc w:val="center"/>
              <w:rPr>
                <w:rFonts w:eastAsia="Times"/>
                <w:sz w:val="16"/>
                <w:szCs w:val="16"/>
              </w:rPr>
            </w:pPr>
            <w:r w:rsidRPr="00904FBC">
              <w:rPr>
                <w:rFonts w:eastAsia="Times"/>
                <w:sz w:val="16"/>
                <w:szCs w:val="16"/>
              </w:rPr>
              <w:t>19.6%</w:t>
            </w:r>
          </w:p>
        </w:tc>
      </w:tr>
      <w:tr w:rsidR="00B1258F" w:rsidRPr="00904FBC" w:rsidTr="00082AA5">
        <w:trPr>
          <w:trHeight w:val="292"/>
        </w:trPr>
        <w:tc>
          <w:tcPr>
            <w:tcW w:w="2422" w:type="dxa"/>
            <w:vAlign w:val="center"/>
          </w:tcPr>
          <w:p w:rsidR="00B1258F" w:rsidRPr="00904FBC" w:rsidRDefault="00B1258F" w:rsidP="00082AA5">
            <w:pPr>
              <w:rPr>
                <w:rFonts w:eastAsia="Times"/>
                <w:sz w:val="16"/>
                <w:szCs w:val="16"/>
              </w:rPr>
            </w:pPr>
            <w:r w:rsidRPr="00904FBC">
              <w:rPr>
                <w:rFonts w:eastAsia="Times"/>
                <w:sz w:val="16"/>
                <w:szCs w:val="16"/>
              </w:rPr>
              <w:t>Falcone et al. 2009</w:t>
            </w:r>
            <w:r w:rsidRPr="00904FBC">
              <w:rPr>
                <w:rFonts w:eastAsia="Times"/>
                <w:sz w:val="16"/>
                <w:szCs w:val="16"/>
              </w:rPr>
              <w:fldChar w:fldCharType="begin" w:fldLock="1"/>
            </w:r>
            <w:r w:rsidRPr="00904FBC">
              <w:rPr>
                <w:rFonts w:eastAsia="Times"/>
                <w:sz w:val="16"/>
                <w:szCs w:val="16"/>
              </w:rPr>
              <w:instrText>ADDIN CSL_CITATION {"citationItems":[{"id":"ITEM-1","itemData":{"DOI":"10.1128/JCM.01193-09","ISSN":"00951137","PMID":"19741074","abstract":"The aim of this study was to ascertain the incidence and clinical significance of metallo-β-lactamases among Enterobacter strains isolated from patients with nosocomial infections. We prospectively collected data on patients with Enterobacter infection during a 13-month period. All of the strains were investigated for antibiotic susceptibility, the presence and expression of metallo-β-lactamases, and clonality. Of 29 infections (11 involving the urinary tract, 7 pneumonias, 3 skin/soft tissue infections, 3 intra-abdominal infections, 3 bacteremias, and 2 other infections), 7 (24%) were caused by Enterobacter cloacae strains harboring a bla VIM-1 gene associated or not with a bla SHV12 gene. Infections caused by VIM-1-producing strains were more frequently associated with a recent prior hospitalization (P = 0.006), cirrhosis (P = 0.03), relapse of infection (P &lt; 0.001), and more prolonged duration of antibiotic therapy (P = 0.01) than were other infections. All of the isolates were susceptible to imipenem and meropenem and had bla VIM-1 preceded by a weak P1 promoter and inactivated P2 promoters. Most VIM-1-producing Enterobacter isolates belonged to a main clone, but four different clones were found. Multiclonal VIM-1-producing E. cloacae infections are difficult to diagnose due to an apparent susceptibility to various beta-lactams, including carbapenems, and are associated with a high relapse rate and a more prolonged duration of antibiotic therapy.","author":[{"dropping-particle":"","family":"Falcone","given":"Marco","non-dropping-particle":"","parse-names":false,"suffix":""},{"dropping-particle":"","family":"Mezzatesta","given":"Maria Lina","non-dropping-particle":"","parse-names":false,"suffix":""},{"dropping-particle":"","family":"Perilli","given":"Mariagrazia","non-dropping-particle":"","parse-names":false,"suffix":""},{"dropping-particle":"","family":"Forcella","given":"Chiara","non-dropping-particle":"","parse-names":false,"suffix":""},{"dropping-particle":"","family":"Giordano","given":"Alessandra","non-dropping-particle":"","parse-names":false,"suffix":""},{"dropping-particle":"","family":"Cafiso","given":"Viviana","non-dropping-particle":"","parse-names":false,"suffix":""},{"dropping-particle":"","family":"Amicosante","given":"Gianfranco","non-dropping-particle":"","parse-names":false,"suffix":""},{"dropping-particle":"","family":"Stefani","given":"Stefania","non-dropping-particle":"","parse-names":false,"suffix":""},{"dropping-particle":"","family":"Venditti","given":"Mario","non-dropping-particle":"","parse-names":false,"suffix":""}],"container-title":"Journal of Clinical Microbiology","id":"ITEM-1","issue":"11","issued":{"date-parts":[["2009"]]},"page":"3514-3519","title":"Infections with VIM-1 metallo-β-lactamase-producing Enterobacter cloacae and their correlation with clinical outcome","type":"article-journal","volume":"47"},"uris":["http://www.mendeley.com/documents/?uuid=41b2cd5e-512b-4cfe-80f9-f945bc986919"]}],"mendeley":{"formattedCitation":"&lt;sup&gt;22&lt;/sup&gt;","plainTextFormattedCitation":"22","previouslyFormattedCitation":"&lt;sup&gt;22&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22</w:t>
            </w:r>
            <w:r w:rsidRPr="00904FBC">
              <w:rPr>
                <w:rFonts w:eastAsia="Times"/>
                <w:sz w:val="16"/>
                <w:szCs w:val="16"/>
              </w:rPr>
              <w:fldChar w:fldCharType="end"/>
            </w:r>
          </w:p>
        </w:tc>
        <w:tc>
          <w:tcPr>
            <w:tcW w:w="1301" w:type="dxa"/>
            <w:vAlign w:val="center"/>
          </w:tcPr>
          <w:p w:rsidR="00B1258F" w:rsidRPr="00904FBC" w:rsidRDefault="00B1258F" w:rsidP="00082AA5">
            <w:pPr>
              <w:jc w:val="center"/>
              <w:rPr>
                <w:rFonts w:eastAsia="Times"/>
                <w:sz w:val="16"/>
                <w:szCs w:val="16"/>
              </w:rPr>
            </w:pPr>
            <w:r w:rsidRPr="00904FBC">
              <w:rPr>
                <w:sz w:val="16"/>
                <w:szCs w:val="16"/>
              </w:rPr>
              <w:t>7</w:t>
            </w:r>
          </w:p>
        </w:tc>
        <w:tc>
          <w:tcPr>
            <w:tcW w:w="1470" w:type="dxa"/>
            <w:vAlign w:val="center"/>
          </w:tcPr>
          <w:p w:rsidR="00B1258F" w:rsidRPr="00904FBC" w:rsidRDefault="00B1258F" w:rsidP="00082AA5">
            <w:pPr>
              <w:jc w:val="center"/>
              <w:rPr>
                <w:rFonts w:eastAsia="Times"/>
                <w:sz w:val="16"/>
                <w:szCs w:val="16"/>
              </w:rPr>
            </w:pPr>
            <w:r w:rsidRPr="00904FBC">
              <w:rPr>
                <w:sz w:val="16"/>
                <w:szCs w:val="16"/>
              </w:rPr>
              <w:t>22</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42.9%</w:t>
            </w:r>
          </w:p>
        </w:tc>
        <w:tc>
          <w:tcPr>
            <w:tcW w:w="1532" w:type="dxa"/>
            <w:vAlign w:val="center"/>
          </w:tcPr>
          <w:p w:rsidR="00B1258F" w:rsidRPr="00904FBC" w:rsidRDefault="00B1258F" w:rsidP="00082AA5">
            <w:pPr>
              <w:jc w:val="center"/>
              <w:rPr>
                <w:rFonts w:eastAsia="Times"/>
                <w:sz w:val="16"/>
                <w:szCs w:val="16"/>
              </w:rPr>
            </w:pPr>
            <w:r w:rsidRPr="00904FBC">
              <w:rPr>
                <w:rFonts w:eastAsia="Times"/>
                <w:sz w:val="16"/>
                <w:szCs w:val="16"/>
              </w:rPr>
              <w:t>27.3%</w:t>
            </w:r>
          </w:p>
        </w:tc>
        <w:tc>
          <w:tcPr>
            <w:tcW w:w="1694" w:type="dxa"/>
            <w:vAlign w:val="center"/>
          </w:tcPr>
          <w:p w:rsidR="00B1258F" w:rsidRPr="00904FBC" w:rsidRDefault="00B1258F" w:rsidP="00082AA5">
            <w:pPr>
              <w:jc w:val="center"/>
              <w:rPr>
                <w:rFonts w:eastAsia="Times"/>
                <w:sz w:val="16"/>
                <w:szCs w:val="16"/>
              </w:rPr>
            </w:pPr>
            <w:r w:rsidRPr="00904FBC">
              <w:rPr>
                <w:rFonts w:eastAsia="Times"/>
                <w:sz w:val="16"/>
                <w:szCs w:val="16"/>
              </w:rPr>
              <w:t>15.6%</w:t>
            </w:r>
          </w:p>
        </w:tc>
      </w:tr>
      <w:tr w:rsidR="00B1258F" w:rsidRPr="00904FBC" w:rsidTr="00082AA5">
        <w:trPr>
          <w:trHeight w:val="292"/>
        </w:trPr>
        <w:tc>
          <w:tcPr>
            <w:tcW w:w="9889" w:type="dxa"/>
            <w:gridSpan w:val="6"/>
            <w:shd w:val="clear" w:color="auto" w:fill="E2EFD9"/>
            <w:vAlign w:val="center"/>
          </w:tcPr>
          <w:p w:rsidR="00B1258F" w:rsidRPr="00904FBC" w:rsidRDefault="00B1258F" w:rsidP="00082AA5">
            <w:pPr>
              <w:jc w:val="center"/>
              <w:rPr>
                <w:rFonts w:eastAsia="Times"/>
                <w:sz w:val="16"/>
                <w:szCs w:val="16"/>
              </w:rPr>
            </w:pPr>
            <w:r w:rsidRPr="00904FBC">
              <w:rPr>
                <w:rFonts w:eastAsia="Times"/>
                <w:sz w:val="16"/>
                <w:szCs w:val="16"/>
              </w:rPr>
              <w:t>Intensive Care Unit</w:t>
            </w:r>
          </w:p>
        </w:tc>
      </w:tr>
      <w:tr w:rsidR="00B1258F" w:rsidRPr="00904FBC" w:rsidTr="00082AA5">
        <w:trPr>
          <w:trHeight w:val="292"/>
        </w:trPr>
        <w:tc>
          <w:tcPr>
            <w:tcW w:w="2422" w:type="dxa"/>
            <w:vAlign w:val="center"/>
          </w:tcPr>
          <w:p w:rsidR="00B1258F" w:rsidRPr="00904FBC" w:rsidRDefault="00B1258F" w:rsidP="00082AA5">
            <w:pPr>
              <w:rPr>
                <w:rFonts w:eastAsia="Times"/>
                <w:sz w:val="16"/>
                <w:szCs w:val="16"/>
              </w:rPr>
            </w:pPr>
            <w:r w:rsidRPr="00904FBC">
              <w:rPr>
                <w:rFonts w:eastAsia="Times"/>
                <w:sz w:val="16"/>
                <w:szCs w:val="16"/>
              </w:rPr>
              <w:t>Papadimitriou-Olivgeris et al. 2013</w:t>
            </w:r>
            <w:r w:rsidRPr="00904FBC">
              <w:rPr>
                <w:rFonts w:eastAsia="Times"/>
                <w:sz w:val="16"/>
                <w:szCs w:val="16"/>
              </w:rPr>
              <w:fldChar w:fldCharType="begin" w:fldLock="1"/>
            </w:r>
            <w:r w:rsidRPr="00904FBC">
              <w:rPr>
                <w:rFonts w:eastAsia="Times"/>
                <w:sz w:val="16"/>
                <w:szCs w:val="16"/>
              </w:rPr>
              <w:instrText>ADDIN CSL_CITATION {"citationItems":[{"id":"ITEM-1","itemData":{"DOI":"10.1016/j.diagmicrobio.2013.06.007","ISBN":"0732-8893","ISSN":"07328893","PMID":"23886789","abstract":"A prospective observational study of 226 intensive care unit (ICU) patients was conducted during a 25-month period. Rectal samples were taken at day 1, 4, and 7 and, afterwards, once weekly. Klebsiella pneumoniae was identified using standard techniques, whereas the presence of blaKPCgene was confirmed by PCR. During ICU stay, 72.6% of the patients were colonized with Klebsiella pneumoniae carbapenemases (KPC)-producing K. pneumoniae (KPC-Kp). Male gender, prior bed occupants, and patients in nearby beds colonized with KPC-Kp, tracheotomy, number of invasive catheters inserted, and number of antibiotics administered were the major risk factors for KPC-Kp colonization. ICU mortality (35.4%) was significantly related to Simplified Acute Physiology II score and respiratory insufficiency upon admission, cortisone administration, aminoglycoside administration, confirmed KPC-Kp infection, and severe sepsis or septic shock. The high prevalence of KPC-Kp enteric carriage in ICU patients and the significant mortality associated with KPC-Kp infection dictate the importance of early identification and isolation of such carriers. © 2013 Elsevier Inc.","author":[{"dropping-particle":"","family":"Papadimitriou-Olivgeris","given":"Matthaios","non-dropping-particle":"","parse-names":false,"suffix":""},{"dropping-particle":"","family":"Marangos","given":"Markos","non-dropping-particle":"","parse-names":false,"suffix":""},{"dropping-particle":"","family":"Fligou","given":"Fotini","non-dropping-particle":"","parse-names":false,"suffix":""},{"dropping-particle":"","family":"Christofidou","given":"Myrto","non-dropping-particle":"","parse-names":false,"suffix":""},{"dropping-particle":"","family":"Sklavou","given":"Christina","non-dropping-particle":"","parse-names":false,"suffix":""},{"dropping-particle":"","family":"Vamvakopoulou","given":"Sophia","non-dropping-particle":"","parse-names":false,"suffix":""},{"dropping-particle":"","family":"Anastassiou","given":"Evangelos D.","non-dropping-particle":"","parse-names":false,"suffix":""},{"dropping-particle":"","family":"Filos","given":"Kriton S.","non-dropping-particle":"","parse-names":false,"suffix":""}],"container-title":"Diagnostic Microbiology and Infectious Disease","id":"ITEM-1","issue":"2","issued":{"date-parts":[["2013"]]},"page":"169-173","title":"KPC-producing Klebsiella pneumoniae enteric colonization acquired during intensive care unit stay: The significance of risk factors for its development and its impact on mortality","type":"article-journal","volume":"77"},"uris":["http://www.mendeley.com/documents/?uuid=d097ffc7-b7c0-4d7e-8738-7ba671157262"]}],"mendeley":{"formattedCitation":"&lt;sup&gt;35&lt;/sup&gt;","plainTextFormattedCitation":"35","previouslyFormattedCitation":"&lt;sup&gt;35&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35</w:t>
            </w:r>
            <w:r w:rsidRPr="00904FBC">
              <w:rPr>
                <w:rFonts w:eastAsia="Times"/>
                <w:sz w:val="16"/>
                <w:szCs w:val="16"/>
              </w:rPr>
              <w:fldChar w:fldCharType="end"/>
            </w:r>
          </w:p>
        </w:tc>
        <w:tc>
          <w:tcPr>
            <w:tcW w:w="1301" w:type="dxa"/>
            <w:vAlign w:val="center"/>
          </w:tcPr>
          <w:p w:rsidR="00B1258F" w:rsidRPr="00904FBC" w:rsidRDefault="00B1258F" w:rsidP="00082AA5">
            <w:pPr>
              <w:jc w:val="center"/>
              <w:rPr>
                <w:rFonts w:eastAsia="Times"/>
                <w:sz w:val="16"/>
                <w:szCs w:val="16"/>
              </w:rPr>
            </w:pPr>
            <w:r w:rsidRPr="00904FBC">
              <w:rPr>
                <w:sz w:val="16"/>
                <w:szCs w:val="16"/>
              </w:rPr>
              <w:t>37</w:t>
            </w:r>
          </w:p>
        </w:tc>
        <w:tc>
          <w:tcPr>
            <w:tcW w:w="1470" w:type="dxa"/>
            <w:vAlign w:val="center"/>
          </w:tcPr>
          <w:p w:rsidR="00B1258F" w:rsidRPr="00904FBC" w:rsidRDefault="00B1258F" w:rsidP="00082AA5">
            <w:pPr>
              <w:jc w:val="center"/>
              <w:rPr>
                <w:rFonts w:eastAsia="Times"/>
                <w:sz w:val="16"/>
                <w:szCs w:val="16"/>
              </w:rPr>
            </w:pPr>
            <w:r w:rsidRPr="00904FBC">
              <w:rPr>
                <w:sz w:val="16"/>
                <w:szCs w:val="16"/>
              </w:rPr>
              <w:t>127</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59.5%</w:t>
            </w:r>
          </w:p>
        </w:tc>
        <w:tc>
          <w:tcPr>
            <w:tcW w:w="1532" w:type="dxa"/>
            <w:vAlign w:val="center"/>
          </w:tcPr>
          <w:p w:rsidR="00B1258F" w:rsidRPr="00904FBC" w:rsidRDefault="00B1258F" w:rsidP="00082AA5">
            <w:pPr>
              <w:jc w:val="center"/>
              <w:rPr>
                <w:rFonts w:eastAsia="Times"/>
                <w:sz w:val="16"/>
                <w:szCs w:val="16"/>
              </w:rPr>
            </w:pPr>
            <w:r w:rsidRPr="00904FBC">
              <w:rPr>
                <w:rFonts w:eastAsia="Times"/>
                <w:sz w:val="16"/>
                <w:szCs w:val="16"/>
              </w:rPr>
              <w:t>32.3%</w:t>
            </w:r>
          </w:p>
        </w:tc>
        <w:tc>
          <w:tcPr>
            <w:tcW w:w="1694" w:type="dxa"/>
            <w:vAlign w:val="center"/>
          </w:tcPr>
          <w:p w:rsidR="00B1258F" w:rsidRPr="00904FBC" w:rsidRDefault="00B1258F" w:rsidP="00082AA5">
            <w:pPr>
              <w:jc w:val="center"/>
              <w:rPr>
                <w:rFonts w:eastAsia="Times"/>
                <w:sz w:val="16"/>
                <w:szCs w:val="16"/>
              </w:rPr>
            </w:pPr>
            <w:r w:rsidRPr="00904FBC">
              <w:rPr>
                <w:rFonts w:eastAsia="Times"/>
                <w:sz w:val="16"/>
                <w:szCs w:val="16"/>
              </w:rPr>
              <w:t>27.2%</w:t>
            </w:r>
          </w:p>
        </w:tc>
      </w:tr>
      <w:tr w:rsidR="00B1258F" w:rsidRPr="00904FBC" w:rsidTr="00082AA5">
        <w:trPr>
          <w:trHeight w:val="292"/>
        </w:trPr>
        <w:tc>
          <w:tcPr>
            <w:tcW w:w="2422" w:type="dxa"/>
            <w:vAlign w:val="center"/>
          </w:tcPr>
          <w:p w:rsidR="00B1258F" w:rsidRPr="00904FBC" w:rsidRDefault="00B1258F" w:rsidP="00082AA5">
            <w:pPr>
              <w:rPr>
                <w:rFonts w:eastAsia="Times"/>
                <w:sz w:val="16"/>
                <w:szCs w:val="16"/>
              </w:rPr>
            </w:pPr>
            <w:r w:rsidRPr="00904FBC">
              <w:rPr>
                <w:rFonts w:eastAsia="Times"/>
                <w:sz w:val="16"/>
                <w:szCs w:val="16"/>
              </w:rPr>
              <w:t>Mouloudi et al. 2010</w:t>
            </w:r>
            <w:r w:rsidRPr="00904FBC">
              <w:rPr>
                <w:rFonts w:eastAsia="Times"/>
                <w:sz w:val="16"/>
                <w:szCs w:val="16"/>
              </w:rPr>
              <w:fldChar w:fldCharType="begin" w:fldLock="1"/>
            </w:r>
            <w:r w:rsidRPr="00904FBC">
              <w:rPr>
                <w:rFonts w:eastAsia="Times"/>
                <w:sz w:val="16"/>
                <w:szCs w:val="16"/>
              </w:rPr>
              <w:instrText>ADDIN CSL_CITATION {"citationItems":[{"id":"ITEM-1","itemData":{"DOI":"10.1086/657135","ISBN":"0899-823X","ISSN":"0899-823X","PMID":"20973725","abstract":"OBJECTIVE: To determine risk factors for bloodstream infections (BSIs) caused by Klebsiella pneumoniae producing metallo-β-lactamases (MBLs) or K. pneumoniae carbapenemases (KPCs), as well as risk factors for mortality associated with carbapenem-resistant K. pneumoniae, among intensive care unit (ICU) patients.\\n\\nMETHODS: Two case-control studies were conducted in a patient cohort with K. pneumoniae BSIs in an 8-bed ICU in a Greek hospital from January 1, 2007, through December 31, 2008. In study 1, patients with K. pneumoniae BSIs were allocated among 3 groups according to isolate susceptibility profile: (1) carbapenem-susceptible insolates (control group), (2) MBL-producing isolates, or (3) KPC-producing isolates. The MBL and KPC groups were compared with the control group to identify risk factors for development of K. pneumoniae BSI. In study 2, patients with K. pneumoniae BSIs who died were compared with survivors to identify risk factors for mortality.\\n\\nRESULTS: Fifty-nine patients had K. pneumoniae BSIs (22 with carbapenem-susceptible isolates, 18 with MBL-producing isolates, and 19 with KPC-producing isolates). All KPC-producing isolates carried the bla(KPC-2) gene, and 17 of 18 MBL-producing isolates carried bla(VIM-1). Acute Physiology and Chronic Health Evaluation II score (odds ratio, 1.13 [95% confidence interval, 1.03-1.25]; [Formula: see text]) was independently associated with KPC-producing K. pneumoniae BSIs. Nine (41%) of 22 control patients, 8 (44%) of 18 MBL group patients, and 13 (68%) of 19 KPC group patients died in the ICU. Nine (41%) of 22 control patients, 10 (56%) of 18 MBL group patients, and 15 (79%) of 19 KPC group patients died in the hospital. Isolation of KPC-producing K. pneumoniae was an independent predictor of ICU death ([Formula: see text]) and in-hospital death ([Formula: see text]) but not infection-attributable death.\\n\\nCONCLUSIONS: BSIs due to KPC-producing K. pneumoniae resulted in significantly increased mortality. The accurate and rapid detection of these pathogens is necessary for therapeutic considerations and for the implementation of infection control measures to contain them.","author":[{"dropping-particle":"","family":"Mouloudi","given":"Eleni","non-dropping-particle":"","parse-names":false,"suffix":""},{"dropping-particle":"","family":"Protonotariou","given":"Euthymia","non-dropping-particle":"","parse-names":false,"suffix":""},{"dropping-particle":"","family":"Zagorianou","given":"Alexia","non-dropping-particle":"","parse-names":false,"suffix":""},{"dropping-particle":"","family":"Iosifidis","given":"Elias","non-dropping-particle":"","parse-names":false,"suffix":""},{"dropping-particle":"","family":"Karapanagiotou","given":"Areti","non-dropping-particle":"","parse-names":false,"suffix":""},{"dropping-particle":"","family":"Giasnetsova","given":"Tatiana","non-dropping-particle":"","parse-names":false,"suffix":""},{"dropping-particle":"","family":"Tsioka","given":"Agoritsa","non-dropping-particle":"","parse-names":false,"suffix":""},{"dropping-particle":"","family":"Roilides","given":"Emmanuel","non-dropping-particle":"","parse-names":false,"suffix":""},{"dropping-particle":"","family":"Sofianou","given":"Danai","non-dropping-particle":"","parse-names":false,"suffix":""},{"dropping-particle":"","family":"Gritsi-Gerogianni","given":"Nikoleta","non-dropping-particle":"","parse-names":false,"suffix":""}],"container-title":"Infection Control &amp; Hospital Epidemiology","id":"ITEM-1","issue":"12","issued":{"date-parts":[["2010"]]},"page":"1250-1256","title":"Bloodstream Infections Caused by Metallo-β-Lactamase/Klebsiella pneumoniae Carbapenemase–Producing K. pneumoniae among Intensive Care Unit Patients in Greece: Risk Factors for Infection and Impact of Type of Resistance on Outcomes","type":"article-journal","volume":"31"},"uris":["http://www.mendeley.com/documents/?uuid=4717ca68-dfc0-4554-a124-bff2af09d858"]}],"mendeley":{"formattedCitation":"&lt;sup&gt;33&lt;/sup&gt;","plainTextFormattedCitation":"33","previouslyFormattedCitation":"&lt;sup&gt;33&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33</w:t>
            </w:r>
            <w:r w:rsidRPr="00904FBC">
              <w:rPr>
                <w:rFonts w:eastAsia="Times"/>
                <w:sz w:val="16"/>
                <w:szCs w:val="16"/>
              </w:rPr>
              <w:fldChar w:fldCharType="end"/>
            </w:r>
          </w:p>
        </w:tc>
        <w:tc>
          <w:tcPr>
            <w:tcW w:w="1301" w:type="dxa"/>
            <w:vAlign w:val="center"/>
          </w:tcPr>
          <w:p w:rsidR="00B1258F" w:rsidRPr="00904FBC" w:rsidRDefault="00B1258F" w:rsidP="00082AA5">
            <w:pPr>
              <w:jc w:val="center"/>
              <w:rPr>
                <w:rFonts w:eastAsia="Times"/>
                <w:sz w:val="16"/>
                <w:szCs w:val="16"/>
              </w:rPr>
            </w:pPr>
            <w:r w:rsidRPr="00904FBC">
              <w:rPr>
                <w:sz w:val="16"/>
                <w:szCs w:val="16"/>
              </w:rPr>
              <w:t>37</w:t>
            </w:r>
          </w:p>
        </w:tc>
        <w:tc>
          <w:tcPr>
            <w:tcW w:w="1470" w:type="dxa"/>
            <w:vAlign w:val="center"/>
          </w:tcPr>
          <w:p w:rsidR="00B1258F" w:rsidRPr="00904FBC" w:rsidRDefault="00B1258F" w:rsidP="00082AA5">
            <w:pPr>
              <w:jc w:val="center"/>
              <w:rPr>
                <w:rFonts w:eastAsia="Times"/>
                <w:sz w:val="16"/>
                <w:szCs w:val="16"/>
              </w:rPr>
            </w:pPr>
            <w:r w:rsidRPr="00904FBC">
              <w:rPr>
                <w:sz w:val="16"/>
                <w:szCs w:val="16"/>
              </w:rPr>
              <w:t>22</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56.8%</w:t>
            </w:r>
          </w:p>
        </w:tc>
        <w:tc>
          <w:tcPr>
            <w:tcW w:w="1532" w:type="dxa"/>
            <w:vAlign w:val="center"/>
          </w:tcPr>
          <w:p w:rsidR="00B1258F" w:rsidRPr="00904FBC" w:rsidRDefault="00B1258F" w:rsidP="00082AA5">
            <w:pPr>
              <w:jc w:val="center"/>
              <w:rPr>
                <w:rFonts w:eastAsia="Times"/>
                <w:sz w:val="16"/>
                <w:szCs w:val="16"/>
              </w:rPr>
            </w:pPr>
            <w:r w:rsidRPr="00904FBC">
              <w:rPr>
                <w:rFonts w:eastAsia="Times"/>
                <w:sz w:val="16"/>
                <w:szCs w:val="16"/>
              </w:rPr>
              <w:t>40.9%</w:t>
            </w:r>
          </w:p>
        </w:tc>
        <w:tc>
          <w:tcPr>
            <w:tcW w:w="1694" w:type="dxa"/>
            <w:vAlign w:val="center"/>
          </w:tcPr>
          <w:p w:rsidR="00B1258F" w:rsidRPr="00904FBC" w:rsidRDefault="00B1258F" w:rsidP="00082AA5">
            <w:pPr>
              <w:jc w:val="center"/>
              <w:rPr>
                <w:rFonts w:eastAsia="Times"/>
                <w:sz w:val="16"/>
                <w:szCs w:val="16"/>
              </w:rPr>
            </w:pPr>
            <w:r w:rsidRPr="00904FBC">
              <w:rPr>
                <w:rFonts w:eastAsia="Times"/>
                <w:sz w:val="16"/>
                <w:szCs w:val="16"/>
              </w:rPr>
              <w:t>15.8%</w:t>
            </w:r>
          </w:p>
        </w:tc>
      </w:tr>
      <w:tr w:rsidR="00B1258F" w:rsidRPr="00904FBC" w:rsidTr="00082AA5">
        <w:trPr>
          <w:trHeight w:val="292"/>
        </w:trPr>
        <w:tc>
          <w:tcPr>
            <w:tcW w:w="2422" w:type="dxa"/>
            <w:vAlign w:val="center"/>
          </w:tcPr>
          <w:p w:rsidR="00B1258F" w:rsidRPr="00904FBC" w:rsidRDefault="00B1258F" w:rsidP="00082AA5">
            <w:pPr>
              <w:rPr>
                <w:rFonts w:eastAsia="Times"/>
                <w:sz w:val="16"/>
                <w:szCs w:val="16"/>
              </w:rPr>
            </w:pPr>
            <w:r w:rsidRPr="00904FBC">
              <w:rPr>
                <w:rFonts w:eastAsia="Times"/>
                <w:sz w:val="16"/>
                <w:szCs w:val="16"/>
              </w:rPr>
              <w:t>Mouloudi et al. 2014</w:t>
            </w:r>
            <w:r w:rsidRPr="00904FBC">
              <w:rPr>
                <w:rFonts w:eastAsia="Times"/>
                <w:sz w:val="16"/>
                <w:szCs w:val="16"/>
              </w:rPr>
              <w:fldChar w:fldCharType="begin" w:fldLock="1"/>
            </w:r>
            <w:r w:rsidRPr="00904FBC">
              <w:rPr>
                <w:rFonts w:eastAsia="Times"/>
                <w:sz w:val="16"/>
                <w:szCs w:val="16"/>
              </w:rPr>
              <w:instrText>ADDIN CSL_CITATION {"citationItems":[{"id":"ITEM-1","itemData":{"DOI":"10.1016/j.transproceed.2014.09.159","ISBN":"1873-2623; 0041-1345","ISSN":"18732623","PMID":"25420863","abstract":"Background: Carbapenem-resistant Klebsiella pneumoniae (CRKP) has emerged as an important cause of bloodstream infections in intensive care units (ICUs). The aim of this study was to determine risk factors for bloodstream infections caused by CRKP as well as risk factors for CRKP-associated mortality among ICU patients after orthotopic liver transplantation (LT). Methods: The study cohort of this observational study comprised 17 ICU patients after LT with CRKP bloodstream infections. The data from these patients were matched with 34 ICU patients (1:2) after LT without CRKP infections. The 2 groups were compared to identify risk factors for development of CRKP infection and risk factors for mortality. Results: Seventeen CRKP bloodstream infections occurred in ICU patients after LT from January 1, 2008, to December 31, 2011. In univariate analysis, primary liver disease and especially hepatitis C virus infection or hepatocellular cancer were significant factors for development of CRKP. Acute Physiology and Chronic Health Evaluation (APACHE II) score and Sequential Organ Failure Assessment (SOFA) score as well as CRKP bloodstream infection were predictors for ICU death (P &lt;.05) in univariate analysis. Conclusions: CRKP bloodstream infections affect immunocompromised post-transplantation patients more. Bloodstream infections with CRKP along with APACHE and SOFA scores were predictors of death in ICU patients after LT.","author":[{"dropping-particle":"","family":"Mouloudi","given":"E.","non-dropping-particle":"","parse-names":false,"suffix":""},{"dropping-particle":"","family":"Massa","given":"E.","non-dropping-particle":"","parse-names":false,"suffix":""},{"dropping-particle":"","family":"Papadopoulos","given":"S.","non-dropping-particle":"","parse-names":false,"suffix":""},{"dropping-particle":"","family":"Iosifidis","given":"E.","non-dropping-particle":"","parse-names":false,"suffix":""},{"dropping-particle":"","family":"Roilides","given":"I.","non-dropping-particle":"","parse-names":false,"suffix":""},{"dropping-particle":"","family":"Theodoridou","given":"T.","non-dropping-particle":"","parse-names":false,"suffix":""},{"dropping-particle":"","family":"Piperidou","given":"M.","non-dropping-particle":"","parse-names":false,"suffix":""},{"dropping-particle":"","family":"Orphanou","given":"A.","non-dropping-particle":"","parse-names":false,"suffix":""},{"dropping-particle":"","family":"Passakiotou","given":"M.","non-dropping-particle":"","parse-names":false,"suffix":""},{"dropping-particle":"","family":"Imvrios","given":"G.","non-dropping-particle":"","parse-names":false,"suffix":""},{"dropping-particle":"","family":"Fouzas","given":"I.","non-dropping-particle":"","parse-names":false,"suffix":""},{"dropping-particle":"","family":"Papanikolaou","given":"V.","non-dropping-particle":"","parse-names":false,"suffix":""},{"dropping-particle":"","family":"Gritsi-Gerogianni","given":"N.","non-dropping-particle":"","parse-names":false,"suffix":""}],"container-title":"Transplantation Proceedings","id":"ITEM-1","issue":"9","issued":{"date-parts":[["2014"]]},"page":"3216-3218","title":"Bloodstream infections caused by carbapenemase-producing klebsiella pneumoniae among intensive care unit patients after orthotopic liver transplantation: Risk factors for infection and impact of resistance on outcomes","type":"article-journal","volume":"46"},"uris":["http://www.mendeley.com/documents/?uuid=cdb965b3-6ef9-4c6f-afe7-eafcda2a58fe"]}],"mendeley":{"formattedCitation":"&lt;sup&gt;34&lt;/sup&gt;","plainTextFormattedCitation":"34","previouslyFormattedCitation":"&lt;sup&gt;34&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34</w:t>
            </w:r>
            <w:r w:rsidRPr="00904FBC">
              <w:rPr>
                <w:rFonts w:eastAsia="Times"/>
                <w:sz w:val="16"/>
                <w:szCs w:val="16"/>
              </w:rPr>
              <w:fldChar w:fldCharType="end"/>
            </w:r>
          </w:p>
        </w:tc>
        <w:tc>
          <w:tcPr>
            <w:tcW w:w="1301" w:type="dxa"/>
            <w:vAlign w:val="center"/>
          </w:tcPr>
          <w:p w:rsidR="00B1258F" w:rsidRPr="00904FBC" w:rsidRDefault="00B1258F" w:rsidP="00082AA5">
            <w:pPr>
              <w:jc w:val="center"/>
              <w:rPr>
                <w:rFonts w:eastAsia="Times"/>
                <w:sz w:val="16"/>
                <w:szCs w:val="16"/>
              </w:rPr>
            </w:pPr>
            <w:r w:rsidRPr="00904FBC">
              <w:rPr>
                <w:sz w:val="16"/>
                <w:szCs w:val="16"/>
              </w:rPr>
              <w:t>17</w:t>
            </w:r>
          </w:p>
        </w:tc>
        <w:tc>
          <w:tcPr>
            <w:tcW w:w="1470" w:type="dxa"/>
            <w:vAlign w:val="center"/>
          </w:tcPr>
          <w:p w:rsidR="00B1258F" w:rsidRPr="00904FBC" w:rsidRDefault="00B1258F" w:rsidP="00082AA5">
            <w:pPr>
              <w:jc w:val="center"/>
              <w:rPr>
                <w:rFonts w:eastAsia="Times"/>
                <w:sz w:val="16"/>
                <w:szCs w:val="16"/>
              </w:rPr>
            </w:pPr>
            <w:r w:rsidRPr="00904FBC">
              <w:rPr>
                <w:sz w:val="16"/>
                <w:szCs w:val="16"/>
              </w:rPr>
              <w:t>34</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82.4%</w:t>
            </w:r>
          </w:p>
        </w:tc>
        <w:tc>
          <w:tcPr>
            <w:tcW w:w="1532" w:type="dxa"/>
            <w:vAlign w:val="center"/>
          </w:tcPr>
          <w:p w:rsidR="00B1258F" w:rsidRPr="00904FBC" w:rsidRDefault="00B1258F" w:rsidP="00082AA5">
            <w:pPr>
              <w:jc w:val="center"/>
              <w:rPr>
                <w:rFonts w:eastAsia="Times"/>
                <w:sz w:val="16"/>
                <w:szCs w:val="16"/>
              </w:rPr>
            </w:pPr>
            <w:r w:rsidRPr="00904FBC">
              <w:rPr>
                <w:rFonts w:eastAsia="Times"/>
                <w:sz w:val="16"/>
                <w:szCs w:val="16"/>
              </w:rPr>
              <w:t>32.4%</w:t>
            </w:r>
          </w:p>
        </w:tc>
        <w:tc>
          <w:tcPr>
            <w:tcW w:w="1694" w:type="dxa"/>
            <w:vAlign w:val="center"/>
          </w:tcPr>
          <w:p w:rsidR="00B1258F" w:rsidRPr="00904FBC" w:rsidRDefault="00B1258F" w:rsidP="00082AA5">
            <w:pPr>
              <w:jc w:val="center"/>
              <w:rPr>
                <w:rFonts w:eastAsia="Times"/>
                <w:sz w:val="16"/>
                <w:szCs w:val="16"/>
              </w:rPr>
            </w:pPr>
            <w:r w:rsidRPr="00904FBC">
              <w:rPr>
                <w:rFonts w:eastAsia="Times"/>
                <w:sz w:val="16"/>
                <w:szCs w:val="16"/>
              </w:rPr>
              <w:t>50.0%</w:t>
            </w:r>
          </w:p>
        </w:tc>
      </w:tr>
      <w:tr w:rsidR="00B1258F" w:rsidRPr="00904FBC" w:rsidTr="00082AA5">
        <w:trPr>
          <w:trHeight w:val="292"/>
        </w:trPr>
        <w:tc>
          <w:tcPr>
            <w:tcW w:w="2422" w:type="dxa"/>
            <w:vAlign w:val="center"/>
          </w:tcPr>
          <w:p w:rsidR="00B1258F" w:rsidRPr="00904FBC" w:rsidRDefault="00B1258F" w:rsidP="00082AA5">
            <w:pPr>
              <w:rPr>
                <w:rFonts w:eastAsia="Times"/>
                <w:sz w:val="16"/>
                <w:szCs w:val="16"/>
              </w:rPr>
            </w:pPr>
            <w:r w:rsidRPr="00904FBC">
              <w:rPr>
                <w:rFonts w:eastAsia="Times"/>
                <w:sz w:val="16"/>
                <w:szCs w:val="16"/>
              </w:rPr>
              <w:t>Sbrana et al. 2016</w:t>
            </w:r>
            <w:r w:rsidRPr="00904FBC">
              <w:rPr>
                <w:rFonts w:eastAsia="Times"/>
                <w:sz w:val="16"/>
                <w:szCs w:val="16"/>
              </w:rPr>
              <w:fldChar w:fldCharType="begin" w:fldLock="1"/>
            </w:r>
            <w:r w:rsidRPr="00904FBC">
              <w:rPr>
                <w:rFonts w:eastAsia="Times"/>
                <w:sz w:val="16"/>
                <w:szCs w:val="16"/>
              </w:rPr>
              <w:instrText>ADDIN CSL_CITATION {"citationItems":[{"id":"ITEM-1","itemData":{"author":[{"dropping-particle":"","family":"Sbrana","given":"Francesco","non-dropping-particle":"","parse-names":false,"suffix":""},{"dropping-particle":"","family":"Malacarne","given":"Paolo","non-dropping-particle":"","parse-names":false,"suffix":""},{"dropping-particle":"","family":"Bassetti","given":"Matteo","non-dropping-particle":"","parse-names":false,"suffix":""},{"dropping-particle":"","family":"Tascini","given":"Carlo","non-dropping-particle":"","parse-names":false,"suffix":""},{"dropping-particle":"","family":"Vegnuti","given":"Lara","non-dropping-particle":"","parse-names":false,"suffix":""},{"dropping-particle":"Della","family":"Siega","given":"Paola","non-dropping-particle":"","parse-names":false,"suffix":""},{"dropping-particle":"","family":"Ripoli","given":"Andrea","non-dropping-particle":"","parse-names":false,"suffix":""},{"dropping-particle":"","family":"Ansaldi","given":"Filippo","non-dropping-particle":"","parse-names":false,"suffix":""},{"dropping-particle":"","family":"Menichetti","given":"Francesco","non-dropping-particle":"","parse-names":false,"suffix":""},{"dropping-particle":"","family":"Toscana","given":"Fondazione","non-dropping-particle":"","parse-names":false,"suffix":""},{"dropping-particle":"","family":"Monasterio","given":"Gabriele","non-dropping-particle":"","parse-names":false,"suffix":""},{"dropping-particle":"","family":"Anestesia","given":"U O","non-dropping-particle":"","parse-names":false,"suffix":""},{"dropping-particle":"","family":"Vi","given":"Rianimazione","non-dropping-particle":"","parse-names":false,"suffix":""}],"container-title":"Minerva Anestesiologica","id":"ITEM-1","issue":"6","issued":{"date-parts":[["2016"]]},"page":"635-640","title":"Risk factors for ventilator associated pneumonia due to carbapenemase-producing Klebsiella pneumoniae in mechanically ventilated patients with tracheal and rectal colonization","type":"article-journal","volume":"82"},"uris":["http://www.mendeley.com/documents/?uuid=28c1b302-1a2e-41ed-8330-9a95ab9dde68"]}],"mendeley":{"formattedCitation":"&lt;sup&gt;23&lt;/sup&gt;","plainTextFormattedCitation":"23","previouslyFormattedCitation":"&lt;sup&gt;23&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23</w:t>
            </w:r>
            <w:r w:rsidRPr="00904FBC">
              <w:rPr>
                <w:rFonts w:eastAsia="Times"/>
                <w:sz w:val="16"/>
                <w:szCs w:val="16"/>
              </w:rPr>
              <w:fldChar w:fldCharType="end"/>
            </w:r>
          </w:p>
        </w:tc>
        <w:tc>
          <w:tcPr>
            <w:tcW w:w="1301" w:type="dxa"/>
            <w:vAlign w:val="center"/>
          </w:tcPr>
          <w:p w:rsidR="00B1258F" w:rsidRPr="00904FBC" w:rsidRDefault="00B1258F" w:rsidP="00082AA5">
            <w:pPr>
              <w:jc w:val="center"/>
              <w:rPr>
                <w:rFonts w:eastAsia="Times"/>
                <w:sz w:val="16"/>
                <w:szCs w:val="16"/>
              </w:rPr>
            </w:pPr>
            <w:r w:rsidRPr="00904FBC">
              <w:rPr>
                <w:sz w:val="16"/>
                <w:szCs w:val="16"/>
              </w:rPr>
              <w:t>30</w:t>
            </w:r>
          </w:p>
        </w:tc>
        <w:tc>
          <w:tcPr>
            <w:tcW w:w="1470" w:type="dxa"/>
            <w:vAlign w:val="center"/>
          </w:tcPr>
          <w:p w:rsidR="00B1258F" w:rsidRPr="00904FBC" w:rsidRDefault="00B1258F" w:rsidP="00082AA5">
            <w:pPr>
              <w:jc w:val="center"/>
              <w:rPr>
                <w:rFonts w:eastAsia="Times"/>
                <w:sz w:val="16"/>
                <w:szCs w:val="16"/>
              </w:rPr>
            </w:pPr>
            <w:r w:rsidRPr="00904FBC">
              <w:rPr>
                <w:sz w:val="16"/>
                <w:szCs w:val="16"/>
              </w:rPr>
              <w:t>60</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20.0%</w:t>
            </w:r>
          </w:p>
        </w:tc>
        <w:tc>
          <w:tcPr>
            <w:tcW w:w="1532" w:type="dxa"/>
            <w:vAlign w:val="center"/>
          </w:tcPr>
          <w:p w:rsidR="00B1258F" w:rsidRPr="00904FBC" w:rsidRDefault="00B1258F" w:rsidP="00082AA5">
            <w:pPr>
              <w:jc w:val="center"/>
              <w:rPr>
                <w:rFonts w:eastAsia="Times"/>
                <w:sz w:val="16"/>
                <w:szCs w:val="16"/>
              </w:rPr>
            </w:pPr>
            <w:r w:rsidRPr="00904FBC">
              <w:rPr>
                <w:rFonts w:eastAsia="Times"/>
                <w:sz w:val="16"/>
                <w:szCs w:val="16"/>
              </w:rPr>
              <w:t>23.3%</w:t>
            </w:r>
          </w:p>
        </w:tc>
        <w:tc>
          <w:tcPr>
            <w:tcW w:w="1694" w:type="dxa"/>
            <w:vAlign w:val="center"/>
          </w:tcPr>
          <w:p w:rsidR="00B1258F" w:rsidRPr="00904FBC" w:rsidRDefault="00B1258F" w:rsidP="00082AA5">
            <w:pPr>
              <w:jc w:val="center"/>
              <w:rPr>
                <w:rFonts w:eastAsia="Times"/>
                <w:sz w:val="16"/>
                <w:szCs w:val="16"/>
              </w:rPr>
            </w:pPr>
            <w:r w:rsidRPr="00904FBC">
              <w:rPr>
                <w:rFonts w:eastAsia="Times"/>
                <w:sz w:val="16"/>
                <w:szCs w:val="16"/>
              </w:rPr>
              <w:t>-3.3%</w:t>
            </w:r>
          </w:p>
        </w:tc>
      </w:tr>
      <w:tr w:rsidR="00B1258F" w:rsidRPr="00904FBC" w:rsidTr="00082AA5">
        <w:trPr>
          <w:trHeight w:val="292"/>
        </w:trPr>
        <w:tc>
          <w:tcPr>
            <w:tcW w:w="9889" w:type="dxa"/>
            <w:gridSpan w:val="6"/>
            <w:shd w:val="clear" w:color="auto" w:fill="E2EFD9"/>
            <w:vAlign w:val="center"/>
          </w:tcPr>
          <w:p w:rsidR="00B1258F" w:rsidRPr="00904FBC" w:rsidRDefault="00B1258F" w:rsidP="00082AA5">
            <w:pPr>
              <w:jc w:val="center"/>
              <w:rPr>
                <w:rFonts w:eastAsia="Times"/>
                <w:sz w:val="16"/>
                <w:szCs w:val="16"/>
              </w:rPr>
            </w:pPr>
            <w:r w:rsidRPr="00904FBC">
              <w:rPr>
                <w:rFonts w:eastAsia="Times"/>
                <w:sz w:val="16"/>
                <w:szCs w:val="16"/>
              </w:rPr>
              <w:t>Attributable to Infection</w:t>
            </w:r>
          </w:p>
        </w:tc>
      </w:tr>
      <w:tr w:rsidR="00B1258F" w:rsidRPr="00904FBC" w:rsidTr="00082AA5">
        <w:trPr>
          <w:trHeight w:val="292"/>
        </w:trPr>
        <w:tc>
          <w:tcPr>
            <w:tcW w:w="2422" w:type="dxa"/>
          </w:tcPr>
          <w:p w:rsidR="00B1258F" w:rsidRPr="00904FBC" w:rsidRDefault="00B1258F" w:rsidP="00082AA5">
            <w:pPr>
              <w:rPr>
                <w:rFonts w:eastAsia="Times"/>
                <w:sz w:val="16"/>
                <w:szCs w:val="16"/>
              </w:rPr>
            </w:pPr>
            <w:r w:rsidRPr="00904FBC">
              <w:rPr>
                <w:rFonts w:eastAsia="Times"/>
                <w:sz w:val="16"/>
                <w:szCs w:val="16"/>
              </w:rPr>
              <w:t>Ben-David et al. 2012</w:t>
            </w:r>
            <w:r w:rsidRPr="00904FBC">
              <w:rPr>
                <w:rFonts w:eastAsia="Times"/>
                <w:sz w:val="16"/>
                <w:szCs w:val="16"/>
              </w:rPr>
              <w:fldChar w:fldCharType="begin" w:fldLock="1"/>
            </w:r>
            <w:r w:rsidRPr="00904FBC">
              <w:rPr>
                <w:rFonts w:eastAsia="Times"/>
                <w:sz w:val="16"/>
                <w:szCs w:val="16"/>
              </w:rPr>
              <w:instrText>ADDIN CSL_CITATION {"citationItems":[{"id":"ITEM-1","itemData":{"DOI":"10.1111/j.1469-0691.2011.03478.x","ISBN":"1469-0691 (Electronic)\\n1198-743X (Linking)","ISSN":"14690691","PMID":"21722257","abstract":"The aim of this study was to evaluate the impact of carbapenem-resistant K. pneumoniae bloodstream infections on mortality. During the study period 42, 68 and 120 patients were identified with carbapenem-resistant, extended-spectrum b-lactamase producers (ESBL) and susceptible K. pneumoniae bloodstream infections, respectively. Patients with carbapenem-resistant K. pneumoniae had higher rates of prior antimicrobial exposure, other nosocomial infections, and use of invasive devices. Infection-related mortality was 48% for carba-penem-resistant, 22% for ESBL producers and 17% for susceptible K. pneumoniae. Independent risk factors for infection-related mortality were Pitt bacteraemia score, Charlson score and carbapenem resistance.","author":[{"dropping-particle":"","family":"Ben-David","given":"D.","non-dropping-particle":"","parse-names":false,"suffix":""},{"dropping-particle":"","family":"Kordevani","given":"R.","non-dropping-particle":"","parse-names":false,"suffix":""},{"dropping-particle":"","family":"Keller","given":"N.","non-dropping-particle":"","parse-names":false,"suffix":""},{"dropping-particle":"","family":"Tal","given":"I.","non-dropping-particle":"","parse-names":false,"suffix":""},{"dropping-particle":"","family":"Marzel","given":"A.","non-dropping-particle":"","parse-names":false,"suffix":""},{"dropping-particle":"","family":"Gal-Mor","given":"O.","non-dropping-particle":"","parse-names":false,"suffix":""},{"dropping-particle":"","family":"Maor","given":"Y.","non-dropping-particle":"","parse-names":false,"suffix":""},{"dropping-particle":"","family":"Rahav","given":"G.","non-dropping-particle":"","parse-names":false,"suffix":""}],"container-title":"Clinical Microbiology and Infection","id":"ITEM-1","issue":"1","issued":{"date-parts":[["2012"]]},"page":"54-60","publisher":"European Society of Clinical Infectious Diseases","title":"Outcome of carbapenem resistant Klebsiella pneumoniae bloodstream infections","type":"article-journal","volume":"18"},"uris":["http://www.mendeley.com/documents/?uuid=cfc2f597-6823-41b8-8ee6-f24676d8e5f7"]}],"mendeley":{"formattedCitation":"&lt;sup&gt;28&lt;/sup&gt;","plainTextFormattedCitation":"28","previouslyFormattedCitation":"&lt;sup&gt;28&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28</w:t>
            </w:r>
            <w:r w:rsidRPr="00904FBC">
              <w:rPr>
                <w:rFonts w:eastAsia="Times"/>
                <w:sz w:val="16"/>
                <w:szCs w:val="16"/>
              </w:rPr>
              <w:fldChar w:fldCharType="end"/>
            </w:r>
          </w:p>
        </w:tc>
        <w:tc>
          <w:tcPr>
            <w:tcW w:w="1301" w:type="dxa"/>
            <w:vAlign w:val="center"/>
          </w:tcPr>
          <w:p w:rsidR="00B1258F" w:rsidRPr="00904FBC" w:rsidRDefault="00B1258F" w:rsidP="00082AA5">
            <w:pPr>
              <w:jc w:val="center"/>
              <w:rPr>
                <w:rFonts w:eastAsia="Times"/>
                <w:sz w:val="16"/>
                <w:szCs w:val="16"/>
              </w:rPr>
            </w:pPr>
            <w:r w:rsidRPr="00904FBC">
              <w:rPr>
                <w:rFonts w:eastAsia="Times"/>
                <w:sz w:val="16"/>
                <w:szCs w:val="16"/>
              </w:rPr>
              <w:t>42</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150</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47.6%</w:t>
            </w:r>
          </w:p>
        </w:tc>
        <w:tc>
          <w:tcPr>
            <w:tcW w:w="1532" w:type="dxa"/>
            <w:vAlign w:val="center"/>
          </w:tcPr>
          <w:p w:rsidR="00B1258F" w:rsidRPr="00904FBC" w:rsidRDefault="00B1258F" w:rsidP="00082AA5">
            <w:pPr>
              <w:jc w:val="center"/>
              <w:rPr>
                <w:rFonts w:eastAsia="Times"/>
                <w:sz w:val="16"/>
                <w:szCs w:val="16"/>
              </w:rPr>
            </w:pPr>
            <w:r w:rsidRPr="00904FBC">
              <w:rPr>
                <w:rFonts w:eastAsia="Times"/>
                <w:sz w:val="16"/>
                <w:szCs w:val="16"/>
              </w:rPr>
              <w:t>18.7%</w:t>
            </w:r>
          </w:p>
        </w:tc>
        <w:tc>
          <w:tcPr>
            <w:tcW w:w="1694" w:type="dxa"/>
            <w:vAlign w:val="center"/>
          </w:tcPr>
          <w:p w:rsidR="00B1258F" w:rsidRPr="00904FBC" w:rsidRDefault="00B1258F" w:rsidP="00082AA5">
            <w:pPr>
              <w:jc w:val="center"/>
              <w:rPr>
                <w:rFonts w:eastAsia="Times"/>
                <w:sz w:val="16"/>
                <w:szCs w:val="16"/>
              </w:rPr>
            </w:pPr>
            <w:r w:rsidRPr="00904FBC">
              <w:rPr>
                <w:rFonts w:eastAsia="Times"/>
                <w:sz w:val="16"/>
                <w:szCs w:val="16"/>
              </w:rPr>
              <w:t>29.0%</w:t>
            </w:r>
          </w:p>
        </w:tc>
      </w:tr>
      <w:tr w:rsidR="00B1258F" w:rsidRPr="00904FBC" w:rsidTr="00082AA5">
        <w:trPr>
          <w:trHeight w:val="292"/>
        </w:trPr>
        <w:tc>
          <w:tcPr>
            <w:tcW w:w="2422" w:type="dxa"/>
          </w:tcPr>
          <w:p w:rsidR="00B1258F" w:rsidRPr="00904FBC" w:rsidRDefault="00B1258F" w:rsidP="00082AA5">
            <w:pPr>
              <w:rPr>
                <w:rFonts w:eastAsia="Times"/>
                <w:sz w:val="16"/>
                <w:szCs w:val="16"/>
              </w:rPr>
            </w:pPr>
            <w:r w:rsidRPr="00904FBC">
              <w:rPr>
                <w:rFonts w:eastAsia="Times"/>
                <w:sz w:val="16"/>
                <w:szCs w:val="16"/>
              </w:rPr>
              <w:t>Mouloudi et al. 2010</w:t>
            </w:r>
            <w:r w:rsidRPr="00904FBC">
              <w:rPr>
                <w:rFonts w:eastAsia="Times"/>
                <w:sz w:val="16"/>
                <w:szCs w:val="16"/>
              </w:rPr>
              <w:fldChar w:fldCharType="begin" w:fldLock="1"/>
            </w:r>
            <w:r w:rsidRPr="00904FBC">
              <w:rPr>
                <w:rFonts w:eastAsia="Times"/>
                <w:sz w:val="16"/>
                <w:szCs w:val="16"/>
              </w:rPr>
              <w:instrText>ADDIN CSL_CITATION {"citationItems":[{"id":"ITEM-1","itemData":{"DOI":"10.1086/657135","ISBN":"0899-823X","ISSN":"0899-823X","PMID":"20973725","abstract":"OBJECTIVE: To determine risk factors for bloodstream infections (BSIs) caused by Klebsiella pneumoniae producing metallo-β-lactamases (MBLs) or K. pneumoniae carbapenemases (KPCs), as well as risk factors for mortality associated with carbapenem-resistant K. pneumoniae, among intensive care unit (ICU) patients.\\n\\nMETHODS: Two case-control studies were conducted in a patient cohort with K. pneumoniae BSIs in an 8-bed ICU in a Greek hospital from January 1, 2007, through December 31, 2008. In study 1, patients with K. pneumoniae BSIs were allocated among 3 groups according to isolate susceptibility profile: (1) carbapenem-susceptible insolates (control group), (2) MBL-producing isolates, or (3) KPC-producing isolates. The MBL and KPC groups were compared with the control group to identify risk factors for development of K. pneumoniae BSI. In study 2, patients with K. pneumoniae BSIs who died were compared with survivors to identify risk factors for mortality.\\n\\nRESULTS: Fifty-nine patients had K. pneumoniae BSIs (22 with carbapenem-susceptible isolates, 18 with MBL-producing isolates, and 19 with KPC-producing isolates). All KPC-producing isolates carried the bla(KPC-2) gene, and 17 of 18 MBL-producing isolates carried bla(VIM-1). Acute Physiology and Chronic Health Evaluation II score (odds ratio, 1.13 [95% confidence interval, 1.03-1.25]; [Formula: see text]) was independently associated with KPC-producing K. pneumoniae BSIs. Nine (41%) of 22 control patients, 8 (44%) of 18 MBL group patients, and 13 (68%) of 19 KPC group patients died in the ICU. Nine (41%) of 22 control patients, 10 (56%) of 18 MBL group patients, and 15 (79%) of 19 KPC group patients died in the hospital. Isolation of KPC-producing K. pneumoniae was an independent predictor of ICU death ([Formula: see text]) and in-hospital death ([Formula: see text]) but not infection-attributable death.\\n\\nCONCLUSIONS: BSIs due to KPC-producing K. pneumoniae resulted in significantly increased mortality. The accurate and rapid detection of these pathogens is necessary for therapeutic considerations and for the implementation of infection control measures to contain them.","author":[{"dropping-particle":"","family":"Mouloudi","given":"Eleni","non-dropping-particle":"","parse-names":false,"suffix":""},{"dropping-particle":"","family":"Protonotariou","given":"Euthymia","non-dropping-particle":"","parse-names":false,"suffix":""},{"dropping-particle":"","family":"Zagorianou","given":"Alexia","non-dropping-particle":"","parse-names":false,"suffix":""},{"dropping-particle":"","family":"Iosifidis","given":"Elias","non-dropping-particle":"","parse-names":false,"suffix":""},{"dropping-particle":"","family":"Karapanagiotou","given":"Areti","non-dropping-particle":"","parse-names":false,"suffix":""},{"dropping-particle":"","family":"Giasnetsova","given":"Tatiana","non-dropping-particle":"","parse-names":false,"suffix":""},{"dropping-particle":"","family":"Tsioka","given":"Agoritsa","non-dropping-particle":"","parse-names":false,"suffix":""},{"dropping-particle":"","family":"Roilides","given":"Emmanuel","non-dropping-particle":"","parse-names":false,"suffix":""},{"dropping-particle":"","family":"Sofianou","given":"Danai","non-dropping-particle":"","parse-names":false,"suffix":""},{"dropping-particle":"","family":"Gritsi-Gerogianni","given":"Nikoleta","non-dropping-particle":"","parse-names":false,"suffix":""}],"container-title":"Infection Control &amp; Hospital Epidemiology","id":"ITEM-1","issue":"12","issued":{"date-parts":[["2010"]]},"page":"1250-1256","title":"Bloodstream Infections Caused by Metallo-β-Lactamase/Klebsiella pneumoniae Carbapenemase–Producing K. pneumoniae among Intensive Care Unit Patients in Greece: Risk Factors for Infection and Impact of Type of Resistance on Outcomes","type":"article-journal","volume":"31"},"uris":["http://www.mendeley.com/documents/?uuid=4717ca68-dfc0-4554-a124-bff2af09d858"]}],"mendeley":{"formattedCitation":"&lt;sup&gt;33&lt;/sup&gt;","plainTextFormattedCitation":"33","previouslyFormattedCitation":"&lt;sup&gt;33&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33</w:t>
            </w:r>
            <w:r w:rsidRPr="00904FBC">
              <w:rPr>
                <w:rFonts w:eastAsia="Times"/>
                <w:sz w:val="16"/>
                <w:szCs w:val="16"/>
              </w:rPr>
              <w:fldChar w:fldCharType="end"/>
            </w:r>
          </w:p>
        </w:tc>
        <w:tc>
          <w:tcPr>
            <w:tcW w:w="1301" w:type="dxa"/>
            <w:vAlign w:val="center"/>
          </w:tcPr>
          <w:p w:rsidR="00B1258F" w:rsidRPr="00904FBC" w:rsidRDefault="00B1258F" w:rsidP="00082AA5">
            <w:pPr>
              <w:jc w:val="center"/>
              <w:rPr>
                <w:rFonts w:eastAsia="Times"/>
                <w:sz w:val="16"/>
                <w:szCs w:val="16"/>
              </w:rPr>
            </w:pPr>
            <w:r w:rsidRPr="00904FBC">
              <w:rPr>
                <w:sz w:val="16"/>
                <w:szCs w:val="16"/>
              </w:rPr>
              <w:t>37</w:t>
            </w:r>
          </w:p>
        </w:tc>
        <w:tc>
          <w:tcPr>
            <w:tcW w:w="1470" w:type="dxa"/>
            <w:vAlign w:val="center"/>
          </w:tcPr>
          <w:p w:rsidR="00B1258F" w:rsidRPr="00904FBC" w:rsidRDefault="00B1258F" w:rsidP="00082AA5">
            <w:pPr>
              <w:jc w:val="center"/>
              <w:rPr>
                <w:rFonts w:eastAsia="Times"/>
                <w:sz w:val="16"/>
                <w:szCs w:val="16"/>
              </w:rPr>
            </w:pPr>
            <w:r w:rsidRPr="00904FBC">
              <w:rPr>
                <w:sz w:val="16"/>
                <w:szCs w:val="16"/>
              </w:rPr>
              <w:t>22</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27.0%</w:t>
            </w:r>
          </w:p>
        </w:tc>
        <w:tc>
          <w:tcPr>
            <w:tcW w:w="1532" w:type="dxa"/>
            <w:vAlign w:val="center"/>
          </w:tcPr>
          <w:p w:rsidR="00B1258F" w:rsidRPr="00904FBC" w:rsidRDefault="00B1258F" w:rsidP="00082AA5">
            <w:pPr>
              <w:jc w:val="center"/>
              <w:rPr>
                <w:rFonts w:eastAsia="Times"/>
                <w:sz w:val="16"/>
                <w:szCs w:val="16"/>
              </w:rPr>
            </w:pPr>
            <w:r w:rsidRPr="00904FBC">
              <w:rPr>
                <w:rFonts w:eastAsia="Times"/>
                <w:sz w:val="16"/>
                <w:szCs w:val="16"/>
              </w:rPr>
              <w:t>13.6%</w:t>
            </w:r>
          </w:p>
        </w:tc>
        <w:tc>
          <w:tcPr>
            <w:tcW w:w="1694" w:type="dxa"/>
            <w:vAlign w:val="center"/>
          </w:tcPr>
          <w:p w:rsidR="00B1258F" w:rsidRPr="00904FBC" w:rsidRDefault="00B1258F" w:rsidP="00082AA5">
            <w:pPr>
              <w:jc w:val="center"/>
              <w:rPr>
                <w:rFonts w:eastAsia="Times"/>
                <w:sz w:val="16"/>
                <w:szCs w:val="16"/>
              </w:rPr>
            </w:pPr>
            <w:r w:rsidRPr="00904FBC">
              <w:rPr>
                <w:rFonts w:eastAsia="Times"/>
                <w:sz w:val="16"/>
                <w:szCs w:val="16"/>
              </w:rPr>
              <w:t>13.4%</w:t>
            </w:r>
          </w:p>
        </w:tc>
      </w:tr>
      <w:tr w:rsidR="00B1258F" w:rsidRPr="00904FBC" w:rsidTr="00082AA5">
        <w:trPr>
          <w:trHeight w:val="292"/>
        </w:trPr>
        <w:tc>
          <w:tcPr>
            <w:tcW w:w="2422" w:type="dxa"/>
          </w:tcPr>
          <w:p w:rsidR="00B1258F" w:rsidRPr="00904FBC" w:rsidRDefault="00B1258F" w:rsidP="00082AA5">
            <w:pPr>
              <w:rPr>
                <w:rFonts w:eastAsia="Times"/>
                <w:sz w:val="16"/>
                <w:szCs w:val="16"/>
              </w:rPr>
            </w:pPr>
            <w:r w:rsidRPr="00904FBC">
              <w:rPr>
                <w:rFonts w:eastAsia="Times"/>
                <w:sz w:val="16"/>
                <w:szCs w:val="16"/>
              </w:rPr>
              <w:t>Torres-Gonzalez et al. 2016</w:t>
            </w:r>
            <w:r w:rsidRPr="00904FBC">
              <w:rPr>
                <w:rFonts w:eastAsia="Times"/>
                <w:sz w:val="16"/>
                <w:szCs w:val="16"/>
              </w:rPr>
              <w:fldChar w:fldCharType="begin" w:fldLock="1"/>
            </w:r>
            <w:r w:rsidRPr="00904FBC">
              <w:rPr>
                <w:rFonts w:eastAsia="Times"/>
                <w:sz w:val="16"/>
                <w:szCs w:val="16"/>
              </w:rPr>
              <w:instrText>ADDIN CSL_CITATION {"citationItems":[{"id":"ITEM-1","itemData":{"author":[{"dropping-particle":"","family":"Torres-Gonzalez","given":"Pedro","non-dropping-particle":"","parse-names":false,"suffix":""},{"dropping-particle":"","family":"Ortiz-Brizuela","given":"Edgar","non-dropping-particle":"","parse-names":false,"suffix":""},{"dropping-particle":"","family":"Cervera-Hernandez","given":"Miguel Enrique","non-dropping-particle":"","parse-names":false,"suffix":""},{"dropping-particle":"","family":"Bobadilla-del Valle","given":"Miriam","non-dropping-particle":"","parse-names":false,"suffix":""},{"dropping-particle":"","family":"Martinez-Gamboa","given":"Areli","non-dropping-particle":"","parse-names":false,"suffix":""},{"dropping-particle":"","family":"Sifuentes-Osornio","given":"Jose","non-dropping-particle":"","parse-names":false,"suffix":""},{"dropping-particle":"","family":"Ponce-de-Leon","given":"Alfredo","non-dropping-particle":"","parse-names":false,"suffix":""}],"container-title":"Diagnostic Microbiology and Infectious Disease","id":"ITEM-1","issue":"2","issued":{"date-parts":[["2016"]]},"page":"243-248","publisher":"Elsevier Inc.","title":"Associated factors and outcomes for OXA-232 Carbapenem-resistant Enterobacteriaceae infections in a tertiary care centre in Mexico City: A case–control-control study","type":"article-journal","volume":"86"},"uris":["http://www.mendeley.com/documents/?uuid=6e74d34f-8e9c-481a-b5af-e3a97dfc5f1f"]}],"mendeley":{"formattedCitation":"&lt;sup&gt;26&lt;/sup&gt;","plainTextFormattedCitation":"26","previouslyFormattedCitation":"&lt;sup&gt;26&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26</w:t>
            </w:r>
            <w:r w:rsidRPr="00904FBC">
              <w:rPr>
                <w:rFonts w:eastAsia="Times"/>
                <w:sz w:val="16"/>
                <w:szCs w:val="16"/>
              </w:rPr>
              <w:fldChar w:fldCharType="end"/>
            </w:r>
          </w:p>
        </w:tc>
        <w:tc>
          <w:tcPr>
            <w:tcW w:w="1301" w:type="dxa"/>
            <w:vAlign w:val="center"/>
          </w:tcPr>
          <w:p w:rsidR="00B1258F" w:rsidRPr="00904FBC" w:rsidRDefault="00B1258F" w:rsidP="00082AA5">
            <w:pPr>
              <w:jc w:val="center"/>
              <w:rPr>
                <w:rFonts w:eastAsia="Times"/>
                <w:sz w:val="16"/>
                <w:szCs w:val="16"/>
              </w:rPr>
            </w:pPr>
            <w:r w:rsidRPr="00904FBC">
              <w:rPr>
                <w:sz w:val="16"/>
                <w:szCs w:val="16"/>
              </w:rPr>
              <w:t>27</w:t>
            </w:r>
          </w:p>
        </w:tc>
        <w:tc>
          <w:tcPr>
            <w:tcW w:w="1470" w:type="dxa"/>
            <w:vAlign w:val="center"/>
          </w:tcPr>
          <w:p w:rsidR="00B1258F" w:rsidRPr="00904FBC" w:rsidRDefault="00B1258F" w:rsidP="00082AA5">
            <w:pPr>
              <w:jc w:val="center"/>
              <w:rPr>
                <w:rFonts w:eastAsia="Times"/>
                <w:sz w:val="16"/>
                <w:szCs w:val="16"/>
              </w:rPr>
            </w:pPr>
            <w:r w:rsidRPr="00904FBC">
              <w:rPr>
                <w:sz w:val="16"/>
                <w:szCs w:val="16"/>
              </w:rPr>
              <w:t>108</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11.1%</w:t>
            </w:r>
          </w:p>
        </w:tc>
        <w:tc>
          <w:tcPr>
            <w:tcW w:w="1532" w:type="dxa"/>
            <w:vAlign w:val="center"/>
          </w:tcPr>
          <w:p w:rsidR="00B1258F" w:rsidRPr="00904FBC" w:rsidRDefault="00B1258F" w:rsidP="00082AA5">
            <w:pPr>
              <w:jc w:val="center"/>
              <w:rPr>
                <w:rFonts w:eastAsia="Times"/>
                <w:sz w:val="16"/>
                <w:szCs w:val="16"/>
              </w:rPr>
            </w:pPr>
            <w:r w:rsidRPr="00904FBC">
              <w:rPr>
                <w:rFonts w:eastAsia="Times"/>
                <w:sz w:val="16"/>
                <w:szCs w:val="16"/>
              </w:rPr>
              <w:t>7.4%</w:t>
            </w:r>
          </w:p>
        </w:tc>
        <w:tc>
          <w:tcPr>
            <w:tcW w:w="1694" w:type="dxa"/>
            <w:vAlign w:val="center"/>
          </w:tcPr>
          <w:p w:rsidR="00B1258F" w:rsidRPr="00904FBC" w:rsidRDefault="00B1258F" w:rsidP="00082AA5">
            <w:pPr>
              <w:jc w:val="center"/>
              <w:rPr>
                <w:rFonts w:eastAsia="Times"/>
                <w:sz w:val="16"/>
                <w:szCs w:val="16"/>
              </w:rPr>
            </w:pPr>
            <w:r w:rsidRPr="00904FBC">
              <w:rPr>
                <w:rFonts w:eastAsia="Times"/>
                <w:sz w:val="16"/>
                <w:szCs w:val="16"/>
              </w:rPr>
              <w:t>3.7%</w:t>
            </w:r>
          </w:p>
        </w:tc>
      </w:tr>
      <w:tr w:rsidR="00B1258F" w:rsidRPr="00904FBC" w:rsidTr="00082AA5">
        <w:trPr>
          <w:trHeight w:val="292"/>
        </w:trPr>
        <w:tc>
          <w:tcPr>
            <w:tcW w:w="9889" w:type="dxa"/>
            <w:gridSpan w:val="6"/>
            <w:shd w:val="clear" w:color="auto" w:fill="E2EFD9"/>
            <w:vAlign w:val="center"/>
          </w:tcPr>
          <w:p w:rsidR="00B1258F" w:rsidRPr="00904FBC" w:rsidRDefault="00B1258F" w:rsidP="00082AA5">
            <w:pPr>
              <w:jc w:val="center"/>
              <w:rPr>
                <w:rFonts w:eastAsia="Times"/>
                <w:sz w:val="16"/>
                <w:szCs w:val="16"/>
              </w:rPr>
            </w:pPr>
            <w:r w:rsidRPr="00904FBC">
              <w:rPr>
                <w:rFonts w:eastAsia="Times"/>
                <w:sz w:val="16"/>
                <w:szCs w:val="16"/>
              </w:rPr>
              <w:t>Mortality Inappropriate Antibiotics</w:t>
            </w:r>
          </w:p>
        </w:tc>
      </w:tr>
      <w:tr w:rsidR="00B1258F" w:rsidRPr="00904FBC" w:rsidTr="00082AA5">
        <w:trPr>
          <w:trHeight w:val="292"/>
        </w:trPr>
        <w:tc>
          <w:tcPr>
            <w:tcW w:w="2422" w:type="dxa"/>
            <w:vAlign w:val="center"/>
          </w:tcPr>
          <w:p w:rsidR="00B1258F" w:rsidRPr="00904FBC" w:rsidRDefault="00B1258F" w:rsidP="00082AA5">
            <w:pPr>
              <w:rPr>
                <w:rFonts w:eastAsia="Times"/>
                <w:sz w:val="16"/>
                <w:szCs w:val="16"/>
              </w:rPr>
            </w:pPr>
            <w:r w:rsidRPr="00904FBC">
              <w:rPr>
                <w:rFonts w:eastAsia="Times"/>
                <w:sz w:val="16"/>
                <w:szCs w:val="16"/>
              </w:rPr>
              <w:t>Fraenkel-Wandel et al. 2016</w:t>
            </w:r>
            <w:r w:rsidRPr="00904FBC">
              <w:rPr>
                <w:rFonts w:eastAsia="Times"/>
                <w:sz w:val="16"/>
                <w:szCs w:val="16"/>
              </w:rPr>
              <w:fldChar w:fldCharType="begin" w:fldLock="1"/>
            </w:r>
            <w:r w:rsidRPr="00904FBC">
              <w:rPr>
                <w:rFonts w:eastAsia="Times"/>
                <w:sz w:val="16"/>
                <w:szCs w:val="16"/>
              </w:rPr>
              <w:instrText>ADDIN CSL_CITATION {"citationItems":[{"id":"ITEM-1","itemData":{"DOI":"10.1093/jac/dkv414","abstract":"OBJECTIVES To determine the mortality rate secondary to blaKPC Klebsiella pneumoniae (KPC/Kp) bacteraemia, compared with that from ESBL-producing K. pneumoniae (ESBL/Kp) bacteraemia, and to determine associated risk factors. METHODS This was a retrospective case-control study of all 68 KPC/Kp bacteraemia patients diagnosed since 2006, matched by year of isolation, gender and age, at a ratio of 1:2, to 136 ESBL/Kp bacteraemia patients. RESULTS There were no demographic differences between the two groups, but there were minor clinical differences. Fewer KPC/Kp study patients than ESBL/Kp control patients had a systolic blood pressure &lt;90 mmHg (32/68, 47% versus 86/136, 63%, respectively, P = 0.02) or urinary catheterization (32/68, 47% versus 90/136, 66%, respectively, P = 0.005), while the KPC/Kp bacteraemia group had a greater incidence of acute renal failure (45/68, 66% versus 67/136, 49%, respectively, P = 0.02). There was no difference between the two groups in duration of hospitalization. The mortality rate of the KPC/Kp bacteraemia group was 44/68 (65%) compared with 54/136 (40%) in the ESBL/Kp bacteraemia control group (P = 0.008), which in the multivariate analysis remained highly significant (P &lt; 0.001). Only 11/68 (16%) of KPC/Kp patients were functionally independent at discharge compared with 43/136 (32%) ESBL/Kp patients (P = 0.012). CONCLUSIONS The selection of an ESBL/Kp control cohort with a ratio of 1:2 (study versus control group) helped resolve an as yet insufficiently settled question: bacteraemia with KPC/Kp is an independent risk factor for death, justifying the strict adherence to cohorting and isolation procedures.","author":[{"dropping-particle":"","family":"Fraenkel-Wandel","given":"Yedidah","non-dropping-particle":"","parse-names":false,"suffix":""},{"dropping-particle":"","family":"Raveh-Brawer","given":"David","non-dropping-particle":"","parse-names":false,"suffix":""},{"dropping-particle":"","family":"Wiener-Well","given":"Yonit","non-dropping-particle":"","parse-names":false,"suffix":""},{"dropping-particle":"","family":"Yinnon","given":"Amos M.","non-dropping-particle":"","parse-names":false,"suffix":""},{"dropping-particle":"V.","family":"Assous","given":"Marc","non-dropping-particle":"","parse-names":false,"suffix":""}],"container-title":"Journal of Antimicrobial Chemotherapy","id":"ITEM-1","issued":{"date-parts":[["2016"]]},"page":"1083-1087","title":"Mortality due to blaKPC Klebsiella pneumoniae bacteraemia","type":"article-journal","volume":"71"},"uris":["http://www.mendeley.com/documents/?uuid=dd057afc-de28-48fb-a901-75a2656e1367"]}],"mendeley":{"formattedCitation":"&lt;sup&gt;30&lt;/sup&gt;","plainTextFormattedCitation":"30","previouslyFormattedCitation":"&lt;sup&gt;30&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30</w:t>
            </w:r>
            <w:r w:rsidRPr="00904FBC">
              <w:rPr>
                <w:rFonts w:eastAsia="Times"/>
                <w:sz w:val="16"/>
                <w:szCs w:val="16"/>
              </w:rPr>
              <w:fldChar w:fldCharType="end"/>
            </w:r>
          </w:p>
        </w:tc>
        <w:tc>
          <w:tcPr>
            <w:tcW w:w="1301" w:type="dxa"/>
            <w:vAlign w:val="center"/>
          </w:tcPr>
          <w:p w:rsidR="00B1258F" w:rsidRPr="00904FBC" w:rsidRDefault="00B1258F" w:rsidP="00082AA5">
            <w:pPr>
              <w:jc w:val="center"/>
              <w:rPr>
                <w:rFonts w:eastAsia="Times"/>
                <w:sz w:val="16"/>
                <w:szCs w:val="16"/>
              </w:rPr>
            </w:pPr>
            <w:r w:rsidRPr="00904FBC">
              <w:rPr>
                <w:sz w:val="16"/>
                <w:szCs w:val="16"/>
              </w:rPr>
              <w:t>68</w:t>
            </w:r>
          </w:p>
        </w:tc>
        <w:tc>
          <w:tcPr>
            <w:tcW w:w="1470" w:type="dxa"/>
            <w:vAlign w:val="center"/>
          </w:tcPr>
          <w:p w:rsidR="00B1258F" w:rsidRPr="00904FBC" w:rsidRDefault="00B1258F" w:rsidP="00082AA5">
            <w:pPr>
              <w:jc w:val="center"/>
              <w:rPr>
                <w:rFonts w:eastAsia="Times"/>
                <w:sz w:val="16"/>
                <w:szCs w:val="16"/>
              </w:rPr>
            </w:pPr>
            <w:r w:rsidRPr="00904FBC">
              <w:rPr>
                <w:sz w:val="16"/>
                <w:szCs w:val="16"/>
              </w:rPr>
              <w:t>136</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64.0%</w:t>
            </w:r>
          </w:p>
        </w:tc>
        <w:tc>
          <w:tcPr>
            <w:tcW w:w="1532" w:type="dxa"/>
            <w:vAlign w:val="center"/>
          </w:tcPr>
          <w:p w:rsidR="00B1258F" w:rsidRPr="00904FBC" w:rsidRDefault="00B1258F" w:rsidP="00082AA5">
            <w:pPr>
              <w:jc w:val="center"/>
              <w:rPr>
                <w:rFonts w:eastAsia="Times"/>
                <w:sz w:val="16"/>
                <w:szCs w:val="16"/>
              </w:rPr>
            </w:pPr>
            <w:r w:rsidRPr="00904FBC">
              <w:rPr>
                <w:rFonts w:eastAsia="Times"/>
                <w:sz w:val="16"/>
                <w:szCs w:val="16"/>
              </w:rPr>
              <w:t>35.4%</w:t>
            </w:r>
          </w:p>
        </w:tc>
        <w:tc>
          <w:tcPr>
            <w:tcW w:w="1694" w:type="dxa"/>
            <w:vAlign w:val="center"/>
          </w:tcPr>
          <w:p w:rsidR="00B1258F" w:rsidRPr="00904FBC" w:rsidRDefault="00B1258F" w:rsidP="00082AA5">
            <w:pPr>
              <w:jc w:val="center"/>
              <w:rPr>
                <w:rFonts w:eastAsia="Times"/>
                <w:sz w:val="16"/>
                <w:szCs w:val="16"/>
              </w:rPr>
            </w:pPr>
            <w:r w:rsidRPr="00904FBC">
              <w:rPr>
                <w:rFonts w:eastAsia="Times"/>
                <w:sz w:val="16"/>
                <w:szCs w:val="16"/>
              </w:rPr>
              <w:t>28.6%</w:t>
            </w:r>
          </w:p>
        </w:tc>
      </w:tr>
      <w:tr w:rsidR="00B1258F" w:rsidRPr="00904FBC" w:rsidTr="00082AA5">
        <w:trPr>
          <w:trHeight w:val="292"/>
        </w:trPr>
        <w:tc>
          <w:tcPr>
            <w:tcW w:w="9889" w:type="dxa"/>
            <w:gridSpan w:val="6"/>
            <w:shd w:val="clear" w:color="auto" w:fill="E2EFD9"/>
            <w:vAlign w:val="center"/>
          </w:tcPr>
          <w:p w:rsidR="00B1258F" w:rsidRPr="00904FBC" w:rsidRDefault="00B1258F" w:rsidP="00082AA5">
            <w:pPr>
              <w:jc w:val="center"/>
              <w:rPr>
                <w:rFonts w:eastAsia="Times"/>
                <w:sz w:val="16"/>
                <w:szCs w:val="16"/>
              </w:rPr>
            </w:pPr>
            <w:r w:rsidRPr="00904FBC">
              <w:rPr>
                <w:rFonts w:eastAsia="Times"/>
                <w:sz w:val="16"/>
                <w:szCs w:val="16"/>
              </w:rPr>
              <w:t>14-Day</w:t>
            </w:r>
          </w:p>
        </w:tc>
      </w:tr>
      <w:tr w:rsidR="00B1258F" w:rsidRPr="00904FBC" w:rsidTr="00082AA5">
        <w:trPr>
          <w:trHeight w:val="292"/>
        </w:trPr>
        <w:tc>
          <w:tcPr>
            <w:tcW w:w="2422" w:type="dxa"/>
            <w:vAlign w:val="center"/>
          </w:tcPr>
          <w:p w:rsidR="00B1258F" w:rsidRPr="00904FBC" w:rsidRDefault="00B1258F" w:rsidP="00082AA5">
            <w:pPr>
              <w:rPr>
                <w:rFonts w:eastAsia="Times"/>
                <w:sz w:val="16"/>
                <w:szCs w:val="16"/>
              </w:rPr>
            </w:pPr>
            <w:r w:rsidRPr="00904FBC">
              <w:rPr>
                <w:rFonts w:eastAsia="Times"/>
                <w:sz w:val="16"/>
                <w:szCs w:val="16"/>
              </w:rPr>
              <w:t>Daikos et al. 2009</w:t>
            </w:r>
            <w:r w:rsidRPr="00904FBC">
              <w:rPr>
                <w:rFonts w:eastAsia="Times"/>
                <w:sz w:val="16"/>
                <w:szCs w:val="16"/>
              </w:rPr>
              <w:fldChar w:fldCharType="begin" w:fldLock="1"/>
            </w:r>
            <w:r w:rsidRPr="00904FBC">
              <w:rPr>
                <w:rFonts w:eastAsia="Times"/>
                <w:sz w:val="16"/>
                <w:szCs w:val="16"/>
              </w:rPr>
              <w:instrText>ADDIN CSL_CITATION {"citationItems":[{"id":"ITEM-1","itemData":{"DOI":"10.1128/AAC.00782-08","ISBN":"0066-4804\\r1098-6596","ISSN":"00664804","abstract":"VIM-1-producing Klebsiella pneumoniae (VPKP) is an emerging pathogen. A prospective observational study was conducted to evaluate the importance of VIM production on outcome of patients with K. pneumoniae bloodstream infections (BSIs). Consecutive patients with K. pneumoniae BSIs were identified and followed up until patient discharge or death. A total of 162 patients were included in the analysis; 67 (41.4%) were infected with VPKP, and 95 were infected with non-VPKP. Fourteen of the patients infected with VPKP were carbapenem resistant (Carbr) (MIC &gt; 4 μg/ml), whereas none of the non-VPKP exhibited carbapenem resistance. The patients infected with a Carbr organism were more likely (odds ratio, 4.08; 95% confidence interval [CI], 1.29 to 12.85; P = 0.02) to receive inappropriate empirical therapy. The all-cause 14-day mortality rates were 15.8% (15 of 95) for patients infected with VIM-negative organisms, 18.9% (10 of 53) for those infected with VIM-positive carbapenem-susceptible organisms, and 42.9% (6 of 14) for those infected with VIM-positive Carbr organisms (P = 0.044). In Cox regression analysis, age (hazard ratio [HR], 1.03; 95% CI, 1.01 to 1.06; P = 0.021), rapidly fatal underlying disease (HR, 2.84; 95% CI, 1.26 to 6.39; P = 0.012), and carbapenem resistance (HR, 2.83; 95% CI, 1.08 to 7.41; P = 0.035) were independent predictors of death. After adjustment for inappropriate empirical or definitive therapy, the effect of carbapenem resistance on outcome was reduced to a level of nonsignificance. In patients with K. pneumoniae BSIs, carbapenem resistance, advanced, age, and severity of underlying disease were independent predictors of outcome, whereas VIM production had no effect on mortality. The higher mortality associated with carbapenem resistance was probably mediated by the failure to provide effective therapy. Copyright © 2009, American Society for Microbiology. All Rights Reserved.","author":[{"dropping-particle":"","family":"Daikos","given":"George L.","non-dropping-particle":"","parse-names":false,"suffix":""},{"dropping-particle":"","family":"Petrikkos","given":"Panayiotis","non-dropping-particle":"","parse-names":false,"suffix":""},{"dropping-particle":"","family":"Psichogiou","given":"Mina","non-dropping-particle":"","parse-names":false,"suffix":""},{"dropping-particle":"","family":"Kosmidis","given":"Chris","non-dropping-particle":"","parse-names":false,"suffix":""},{"dropping-particle":"","family":"Vryonis","given":"Evangelos","non-dropping-particle":"","parse-names":false,"suffix":""},{"dropping-particle":"","family":"Skoutelis","given":"Athanasios","non-dropping-particle":"","parse-names":false,"suffix":""},{"dropping-particle":"","family":"Georgousi","given":"Kleoniki","non-dropping-particle":"","parse-names":false,"suffix":""},{"dropping-particle":"","family":"Tzouvelekis","given":"Leonidas S.","non-dropping-particle":"","parse-names":false,"suffix":""},{"dropping-particle":"","family":"Tassios","given":"Panayotis T.","non-dropping-particle":"","parse-names":false,"suffix":""},{"dropping-particle":"","family":"Bamia","given":"Christina","non-dropping-particle":"","parse-names":false,"suffix":""},{"dropping-particle":"","family":"Petrikkos","given":"George","non-dropping-particle":"","parse-names":false,"suffix":""}],"container-title":"Antimicrobial Agents and Chemotherapy","id":"ITEM-1","issue":"5","issued":{"date-parts":[["2009"]]},"page":"1868-1873","title":"Prospective observational study of the impact of VIM-1 metallo-β- lactamase on the outcome of patients with Kebsiella pneumoniae bloodstream infections","type":"article-journal","volume":"53"},"uris":["http://www.mendeley.com/documents/?uuid=bbfa8f34-09d3-49a7-8d38-9602253a97d3"]}],"mendeley":{"formattedCitation":"&lt;sup&gt;21&lt;/sup&gt;","plainTextFormattedCitation":"21","previouslyFormattedCitation":"&lt;sup&gt;21&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21</w:t>
            </w:r>
            <w:r w:rsidRPr="00904FBC">
              <w:rPr>
                <w:rFonts w:eastAsia="Times"/>
                <w:sz w:val="16"/>
                <w:szCs w:val="16"/>
              </w:rPr>
              <w:fldChar w:fldCharType="end"/>
            </w:r>
          </w:p>
        </w:tc>
        <w:tc>
          <w:tcPr>
            <w:tcW w:w="1301" w:type="dxa"/>
            <w:vAlign w:val="center"/>
          </w:tcPr>
          <w:p w:rsidR="00B1258F" w:rsidRPr="00904FBC" w:rsidRDefault="00B1258F" w:rsidP="00082AA5">
            <w:pPr>
              <w:jc w:val="center"/>
              <w:rPr>
                <w:rFonts w:eastAsia="Times"/>
                <w:sz w:val="16"/>
                <w:szCs w:val="16"/>
              </w:rPr>
            </w:pPr>
            <w:r w:rsidRPr="00904FBC">
              <w:rPr>
                <w:sz w:val="16"/>
                <w:szCs w:val="16"/>
              </w:rPr>
              <w:t>14</w:t>
            </w:r>
          </w:p>
        </w:tc>
        <w:tc>
          <w:tcPr>
            <w:tcW w:w="1470" w:type="dxa"/>
            <w:vAlign w:val="center"/>
          </w:tcPr>
          <w:p w:rsidR="00B1258F" w:rsidRPr="00904FBC" w:rsidRDefault="00B1258F" w:rsidP="00082AA5">
            <w:pPr>
              <w:jc w:val="center"/>
              <w:rPr>
                <w:rFonts w:eastAsia="Times"/>
                <w:sz w:val="16"/>
                <w:szCs w:val="16"/>
              </w:rPr>
            </w:pPr>
            <w:r w:rsidRPr="00904FBC">
              <w:rPr>
                <w:sz w:val="16"/>
                <w:szCs w:val="16"/>
              </w:rPr>
              <w:t>148</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42.9%</w:t>
            </w:r>
          </w:p>
        </w:tc>
        <w:tc>
          <w:tcPr>
            <w:tcW w:w="1532" w:type="dxa"/>
            <w:vAlign w:val="center"/>
          </w:tcPr>
          <w:p w:rsidR="00B1258F" w:rsidRPr="00904FBC" w:rsidRDefault="00B1258F" w:rsidP="00082AA5">
            <w:pPr>
              <w:jc w:val="center"/>
              <w:rPr>
                <w:rFonts w:eastAsia="Times"/>
                <w:sz w:val="16"/>
                <w:szCs w:val="16"/>
              </w:rPr>
            </w:pPr>
            <w:r w:rsidRPr="00904FBC">
              <w:rPr>
                <w:rFonts w:eastAsia="Times"/>
                <w:sz w:val="16"/>
                <w:szCs w:val="16"/>
              </w:rPr>
              <w:t>16.9%</w:t>
            </w:r>
          </w:p>
        </w:tc>
        <w:tc>
          <w:tcPr>
            <w:tcW w:w="1694" w:type="dxa"/>
            <w:vAlign w:val="center"/>
          </w:tcPr>
          <w:p w:rsidR="00B1258F" w:rsidRPr="00904FBC" w:rsidRDefault="00B1258F" w:rsidP="00082AA5">
            <w:pPr>
              <w:jc w:val="center"/>
              <w:rPr>
                <w:rFonts w:eastAsia="Times"/>
                <w:sz w:val="16"/>
                <w:szCs w:val="16"/>
              </w:rPr>
            </w:pPr>
            <w:r w:rsidRPr="00904FBC">
              <w:rPr>
                <w:rFonts w:eastAsia="Times"/>
                <w:sz w:val="16"/>
                <w:szCs w:val="16"/>
              </w:rPr>
              <w:t>26.0%</w:t>
            </w:r>
          </w:p>
        </w:tc>
      </w:tr>
      <w:tr w:rsidR="00B1258F" w:rsidRPr="00904FBC" w:rsidTr="00082AA5">
        <w:trPr>
          <w:trHeight w:val="234"/>
        </w:trPr>
        <w:tc>
          <w:tcPr>
            <w:tcW w:w="2422" w:type="dxa"/>
            <w:vAlign w:val="center"/>
          </w:tcPr>
          <w:p w:rsidR="00B1258F" w:rsidRPr="00904FBC" w:rsidRDefault="00B1258F" w:rsidP="00082AA5">
            <w:pPr>
              <w:rPr>
                <w:rFonts w:eastAsia="Times"/>
                <w:sz w:val="16"/>
                <w:szCs w:val="16"/>
              </w:rPr>
            </w:pPr>
            <w:r w:rsidRPr="00904FBC">
              <w:rPr>
                <w:rFonts w:eastAsia="Times"/>
                <w:sz w:val="16"/>
                <w:szCs w:val="16"/>
              </w:rPr>
              <w:t>Sànchez-Romero et al. 2011</w:t>
            </w:r>
            <w:r w:rsidRPr="00904FBC">
              <w:rPr>
                <w:rFonts w:eastAsia="Times"/>
                <w:sz w:val="16"/>
                <w:szCs w:val="16"/>
              </w:rPr>
              <w:fldChar w:fldCharType="begin" w:fldLock="1"/>
            </w:r>
            <w:r w:rsidRPr="00904FBC">
              <w:rPr>
                <w:rFonts w:eastAsia="Times"/>
                <w:sz w:val="16"/>
                <w:szCs w:val="16"/>
              </w:rPr>
              <w:instrText xml:space="preserve">ADDIN CSL_CITATION {"citationItems":[{"id":"ITEM-1","itemData":{"DOI":"10.1128/AAC.05036-11","ISSN":"00664804","abstract":"&lt;p&gt; We study the epidemiology, molecular basis, clinical risk factors, and outcome involved in the clonal dissemination of VIM-1-producing &lt;named-content content-type=\"genus-species\" type=\"simple\"&gt;Klebsiella pneumoniae&lt;/named-content&gt; isolates in the hospital setting. All patients infected/colonized by carbapenem-nonsusceptible &lt;named-content content-type=\"genus-species\" type=\"simple\"&gt;K. pneumoniae&lt;/named-content&gt; (CNSKP) in 2009 were included. Molecular epidemiology was studied by pulsed-field gel electrophoresis (PFGE) and multilocus sequence typing (MLST). Antibiotic resistance genes were analyzed by PCR and sequencing. Plasmids were studied by PFGE with S1 nuclease digestion and for incompatibility group by a PCR-based replicon typing scheme. Risk factors associated with CNSKP colonization/infection were assessed by an observational case-control study. All 55 patients studied were infected ( &lt;italic&gt;n&lt;/italic&gt; = 28) or colonized ( &lt;italic&gt;n&lt;/italic&gt; = 27) by VIM-1-producing &lt;named-content content-type=\"genus-species\" type=\"simple\"&gt;K. pneumoniae&lt;/named-content&gt; . All but one acquired isolates of a single clone (PFGE cluster 1 [C1], sequence type 15 [ST15]), while another clone (PFGE C2, ST340) was detected in four patients. C1 isolates also produced the new extended-spectrum β-lactamase SHV-134. &lt;italic&gt;bla&lt;/italic&gt; &lt;sub&gt;VIM-1&lt;/sub&gt; was carried in a class 1 integron and an untypeable plasmid of </w:instrText>
            </w:r>
            <w:r>
              <w:rPr>
                <w:rFonts w:ascii="Cambria Math" w:eastAsia="Times" w:hAnsi="Cambria Math" w:cs="Cambria Math"/>
                <w:sz w:val="16"/>
                <w:szCs w:val="16"/>
              </w:rPr>
              <w:instrText>∼</w:instrText>
            </w:r>
            <w:r w:rsidRPr="00904FBC">
              <w:rPr>
                <w:rFonts w:eastAsia="Times"/>
                <w:sz w:val="16"/>
                <w:szCs w:val="16"/>
              </w:rPr>
              <w:instrText>50 bp. The number of days that the patient received mechanical ventilation, the use of parenteral nutrition, previous treatment with linezolid, and treatment with extended-spectrum cephalosporins for more than 7 days were detected to be independent risk factors for CNSKP acquisition. The VIM-1-producing &lt;named-content content-type=\"genus-species\" type=\"simple\"&gt;K. pneumoniae&lt;/named-content&gt; ST15 clone has a high capacity to spread among intensive care unit patients with severe underlying conditions. A high rate of associated mortality and great difficulty in controlling the spread of this clone, without permanent behavioral changes in the personnel, were observed. &lt;/p&gt;","author":[{"dropping-particle":"","family":"Sánchez-Romero","given":"Isabel","non-dropping-particle":"","parse-names":false,"suffix":""},{"dropping-particle":"","family":"Asensio","given":"Ángel","non-dropping-particle":"","parse-names":false,"suffix":""},{"dropping-particle":"","family":"Oteo","given":"Jesús","non-dropping-particle":"","parse-names":false,"suffix":""},{"dropping-particle":"","family":"Muñoz-Algarra","given":"María","non-dropping-particle":"","parse-names":false,"suffix":""},{"dropping-particle":"","family":"Isidoro","given":"Beatriz","non-dropping-particle":"","parse-names":false,"suffix":""},{"dropping-particle":"","family":"Vindel","given":"Ana","non-dropping-particle":"","parse-names":false,"suffix":""},{"dropping-particle":"","family":"Álvarez-Avello","given":"José","non-dropping-particle":"","parse-names":false,"suffix":""},{"dropping-particle":"","family":"Balandín-Moreno","given":"Bárbara","non-dropping-particle":"","parse-names":false,"suffix":""},{"dropping-particle":"","family":"Cuevas","given":"Oscar","non-dropping-particle":"","parse-names":false,"suffix":""},{"dropping-particle":"","family":"Fernández-Romero","given":"Sara","non-dropping-particle":"","parse-names":false,"suffix":""},{"dropping-particle":"","family":"Azañedo","given":"Luisa","non-dropping-particle":"","parse-names":false,"suffix":""},{"dropping-particle":"","family":"Sáez","given":"David","non-dropping-particle":"","parse-names":false,"suffix":""},{"dropping-particle":"","family":"Campos","given":"José","non-dropping-particle":"","parse-names":false,"suffix":""}],"container-title":"Antimicrobial Agents and Chemotherapy","id":"ITEM-1","issue":"1","issued":{"date-parts":[["2012"]]},"page":"420-427","title":"Nosocomial outbreak of VIM-1-producing Klebsiella pneumoniae isolates of multilocus sequence type 15: Molecular basis, clinical risk factors, and outcome","type":"article-journal","volume":"56"},"uris":["http://www.mendeley.com/documents/?uuid=139a4e04-11e6-4d65-9e8a-84e2988ddbf9"]}],"mendeley":{"formattedCitation":"&lt;sup&gt;37&lt;/sup&gt;","plainTextFormattedCitation":"37","previouslyFormattedCitation":"&lt;sup&gt;37&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37</w:t>
            </w:r>
            <w:r w:rsidRPr="00904FBC">
              <w:rPr>
                <w:rFonts w:eastAsia="Times"/>
                <w:sz w:val="16"/>
                <w:szCs w:val="16"/>
              </w:rPr>
              <w:fldChar w:fldCharType="end"/>
            </w:r>
          </w:p>
        </w:tc>
        <w:tc>
          <w:tcPr>
            <w:tcW w:w="1301" w:type="dxa"/>
            <w:vAlign w:val="center"/>
          </w:tcPr>
          <w:p w:rsidR="00B1258F" w:rsidRPr="00904FBC" w:rsidRDefault="00B1258F" w:rsidP="00082AA5">
            <w:pPr>
              <w:jc w:val="center"/>
              <w:rPr>
                <w:rFonts w:eastAsia="Times"/>
                <w:sz w:val="16"/>
                <w:szCs w:val="16"/>
              </w:rPr>
            </w:pPr>
            <w:r w:rsidRPr="00904FBC">
              <w:rPr>
                <w:sz w:val="16"/>
                <w:szCs w:val="16"/>
              </w:rPr>
              <w:t>28</w:t>
            </w:r>
          </w:p>
        </w:tc>
        <w:tc>
          <w:tcPr>
            <w:tcW w:w="1470" w:type="dxa"/>
            <w:vAlign w:val="center"/>
          </w:tcPr>
          <w:p w:rsidR="00B1258F" w:rsidRPr="00904FBC" w:rsidRDefault="00B1258F" w:rsidP="00082AA5">
            <w:pPr>
              <w:jc w:val="center"/>
              <w:rPr>
                <w:rFonts w:eastAsia="Times"/>
                <w:sz w:val="16"/>
                <w:szCs w:val="16"/>
              </w:rPr>
            </w:pPr>
            <w:r w:rsidRPr="00904FBC">
              <w:rPr>
                <w:sz w:val="16"/>
                <w:szCs w:val="16"/>
              </w:rPr>
              <w:t>55</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46.4%</w:t>
            </w:r>
          </w:p>
        </w:tc>
        <w:tc>
          <w:tcPr>
            <w:tcW w:w="1532" w:type="dxa"/>
            <w:vAlign w:val="center"/>
          </w:tcPr>
          <w:p w:rsidR="00B1258F" w:rsidRPr="00904FBC" w:rsidRDefault="00B1258F" w:rsidP="00082AA5">
            <w:pPr>
              <w:jc w:val="center"/>
              <w:rPr>
                <w:rFonts w:eastAsia="Times"/>
                <w:sz w:val="16"/>
                <w:szCs w:val="16"/>
              </w:rPr>
            </w:pPr>
            <w:r w:rsidRPr="00904FBC">
              <w:rPr>
                <w:rFonts w:eastAsia="Times"/>
                <w:sz w:val="16"/>
                <w:szCs w:val="16"/>
              </w:rPr>
              <w:t>30.9%</w:t>
            </w:r>
          </w:p>
        </w:tc>
        <w:tc>
          <w:tcPr>
            <w:tcW w:w="1694" w:type="dxa"/>
            <w:vAlign w:val="center"/>
          </w:tcPr>
          <w:p w:rsidR="00B1258F" w:rsidRPr="00904FBC" w:rsidRDefault="00B1258F" w:rsidP="00082AA5">
            <w:pPr>
              <w:jc w:val="center"/>
              <w:rPr>
                <w:rFonts w:eastAsia="Times"/>
                <w:sz w:val="16"/>
                <w:szCs w:val="16"/>
              </w:rPr>
            </w:pPr>
            <w:r w:rsidRPr="00904FBC">
              <w:rPr>
                <w:rFonts w:eastAsia="Times"/>
                <w:sz w:val="16"/>
                <w:szCs w:val="16"/>
              </w:rPr>
              <w:t>15.5%</w:t>
            </w:r>
          </w:p>
        </w:tc>
      </w:tr>
      <w:tr w:rsidR="00B1258F" w:rsidRPr="00904FBC" w:rsidTr="00082AA5">
        <w:trPr>
          <w:trHeight w:val="234"/>
        </w:trPr>
        <w:tc>
          <w:tcPr>
            <w:tcW w:w="9889" w:type="dxa"/>
            <w:gridSpan w:val="6"/>
            <w:shd w:val="clear" w:color="auto" w:fill="E2EFD9"/>
            <w:vAlign w:val="center"/>
          </w:tcPr>
          <w:p w:rsidR="00B1258F" w:rsidRPr="00904FBC" w:rsidRDefault="00B1258F" w:rsidP="00082AA5">
            <w:pPr>
              <w:jc w:val="center"/>
              <w:rPr>
                <w:rFonts w:eastAsia="Times"/>
                <w:sz w:val="16"/>
                <w:szCs w:val="16"/>
              </w:rPr>
            </w:pPr>
            <w:r w:rsidRPr="00904FBC">
              <w:rPr>
                <w:rFonts w:eastAsia="Times"/>
                <w:sz w:val="16"/>
                <w:szCs w:val="16"/>
              </w:rPr>
              <w:t>28-Day</w:t>
            </w:r>
          </w:p>
        </w:tc>
      </w:tr>
      <w:tr w:rsidR="00B1258F" w:rsidRPr="00904FBC" w:rsidTr="00082AA5">
        <w:trPr>
          <w:trHeight w:val="234"/>
        </w:trPr>
        <w:tc>
          <w:tcPr>
            <w:tcW w:w="2422" w:type="dxa"/>
            <w:vAlign w:val="center"/>
          </w:tcPr>
          <w:p w:rsidR="00B1258F" w:rsidRPr="00904FBC" w:rsidRDefault="00B1258F" w:rsidP="00082AA5">
            <w:pPr>
              <w:rPr>
                <w:rFonts w:eastAsia="Times"/>
                <w:sz w:val="16"/>
                <w:szCs w:val="16"/>
              </w:rPr>
            </w:pPr>
            <w:r w:rsidRPr="00904FBC">
              <w:rPr>
                <w:rFonts w:eastAsia="Times"/>
                <w:sz w:val="16"/>
                <w:szCs w:val="16"/>
              </w:rPr>
              <w:t>Qureshi et al. 2012</w:t>
            </w:r>
            <w:r w:rsidRPr="00904FBC">
              <w:rPr>
                <w:rFonts w:eastAsia="Times"/>
                <w:sz w:val="16"/>
                <w:szCs w:val="16"/>
              </w:rPr>
              <w:fldChar w:fldCharType="begin" w:fldLock="1"/>
            </w:r>
            <w:r w:rsidRPr="00904FBC">
              <w:rPr>
                <w:rFonts w:eastAsia="Times"/>
                <w:sz w:val="16"/>
                <w:szCs w:val="16"/>
              </w:rPr>
              <w:instrText>ADDIN CSL_CITATION {"citationItems":[{"id":"ITEM-1","itemData":{"DOI":"10.1111/j.1469-0691.2011.03658.x","ISBN":"1469-0691 (Electronic)\\r1198-743X (Linking)","ISSN":"14690691","PMID":"21951551","abstract":"Clin Microbiol Infect 2012; 18: 887-893 ABSTRACT: A multicentre, case-control study was conducted to assess risk factors and patient outcomes of bacteraemia caused by Enterobacteriaceae producing extended-spectrum β-lactamases (ESBLs) and Klebsiella pneumoniae carbapenemases (KPCs). One hundred and five and 20 patients with bacteraemia caused by ESBL-producing and KPC-producing organisms were matched to controls who had bacteraemia caused by non-ESBL/KPC-producing organisms, respectively. Independent risk factors for ESBL production included admission from a nursing home (OR 4.64; 95% CI 2.64-8.16), chronic renal failure (OR 2.09; 95% CI 1.11-3.92), the presence of a gastrostomy tube (OR 3.36; 95% CI 1.38-8.18), length of hospital stay before infection (OR 1.02; 95% CI 1.01-1.03), transplant receipt (OR 2.48; 95% CI 1.24-4.95), and receipt of antibiotics with Gram-negative activity in the preceding 30 days (OR 1.76; 95% CI 1.00-3.08). Twenty-eight-day crude mortality rates for patients infected with ESBL-producing or KPC-producing organisms and controls were 29.1% (34/117) and 19.5% (53/272), respectively (OR 1.70; 95% CI 1.04-2.80). On multivariate analysis, inadequate empirical therapy (OR 2.26; 95% CI 1.18-4.34), onset of bacteraemia while in the intensive-care unit (OR 2.74; 95% CI 1.47-5.11), Apache II score (OR 1.17; 95% CI 1.12-1.23) and malignancy (OR 2.66; 95% CI 1.31-5.41) were independent risk factors for mortality. CTX-M was the most common ESBL type in Escherichia coli, whereas SHV predominated in Klebsiella spp. and Enterobacter spp.","author":[{"dropping-particle":"","family":"Qureshi","given":"Z. A.","non-dropping-particle":"","parse-names":false,"suffix":""},{"dropping-particle":"","family":"Paterson","given":"D. L.","non-dropping-particle":"","parse-names":false,"suffix":""},{"dropping-particle":"","family":"Peleg","given":"A. Y.","non-dropping-particle":"","parse-names":false,"suffix":""},{"dropping-particle":"","family":"Adams-Haduch","given":"J. M.","non-dropping-particle":"","parse-names":false,"suffix":""},{"dropping-particle":"","family":"Shutt","given":"K. A.","non-dropping-particle":"","parse-names":false,"suffix":""},{"dropping-particle":"","family":"Pakstis","given":"D. L.","non-dropping-particle":"","parse-names":false,"suffix":""},{"dropping-particle":"","family":"Sordillo","given":"E.","non-dropping-particle":"","parse-names":false,"suffix":""},{"dropping-particle":"","family":"Polsky","given":"B.","non-dropping-particle":"","parse-names":false,"suffix":""},{"dropping-particle":"","family":"Sandkovsky","given":"G.","non-dropping-particle":"","parse-names":false,"suffix":""},{"dropping-particle":"","family":"Bhussar","given":"M. K.","non-dropping-particle":"","parse-names":false,"suffix":""},{"dropping-particle":"","family":"Doi","given":"Y.","non-dropping-particle":"","parse-names":false,"suffix":""}],"container-title":"Clinical Microbiology and Infection","id":"ITEM-1","issue":"9","issued":{"date-parts":[["2012"]]},"page":"887-893","publisher":"European Society of Clinical Infectious Diseases","title":"Clinical characteristics of bacteraemia caused by extended-spectrum β-lactamase-producing Enterobacteriaceae in the era of CTX-M-type and KPC-type β-lactamases","type":"article-journal","volume":"18"},"uris":["http://www.mendeley.com/documents/?uuid=6fd6c5c1-94b0-4d5d-ad46-7515e517d747"]}],"mendeley":{"formattedCitation":"&lt;sup&gt;36&lt;/sup&gt;","plainTextFormattedCitation":"36","previouslyFormattedCitation":"&lt;sup&gt;36&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36</w:t>
            </w:r>
            <w:r w:rsidRPr="00904FBC">
              <w:rPr>
                <w:rFonts w:eastAsia="Times"/>
                <w:sz w:val="16"/>
                <w:szCs w:val="16"/>
              </w:rPr>
              <w:fldChar w:fldCharType="end"/>
            </w:r>
          </w:p>
        </w:tc>
        <w:tc>
          <w:tcPr>
            <w:tcW w:w="1301" w:type="dxa"/>
            <w:vAlign w:val="center"/>
          </w:tcPr>
          <w:p w:rsidR="00B1258F" w:rsidRPr="00904FBC" w:rsidRDefault="00B1258F" w:rsidP="00082AA5">
            <w:pPr>
              <w:jc w:val="center"/>
              <w:rPr>
                <w:rFonts w:eastAsia="Times"/>
                <w:sz w:val="16"/>
                <w:szCs w:val="16"/>
              </w:rPr>
            </w:pPr>
            <w:r w:rsidRPr="00904FBC">
              <w:rPr>
                <w:sz w:val="16"/>
                <w:szCs w:val="16"/>
              </w:rPr>
              <w:t>19</w:t>
            </w:r>
          </w:p>
        </w:tc>
        <w:tc>
          <w:tcPr>
            <w:tcW w:w="1470" w:type="dxa"/>
            <w:vAlign w:val="center"/>
          </w:tcPr>
          <w:p w:rsidR="00B1258F" w:rsidRPr="00904FBC" w:rsidRDefault="00B1258F" w:rsidP="00082AA5">
            <w:pPr>
              <w:jc w:val="center"/>
              <w:rPr>
                <w:rFonts w:eastAsia="Times"/>
                <w:sz w:val="16"/>
                <w:szCs w:val="16"/>
              </w:rPr>
            </w:pPr>
            <w:r w:rsidRPr="00904FBC">
              <w:rPr>
                <w:sz w:val="16"/>
                <w:szCs w:val="16"/>
              </w:rPr>
              <w:t>51</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47.4%</w:t>
            </w:r>
          </w:p>
        </w:tc>
        <w:tc>
          <w:tcPr>
            <w:tcW w:w="1532" w:type="dxa"/>
            <w:vAlign w:val="center"/>
          </w:tcPr>
          <w:p w:rsidR="00B1258F" w:rsidRPr="00904FBC" w:rsidRDefault="00B1258F" w:rsidP="00082AA5">
            <w:pPr>
              <w:jc w:val="center"/>
              <w:rPr>
                <w:rFonts w:eastAsia="Times"/>
                <w:sz w:val="16"/>
                <w:szCs w:val="16"/>
              </w:rPr>
            </w:pPr>
            <w:r w:rsidRPr="00904FBC">
              <w:rPr>
                <w:rFonts w:eastAsia="Times"/>
                <w:sz w:val="16"/>
                <w:szCs w:val="16"/>
              </w:rPr>
              <w:t>27.5%</w:t>
            </w:r>
          </w:p>
        </w:tc>
        <w:tc>
          <w:tcPr>
            <w:tcW w:w="1694" w:type="dxa"/>
            <w:vAlign w:val="center"/>
          </w:tcPr>
          <w:p w:rsidR="00B1258F" w:rsidRPr="00904FBC" w:rsidRDefault="00B1258F" w:rsidP="00082AA5">
            <w:pPr>
              <w:jc w:val="center"/>
              <w:rPr>
                <w:rFonts w:eastAsia="Times"/>
                <w:sz w:val="16"/>
                <w:szCs w:val="16"/>
              </w:rPr>
            </w:pPr>
            <w:r w:rsidRPr="00904FBC">
              <w:rPr>
                <w:rFonts w:eastAsia="Times"/>
                <w:sz w:val="16"/>
                <w:szCs w:val="16"/>
              </w:rPr>
              <w:t>19.9%</w:t>
            </w:r>
          </w:p>
        </w:tc>
      </w:tr>
      <w:tr w:rsidR="00B1258F" w:rsidRPr="00904FBC" w:rsidTr="00082AA5">
        <w:trPr>
          <w:trHeight w:val="234"/>
        </w:trPr>
        <w:tc>
          <w:tcPr>
            <w:tcW w:w="9889" w:type="dxa"/>
            <w:gridSpan w:val="6"/>
            <w:shd w:val="clear" w:color="auto" w:fill="E2EFD9"/>
            <w:vAlign w:val="center"/>
          </w:tcPr>
          <w:p w:rsidR="00B1258F" w:rsidRPr="00904FBC" w:rsidRDefault="00B1258F" w:rsidP="00082AA5">
            <w:pPr>
              <w:jc w:val="center"/>
              <w:rPr>
                <w:rFonts w:eastAsia="Times"/>
                <w:sz w:val="16"/>
                <w:szCs w:val="16"/>
              </w:rPr>
            </w:pPr>
            <w:r w:rsidRPr="00904FBC">
              <w:rPr>
                <w:rFonts w:eastAsia="Times"/>
                <w:sz w:val="16"/>
                <w:szCs w:val="16"/>
              </w:rPr>
              <w:t>30-Day</w:t>
            </w:r>
          </w:p>
        </w:tc>
      </w:tr>
      <w:tr w:rsidR="00B1258F" w:rsidRPr="00904FBC" w:rsidTr="00082AA5">
        <w:trPr>
          <w:trHeight w:val="234"/>
        </w:trPr>
        <w:tc>
          <w:tcPr>
            <w:tcW w:w="2422" w:type="dxa"/>
            <w:vAlign w:val="center"/>
          </w:tcPr>
          <w:p w:rsidR="00B1258F" w:rsidRPr="00904FBC" w:rsidRDefault="00B1258F" w:rsidP="00082AA5">
            <w:pPr>
              <w:rPr>
                <w:rFonts w:eastAsia="Times"/>
                <w:sz w:val="16"/>
                <w:szCs w:val="16"/>
              </w:rPr>
            </w:pPr>
            <w:r w:rsidRPr="00904FBC">
              <w:rPr>
                <w:rFonts w:eastAsia="Times"/>
                <w:sz w:val="16"/>
                <w:szCs w:val="16"/>
              </w:rPr>
              <w:t>López-González et al. 2017</w:t>
            </w:r>
            <w:r w:rsidRPr="00904FBC">
              <w:rPr>
                <w:rFonts w:eastAsia="Times"/>
                <w:sz w:val="16"/>
                <w:szCs w:val="16"/>
              </w:rPr>
              <w:fldChar w:fldCharType="begin" w:fldLock="1"/>
            </w:r>
            <w:r w:rsidRPr="00904FBC">
              <w:rPr>
                <w:rFonts w:eastAsia="Times"/>
                <w:sz w:val="16"/>
                <w:szCs w:val="16"/>
              </w:rPr>
              <w:instrText>ADDIN CSL_CITATION {"citationItems":[{"id":"ITEM-1","itemData":{"abstract":"Objective. The aim of this study is to know epidemiologic and clinical differences among those patients colonized or infected by carbapenemase-producing Enterobacteriaceae (CPE) and develop a predictive model to facilitate the clinical approach concerning to start antimicrobial therapy. Methods. Observational retrospective cohort study was performed involving all patients with Urine carbapenemase- producing Enterobacteriaceae isolation (UCPEI) between November 2013 and July 2015. Patients were classifieds as colonized or infected considering Center for Disease Control and Prevention (CDC) definition for urinary tract infection (UTI). Results. A total of 72 patients were included, mean age 76.4 (IQR 23-99) years and 40 (55.6%) were women. Thirty-four (47.2%) were colonized and 38 (52.8%) met the criteria of UTI and were considered infected. The independent variables associated to infection were female sex, peripheral vascular disease, admission in medical ward, permanent urinary catheter carrier, previous antimicrobial therapy, and length of stay. Isolation of OXA-48 carbapenemase- producing Enterobacteriaceae behaved as a non UTI (colonization) factor in comparison with KPC or VIM CPE. The developed predictive model showed an area under the curve (AUC) of 0.901 (95% CI: 0.832-0.970; p &lt; 0.001). Conclusion. The predictive model that includes all this factors has demonstrated a good accuracy for infection diagnosis in these patients, an important issue considering that establishing the diagnosis of infection is not always easy in the profile of patients in which a CPE is isolated.Copyright © The Author 2017. Published by Sociedad Espanola de Quimioterapia. All rights reserved.","author":[{"dropping-particle":"","family":"Lopez-Gonzalez","given":"Laura","non-dropping-particle":"","parse-names":false,"suffix":""},{"dropping-particle":"","family":"Candel","given":"Francisco","non-dropping-particle":"","parse-names":false,"suffix":""},{"dropping-particle":"","family":"Vinuela-Prieto","given":"Jose","non-dropping-particle":"","parse-names":false,"suffix":""},{"dropping-particle":"","family":"Gonzalez-Del Castillo","given":"Juan","non-dropping-particle":"","parse-names":false,"suffix":""},{"dropping-particle":"","family":"Garcia","given":"Ana","non-dropping-particle":"","parse-names":false,"suffix":""},{"dropping-particle":"","family":"Pena","given":"Irene","non-dropping-particle":"","parse-names":false,"suffix":""},{"dropping-particle":"","family":"Rodriguez-Avail","given":"Iciar","non-dropping-particle":"","parse-names":false,"suffix":""}],"container-title":"Revista Espanola de Quimioterapia","id":"ITEM-1","issue":"6","issued":{"date-parts":[["2017"]]},"page":"450-457","title":"Useful independent factors for distinguish infection and colonization in patients with urinary carbapenemase-producing Enterobacteriaceae isolation","type":"article-journal","volume":"30"},"uris":["http://www.mendeley.com/documents/?uuid=3d965463-4211-4725-8a11-fec67539bf07"]}],"mendeley":{"formattedCitation":"&lt;sup&gt;31&lt;/sup&gt;","plainTextFormattedCitation":"31","previouslyFormattedCitation":"&lt;sup&gt;31&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31</w:t>
            </w:r>
            <w:r w:rsidRPr="00904FBC">
              <w:rPr>
                <w:rFonts w:eastAsia="Times"/>
                <w:sz w:val="16"/>
                <w:szCs w:val="16"/>
              </w:rPr>
              <w:fldChar w:fldCharType="end"/>
            </w:r>
          </w:p>
        </w:tc>
        <w:tc>
          <w:tcPr>
            <w:tcW w:w="1301" w:type="dxa"/>
            <w:vAlign w:val="center"/>
          </w:tcPr>
          <w:p w:rsidR="00B1258F" w:rsidRPr="00904FBC" w:rsidRDefault="00B1258F" w:rsidP="00082AA5">
            <w:pPr>
              <w:jc w:val="center"/>
              <w:rPr>
                <w:rFonts w:eastAsia="Times"/>
                <w:sz w:val="16"/>
                <w:szCs w:val="16"/>
              </w:rPr>
            </w:pPr>
            <w:r w:rsidRPr="00904FBC">
              <w:rPr>
                <w:sz w:val="16"/>
                <w:szCs w:val="16"/>
              </w:rPr>
              <w:t>38</w:t>
            </w:r>
          </w:p>
        </w:tc>
        <w:tc>
          <w:tcPr>
            <w:tcW w:w="1470" w:type="dxa"/>
            <w:vAlign w:val="center"/>
          </w:tcPr>
          <w:p w:rsidR="00B1258F" w:rsidRPr="00904FBC" w:rsidRDefault="00B1258F" w:rsidP="00082AA5">
            <w:pPr>
              <w:jc w:val="center"/>
              <w:rPr>
                <w:rFonts w:eastAsia="Times"/>
                <w:sz w:val="16"/>
                <w:szCs w:val="16"/>
              </w:rPr>
            </w:pPr>
            <w:r w:rsidRPr="00904FBC">
              <w:rPr>
                <w:sz w:val="16"/>
                <w:szCs w:val="16"/>
              </w:rPr>
              <w:t>34</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34.2%</w:t>
            </w:r>
          </w:p>
        </w:tc>
        <w:tc>
          <w:tcPr>
            <w:tcW w:w="1532" w:type="dxa"/>
            <w:vAlign w:val="center"/>
          </w:tcPr>
          <w:p w:rsidR="00B1258F" w:rsidRPr="00904FBC" w:rsidRDefault="00B1258F" w:rsidP="00082AA5">
            <w:pPr>
              <w:jc w:val="center"/>
              <w:rPr>
                <w:rFonts w:eastAsia="Times"/>
                <w:sz w:val="16"/>
                <w:szCs w:val="16"/>
              </w:rPr>
            </w:pPr>
            <w:r w:rsidRPr="00904FBC">
              <w:rPr>
                <w:rFonts w:eastAsia="Times"/>
                <w:sz w:val="16"/>
                <w:szCs w:val="16"/>
              </w:rPr>
              <w:t>11.8%</w:t>
            </w:r>
          </w:p>
        </w:tc>
        <w:tc>
          <w:tcPr>
            <w:tcW w:w="1694" w:type="dxa"/>
            <w:vAlign w:val="center"/>
          </w:tcPr>
          <w:p w:rsidR="00B1258F" w:rsidRPr="00904FBC" w:rsidRDefault="00B1258F" w:rsidP="00082AA5">
            <w:pPr>
              <w:jc w:val="center"/>
              <w:rPr>
                <w:rFonts w:eastAsia="Times"/>
                <w:sz w:val="16"/>
                <w:szCs w:val="16"/>
              </w:rPr>
            </w:pPr>
            <w:r w:rsidRPr="00904FBC">
              <w:rPr>
                <w:rFonts w:eastAsia="Times"/>
                <w:sz w:val="16"/>
                <w:szCs w:val="16"/>
              </w:rPr>
              <w:t>22.4%</w:t>
            </w:r>
          </w:p>
        </w:tc>
      </w:tr>
      <w:tr w:rsidR="00B1258F" w:rsidRPr="00904FBC" w:rsidTr="00082AA5">
        <w:trPr>
          <w:trHeight w:val="234"/>
        </w:trPr>
        <w:tc>
          <w:tcPr>
            <w:tcW w:w="9889" w:type="dxa"/>
            <w:gridSpan w:val="6"/>
            <w:shd w:val="clear" w:color="auto" w:fill="E2EFD9"/>
            <w:vAlign w:val="center"/>
          </w:tcPr>
          <w:p w:rsidR="00B1258F" w:rsidRPr="00904FBC" w:rsidRDefault="00B1258F" w:rsidP="00082AA5">
            <w:pPr>
              <w:jc w:val="center"/>
              <w:rPr>
                <w:rFonts w:eastAsia="Times"/>
                <w:sz w:val="16"/>
                <w:szCs w:val="16"/>
              </w:rPr>
            </w:pPr>
            <w:r w:rsidRPr="00904FBC">
              <w:rPr>
                <w:rFonts w:eastAsia="Times"/>
                <w:sz w:val="16"/>
                <w:szCs w:val="16"/>
              </w:rPr>
              <w:t>90-Day</w:t>
            </w:r>
          </w:p>
        </w:tc>
      </w:tr>
      <w:tr w:rsidR="00B1258F" w:rsidRPr="00904FBC" w:rsidTr="00082AA5">
        <w:trPr>
          <w:trHeight w:val="234"/>
        </w:trPr>
        <w:tc>
          <w:tcPr>
            <w:tcW w:w="2422" w:type="dxa"/>
            <w:vAlign w:val="center"/>
          </w:tcPr>
          <w:p w:rsidR="00B1258F" w:rsidRPr="00904FBC" w:rsidRDefault="00B1258F" w:rsidP="00082AA5">
            <w:pPr>
              <w:rPr>
                <w:rFonts w:eastAsia="Times"/>
                <w:sz w:val="16"/>
                <w:szCs w:val="16"/>
              </w:rPr>
            </w:pPr>
            <w:r w:rsidRPr="00904FBC">
              <w:rPr>
                <w:rFonts w:eastAsia="Times"/>
                <w:sz w:val="16"/>
                <w:szCs w:val="16"/>
              </w:rPr>
              <w:t>López-González et al. 2017</w:t>
            </w:r>
            <w:r w:rsidRPr="00904FBC">
              <w:rPr>
                <w:rFonts w:eastAsia="Times"/>
                <w:sz w:val="16"/>
                <w:szCs w:val="16"/>
              </w:rPr>
              <w:fldChar w:fldCharType="begin" w:fldLock="1"/>
            </w:r>
            <w:r w:rsidRPr="00904FBC">
              <w:rPr>
                <w:rFonts w:eastAsia="Times"/>
                <w:sz w:val="16"/>
                <w:szCs w:val="16"/>
              </w:rPr>
              <w:instrText>ADDIN CSL_CITATION {"citationItems":[{"id":"ITEM-1","itemData":{"abstract":"Objective. The aim of this study is to know epidemiologic and clinical differences among those patients colonized or infected by carbapenemase-producing Enterobacteriaceae (CPE) and develop a predictive model to facilitate the clinical approach concerning to start antimicrobial therapy. Methods. Observational retrospective cohort study was performed involving all patients with Urine carbapenemase- producing Enterobacteriaceae isolation (UCPEI) between November 2013 and July 2015. Patients were classifieds as colonized or infected considering Center for Disease Control and Prevention (CDC) definition for urinary tract infection (UTI). Results. A total of 72 patients were included, mean age 76.4 (IQR 23-99) years and 40 (55.6%) were women. Thirty-four (47.2%) were colonized and 38 (52.8%) met the criteria of UTI and were considered infected. The independent variables associated to infection were female sex, peripheral vascular disease, admission in medical ward, permanent urinary catheter carrier, previous antimicrobial therapy, and length of stay. Isolation of OXA-48 carbapenemase- producing Enterobacteriaceae behaved as a non UTI (colonization) factor in comparison with KPC or VIM CPE. The developed predictive model showed an area under the curve (AUC) of 0.901 (95% CI: 0.832-0.970; p &lt; 0.001). Conclusion. The predictive model that includes all this factors has demonstrated a good accuracy for infection diagnosis in these patients, an important issue considering that establishing the diagnosis of infection is not always easy in the profile of patients in which a CPE is isolated.Copyright © The Author 2017. Published by Sociedad Espanola de Quimioterapia. All rights reserved.","author":[{"dropping-particle":"","family":"Lopez-Gonzalez","given":"Laura","non-dropping-particle":"","parse-names":false,"suffix":""},{"dropping-particle":"","family":"Candel","given":"Francisco","non-dropping-particle":"","parse-names":false,"suffix":""},{"dropping-particle":"","family":"Vinuela-Prieto","given":"Jose","non-dropping-particle":"","parse-names":false,"suffix":""},{"dropping-particle":"","family":"Gonzalez-Del Castillo","given":"Juan","non-dropping-particle":"","parse-names":false,"suffix":""},{"dropping-particle":"","family":"Garcia","given":"Ana","non-dropping-particle":"","parse-names":false,"suffix":""},{"dropping-particle":"","family":"Pena","given":"Irene","non-dropping-particle":"","parse-names":false,"suffix":""},{"dropping-particle":"","family":"Rodriguez-Avail","given":"Iciar","non-dropping-particle":"","parse-names":false,"suffix":""}],"container-title":"Revista Espanola de Quimioterapia","id":"ITEM-1","issue":"6","issued":{"date-parts":[["2017"]]},"page":"450-457","title":"Useful independent factors for distinguish infection and colonization in patients with urinary carbapenemase-producing Enterobacteriaceae isolation","type":"article-journal","volume":"30"},"uris":["http://www.mendeley.com/documents/?uuid=3d965463-4211-4725-8a11-fec67539bf07"]}],"mendeley":{"formattedCitation":"&lt;sup&gt;31&lt;/sup&gt;","plainTextFormattedCitation":"31","previouslyFormattedCitation":"&lt;sup&gt;31&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31</w:t>
            </w:r>
            <w:r w:rsidRPr="00904FBC">
              <w:rPr>
                <w:rFonts w:eastAsia="Times"/>
                <w:sz w:val="16"/>
                <w:szCs w:val="16"/>
              </w:rPr>
              <w:fldChar w:fldCharType="end"/>
            </w:r>
          </w:p>
        </w:tc>
        <w:tc>
          <w:tcPr>
            <w:tcW w:w="1301" w:type="dxa"/>
            <w:vAlign w:val="center"/>
          </w:tcPr>
          <w:p w:rsidR="00B1258F" w:rsidRPr="00904FBC" w:rsidRDefault="00B1258F" w:rsidP="00082AA5">
            <w:pPr>
              <w:jc w:val="center"/>
              <w:rPr>
                <w:rFonts w:eastAsia="Times"/>
                <w:sz w:val="16"/>
                <w:szCs w:val="16"/>
              </w:rPr>
            </w:pPr>
            <w:r w:rsidRPr="00904FBC">
              <w:rPr>
                <w:sz w:val="16"/>
                <w:szCs w:val="16"/>
              </w:rPr>
              <w:t>38</w:t>
            </w:r>
          </w:p>
        </w:tc>
        <w:tc>
          <w:tcPr>
            <w:tcW w:w="1470" w:type="dxa"/>
            <w:vAlign w:val="center"/>
          </w:tcPr>
          <w:p w:rsidR="00B1258F" w:rsidRPr="00904FBC" w:rsidRDefault="00B1258F" w:rsidP="00082AA5">
            <w:pPr>
              <w:jc w:val="center"/>
              <w:rPr>
                <w:rFonts w:eastAsia="Times"/>
                <w:sz w:val="16"/>
                <w:szCs w:val="16"/>
              </w:rPr>
            </w:pPr>
            <w:r w:rsidRPr="00904FBC">
              <w:rPr>
                <w:sz w:val="16"/>
                <w:szCs w:val="16"/>
              </w:rPr>
              <w:t>34</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18.4%</w:t>
            </w:r>
          </w:p>
        </w:tc>
        <w:tc>
          <w:tcPr>
            <w:tcW w:w="1532" w:type="dxa"/>
            <w:vAlign w:val="center"/>
          </w:tcPr>
          <w:p w:rsidR="00B1258F" w:rsidRPr="00904FBC" w:rsidRDefault="00B1258F" w:rsidP="00082AA5">
            <w:pPr>
              <w:jc w:val="center"/>
              <w:rPr>
                <w:rFonts w:eastAsia="Times"/>
                <w:sz w:val="16"/>
                <w:szCs w:val="16"/>
              </w:rPr>
            </w:pPr>
            <w:r w:rsidRPr="00904FBC">
              <w:rPr>
                <w:rFonts w:eastAsia="Times"/>
                <w:sz w:val="16"/>
                <w:szCs w:val="16"/>
              </w:rPr>
              <w:t>8.8%</w:t>
            </w:r>
          </w:p>
        </w:tc>
        <w:tc>
          <w:tcPr>
            <w:tcW w:w="1694" w:type="dxa"/>
            <w:vAlign w:val="center"/>
          </w:tcPr>
          <w:p w:rsidR="00B1258F" w:rsidRPr="00904FBC" w:rsidRDefault="00B1258F" w:rsidP="00082AA5">
            <w:pPr>
              <w:jc w:val="center"/>
              <w:rPr>
                <w:rFonts w:eastAsia="Times"/>
                <w:sz w:val="16"/>
                <w:szCs w:val="16"/>
              </w:rPr>
            </w:pPr>
            <w:r w:rsidRPr="00904FBC">
              <w:rPr>
                <w:rFonts w:eastAsia="Times"/>
                <w:sz w:val="16"/>
                <w:szCs w:val="16"/>
              </w:rPr>
              <w:t>9.6%</w:t>
            </w:r>
          </w:p>
        </w:tc>
      </w:tr>
      <w:tr w:rsidR="00B1258F" w:rsidRPr="00904FBC" w:rsidTr="00082AA5">
        <w:trPr>
          <w:trHeight w:val="234"/>
        </w:trPr>
        <w:tc>
          <w:tcPr>
            <w:tcW w:w="2422" w:type="dxa"/>
            <w:vAlign w:val="center"/>
          </w:tcPr>
          <w:p w:rsidR="00B1258F" w:rsidRPr="00904FBC" w:rsidRDefault="00B1258F" w:rsidP="00082AA5">
            <w:pPr>
              <w:rPr>
                <w:rFonts w:eastAsia="Times"/>
                <w:sz w:val="16"/>
                <w:szCs w:val="16"/>
              </w:rPr>
            </w:pPr>
            <w:r w:rsidRPr="00904FBC">
              <w:rPr>
                <w:rFonts w:eastAsia="Times"/>
                <w:sz w:val="16"/>
                <w:szCs w:val="16"/>
              </w:rPr>
              <w:t>Tascini et al. 2015</w:t>
            </w:r>
            <w:r w:rsidRPr="00904FBC">
              <w:rPr>
                <w:rFonts w:eastAsia="Times"/>
                <w:sz w:val="16"/>
                <w:szCs w:val="16"/>
              </w:rPr>
              <w:fldChar w:fldCharType="begin" w:fldLock="1"/>
            </w:r>
            <w:r w:rsidRPr="00904FBC">
              <w:rPr>
                <w:rFonts w:eastAsia="Times"/>
                <w:sz w:val="16"/>
                <w:szCs w:val="16"/>
              </w:rPr>
              <w:instrText>ADDIN CSL_CITATION {"citationItems":[{"id":"ITEM-1","itemData":{"DOI":"10.1016/j.cmi.2015.04.010","ISSN":"14690691","PMID":"25911991","abstract":"To evaluate the relationship between carbapenemase-producing Klebsiella pneumoniae (KPC-Kp) gut colonization and mortality in diabetic patients with a foot infection (DFI) we performed a single-centre, retrospective, matched case-control study. In the study period, we identified 21 patients with DFI who had KPC-Kp gut colonization and 21 controls. The 90-day mortality rate was significantly higher in patients with colonized guts (47%) than the controls (4%) (p 0.013). A multivariate analysis demonstrated that gut colonization with KPC-Kp was the only independent predictor of mortality: odds ratio 13.33, 95% CI 1.90-272.80, p 0.024. In patients with DFI, KPC-Kp gut colonization appears to be an important risk factor for mortality.","author":[{"dropping-particle":"","family":"Tascini","given":"C.","non-dropping-particle":"","parse-names":false,"suffix":""},{"dropping-particle":"","family":"Lipsky","given":"B. A.","non-dropping-particle":"","parse-names":false,"suffix":""},{"dropping-particle":"","family":"Iacopi","given":"E.","non-dropping-particle":"","parse-names":false,"suffix":""},{"dropping-particle":"","family":"Ripoli","given":"A.","non-dropping-particle":"","parse-names":false,"suffix":""},{"dropping-particle":"","family":"Sbrana","given":"F.","non-dropping-particle":"","parse-names":false,"suffix":""},{"dropping-particle":"","family":"Coppelli","given":"A.","non-dropping-particle":"","parse-names":false,"suffix":""},{"dropping-particle":"","family":"Goretti","given":"C.","non-dropping-particle":"","parse-names":false,"suffix":""},{"dropping-particle":"","family":"Piaggesi","given":"A.","non-dropping-particle":"","parse-names":false,"suffix":""},{"dropping-particle":"","family":"Menichetti","given":"F.","non-dropping-particle":"","parse-names":false,"suffix":""}],"container-title":"Clinical Microbiology and Infection","id":"ITEM-1","issue":"8","issued":{"date-parts":[["2015"]]},"page":"e790.e1-790.e3","publisher":"Elsevier","title":"KPC-producing Klebsiella pneumoniae rectal colonization is a risk factor for mortality in patients with diabetic foot infections","type":"article-journal","volume":"21"},"uris":["http://www.mendeley.com/documents/?uuid=5dfed4e6-dfa4-417b-9e63-4b93241046e8"]}],"mendeley":{"formattedCitation":"&lt;sup&gt;25&lt;/sup&gt;","plainTextFormattedCitation":"25","previouslyFormattedCitation":"&lt;sup&gt;25&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25</w:t>
            </w:r>
            <w:r w:rsidRPr="00904FBC">
              <w:rPr>
                <w:rFonts w:eastAsia="Times"/>
                <w:sz w:val="16"/>
                <w:szCs w:val="16"/>
              </w:rPr>
              <w:fldChar w:fldCharType="end"/>
            </w:r>
          </w:p>
        </w:tc>
        <w:tc>
          <w:tcPr>
            <w:tcW w:w="1301" w:type="dxa"/>
            <w:vAlign w:val="center"/>
          </w:tcPr>
          <w:p w:rsidR="00B1258F" w:rsidRPr="00904FBC" w:rsidRDefault="00B1258F" w:rsidP="00082AA5">
            <w:pPr>
              <w:jc w:val="center"/>
              <w:rPr>
                <w:rFonts w:eastAsia="Times"/>
                <w:sz w:val="16"/>
                <w:szCs w:val="16"/>
              </w:rPr>
            </w:pPr>
            <w:r w:rsidRPr="00904FBC">
              <w:rPr>
                <w:sz w:val="16"/>
                <w:szCs w:val="16"/>
              </w:rPr>
              <w:t>6</w:t>
            </w:r>
          </w:p>
        </w:tc>
        <w:tc>
          <w:tcPr>
            <w:tcW w:w="1470" w:type="dxa"/>
            <w:vAlign w:val="center"/>
          </w:tcPr>
          <w:p w:rsidR="00B1258F" w:rsidRPr="00904FBC" w:rsidRDefault="00B1258F" w:rsidP="00082AA5">
            <w:pPr>
              <w:jc w:val="center"/>
              <w:rPr>
                <w:rFonts w:eastAsia="Times"/>
                <w:sz w:val="16"/>
                <w:szCs w:val="16"/>
              </w:rPr>
            </w:pPr>
            <w:r w:rsidRPr="00904FBC">
              <w:rPr>
                <w:sz w:val="16"/>
                <w:szCs w:val="16"/>
              </w:rPr>
              <w:t>21</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66.7%</w:t>
            </w:r>
          </w:p>
        </w:tc>
        <w:tc>
          <w:tcPr>
            <w:tcW w:w="1532" w:type="dxa"/>
            <w:vAlign w:val="center"/>
          </w:tcPr>
          <w:p w:rsidR="00B1258F" w:rsidRPr="00904FBC" w:rsidRDefault="00B1258F" w:rsidP="00082AA5">
            <w:pPr>
              <w:jc w:val="center"/>
              <w:rPr>
                <w:rFonts w:eastAsia="Times"/>
                <w:sz w:val="16"/>
                <w:szCs w:val="16"/>
              </w:rPr>
            </w:pPr>
            <w:r w:rsidRPr="00904FBC">
              <w:rPr>
                <w:rFonts w:eastAsia="Times"/>
                <w:sz w:val="16"/>
                <w:szCs w:val="16"/>
              </w:rPr>
              <w:t>4.8%</w:t>
            </w:r>
          </w:p>
        </w:tc>
        <w:tc>
          <w:tcPr>
            <w:tcW w:w="1694" w:type="dxa"/>
            <w:vAlign w:val="center"/>
          </w:tcPr>
          <w:p w:rsidR="00B1258F" w:rsidRPr="00904FBC" w:rsidRDefault="00B1258F" w:rsidP="00082AA5">
            <w:pPr>
              <w:jc w:val="center"/>
              <w:rPr>
                <w:rFonts w:eastAsia="Times"/>
                <w:sz w:val="16"/>
                <w:szCs w:val="16"/>
              </w:rPr>
            </w:pPr>
            <w:r w:rsidRPr="00904FBC">
              <w:rPr>
                <w:rFonts w:eastAsia="Times"/>
                <w:sz w:val="16"/>
                <w:szCs w:val="16"/>
              </w:rPr>
              <w:t>61.9%</w:t>
            </w:r>
          </w:p>
        </w:tc>
      </w:tr>
      <w:tr w:rsidR="00B1258F" w:rsidRPr="00904FBC" w:rsidTr="00082AA5">
        <w:trPr>
          <w:trHeight w:val="234"/>
        </w:trPr>
        <w:tc>
          <w:tcPr>
            <w:tcW w:w="9889" w:type="dxa"/>
            <w:gridSpan w:val="6"/>
            <w:shd w:val="clear" w:color="auto" w:fill="BDD7EE"/>
            <w:vAlign w:val="center"/>
          </w:tcPr>
          <w:p w:rsidR="00B1258F" w:rsidRPr="00904FBC" w:rsidRDefault="00B1258F" w:rsidP="00082AA5">
            <w:pPr>
              <w:jc w:val="center"/>
              <w:rPr>
                <w:rFonts w:eastAsia="Times"/>
                <w:b/>
                <w:sz w:val="16"/>
                <w:szCs w:val="16"/>
              </w:rPr>
            </w:pPr>
            <w:r w:rsidRPr="00904FBC">
              <w:rPr>
                <w:rFonts w:eastAsia="Times"/>
                <w:b/>
                <w:sz w:val="16"/>
                <w:szCs w:val="16"/>
              </w:rPr>
              <w:t>Category: Sequelae</w:t>
            </w:r>
          </w:p>
        </w:tc>
      </w:tr>
      <w:tr w:rsidR="00B1258F" w:rsidRPr="00904FBC" w:rsidTr="00082AA5">
        <w:trPr>
          <w:trHeight w:val="234"/>
        </w:trPr>
        <w:tc>
          <w:tcPr>
            <w:tcW w:w="9889" w:type="dxa"/>
            <w:gridSpan w:val="6"/>
            <w:shd w:val="clear" w:color="auto" w:fill="DEEBF6"/>
            <w:vAlign w:val="center"/>
          </w:tcPr>
          <w:p w:rsidR="00B1258F" w:rsidRPr="00904FBC" w:rsidRDefault="00B1258F" w:rsidP="00082AA5">
            <w:pPr>
              <w:jc w:val="center"/>
              <w:rPr>
                <w:rFonts w:eastAsia="Times"/>
                <w:sz w:val="16"/>
                <w:szCs w:val="16"/>
              </w:rPr>
            </w:pPr>
            <w:r w:rsidRPr="00904FBC">
              <w:rPr>
                <w:rFonts w:eastAsia="Times"/>
                <w:sz w:val="16"/>
                <w:szCs w:val="16"/>
              </w:rPr>
              <w:t>Relapse</w:t>
            </w:r>
          </w:p>
        </w:tc>
      </w:tr>
      <w:tr w:rsidR="00B1258F" w:rsidRPr="00904FBC" w:rsidTr="00082AA5">
        <w:trPr>
          <w:trHeight w:val="234"/>
        </w:trPr>
        <w:tc>
          <w:tcPr>
            <w:tcW w:w="2422" w:type="dxa"/>
            <w:shd w:val="clear" w:color="auto" w:fill="auto"/>
            <w:vAlign w:val="center"/>
          </w:tcPr>
          <w:p w:rsidR="00B1258F" w:rsidRPr="00904FBC" w:rsidRDefault="00B1258F" w:rsidP="00082AA5">
            <w:pPr>
              <w:rPr>
                <w:rFonts w:eastAsia="Times"/>
                <w:sz w:val="16"/>
                <w:szCs w:val="16"/>
              </w:rPr>
            </w:pPr>
            <w:r w:rsidRPr="00904FBC">
              <w:rPr>
                <w:rFonts w:eastAsia="Times"/>
                <w:sz w:val="16"/>
                <w:szCs w:val="16"/>
              </w:rPr>
              <w:lastRenderedPageBreak/>
              <w:t>Falcone et al. 2009</w:t>
            </w:r>
            <w:r w:rsidRPr="00904FBC">
              <w:rPr>
                <w:rFonts w:eastAsia="Times"/>
                <w:sz w:val="16"/>
                <w:szCs w:val="16"/>
              </w:rPr>
              <w:fldChar w:fldCharType="begin" w:fldLock="1"/>
            </w:r>
            <w:r w:rsidRPr="00904FBC">
              <w:rPr>
                <w:rFonts w:eastAsia="Times"/>
                <w:sz w:val="16"/>
                <w:szCs w:val="16"/>
              </w:rPr>
              <w:instrText>ADDIN CSL_CITATION {"citationItems":[{"id":"ITEM-1","itemData":{"DOI":"10.1128/JCM.01193-09","ISSN":"00951137","PMID":"19741074","abstract":"The aim of this study was to ascertain the incidence and clinical significance of metallo-β-lactamases among Enterobacter strains isolated from patients with nosocomial infections. We prospectively collected data on patients with Enterobacter infection during a 13-month period. All of the strains were investigated for antibiotic susceptibility, the presence and expression of metallo-β-lactamases, and clonality. Of 29 infections (11 involving the urinary tract, 7 pneumonias, 3 skin/soft tissue infections, 3 intra-abdominal infections, 3 bacteremias, and 2 other infections), 7 (24%) were caused by Enterobacter cloacae strains harboring a bla VIM-1 gene associated or not with a bla SHV12 gene. Infections caused by VIM-1-producing strains were more frequently associated with a recent prior hospitalization (P = 0.006), cirrhosis (P = 0.03), relapse of infection (P &lt; 0.001), and more prolonged duration of antibiotic therapy (P = 0.01) than were other infections. All of the isolates were susceptible to imipenem and meropenem and had bla VIM-1 preceded by a weak P1 promoter and inactivated P2 promoters. Most VIM-1-producing Enterobacter isolates belonged to a main clone, but four different clones were found. Multiclonal VIM-1-producing E. cloacae infections are difficult to diagnose due to an apparent susceptibility to various beta-lactams, including carbapenems, and are associated with a high relapse rate and a more prolonged duration of antibiotic therapy.","author":[{"dropping-particle":"","family":"Falcone","given":"Marco","non-dropping-particle":"","parse-names":false,"suffix":""},{"dropping-particle":"","family":"Mezzatesta","given":"Maria Lina","non-dropping-particle":"","parse-names":false,"suffix":""},{"dropping-particle":"","family":"Perilli","given":"Mariagrazia","non-dropping-particle":"","parse-names":false,"suffix":""},{"dropping-particle":"","family":"Forcella","given":"Chiara","non-dropping-particle":"","parse-names":false,"suffix":""},{"dropping-particle":"","family":"Giordano","given":"Alessandra","non-dropping-particle":"","parse-names":false,"suffix":""},{"dropping-particle":"","family":"Cafiso","given":"Viviana","non-dropping-particle":"","parse-names":false,"suffix":""},{"dropping-particle":"","family":"Amicosante","given":"Gianfranco","non-dropping-particle":"","parse-names":false,"suffix":""},{"dropping-particle":"","family":"Stefani","given":"Stefania","non-dropping-particle":"","parse-names":false,"suffix":""},{"dropping-particle":"","family":"Venditti","given":"Mario","non-dropping-particle":"","parse-names":false,"suffix":""}],"container-title":"Journal of Clinical Microbiology","id":"ITEM-1","issue":"11","issued":{"date-parts":[["2009"]]},"page":"3514-3519","title":"Infections with VIM-1 metallo-β-lactamase-producing Enterobacter cloacae and their correlation with clinical outcome","type":"article-journal","volume":"47"},"uris":["http://www.mendeley.com/documents/?uuid=41b2cd5e-512b-4cfe-80f9-f945bc986919"]}],"mendeley":{"formattedCitation":"&lt;sup&gt;22&lt;/sup&gt;","plainTextFormattedCitation":"22","previouslyFormattedCitation":"&lt;sup&gt;22&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22</w:t>
            </w:r>
            <w:r w:rsidRPr="00904FBC">
              <w:rPr>
                <w:rFonts w:eastAsia="Times"/>
                <w:sz w:val="16"/>
                <w:szCs w:val="16"/>
              </w:rPr>
              <w:fldChar w:fldCharType="end"/>
            </w:r>
          </w:p>
        </w:tc>
        <w:tc>
          <w:tcPr>
            <w:tcW w:w="1301" w:type="dxa"/>
            <w:shd w:val="clear" w:color="auto" w:fill="auto"/>
            <w:vAlign w:val="center"/>
          </w:tcPr>
          <w:p w:rsidR="00B1258F" w:rsidRPr="00904FBC" w:rsidRDefault="00B1258F" w:rsidP="00082AA5">
            <w:pPr>
              <w:jc w:val="center"/>
              <w:rPr>
                <w:rFonts w:eastAsia="Times"/>
                <w:sz w:val="16"/>
                <w:szCs w:val="16"/>
              </w:rPr>
            </w:pPr>
            <w:r w:rsidRPr="00904FBC">
              <w:rPr>
                <w:sz w:val="16"/>
                <w:szCs w:val="16"/>
              </w:rPr>
              <w:t>7</w:t>
            </w:r>
          </w:p>
        </w:tc>
        <w:tc>
          <w:tcPr>
            <w:tcW w:w="1470" w:type="dxa"/>
            <w:vAlign w:val="center"/>
          </w:tcPr>
          <w:p w:rsidR="00B1258F" w:rsidRPr="00904FBC" w:rsidRDefault="00B1258F" w:rsidP="00082AA5">
            <w:pPr>
              <w:jc w:val="center"/>
              <w:rPr>
                <w:rFonts w:eastAsia="Times"/>
                <w:sz w:val="16"/>
                <w:szCs w:val="16"/>
              </w:rPr>
            </w:pPr>
            <w:r w:rsidRPr="00904FBC">
              <w:rPr>
                <w:sz w:val="16"/>
                <w:szCs w:val="16"/>
              </w:rPr>
              <w:t>22</w:t>
            </w:r>
          </w:p>
        </w:tc>
        <w:tc>
          <w:tcPr>
            <w:tcW w:w="1470"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71.4%</w:t>
            </w:r>
          </w:p>
        </w:tc>
        <w:tc>
          <w:tcPr>
            <w:tcW w:w="1532"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0.0%</w:t>
            </w:r>
          </w:p>
        </w:tc>
        <w:tc>
          <w:tcPr>
            <w:tcW w:w="1694"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71.4%</w:t>
            </w:r>
          </w:p>
        </w:tc>
      </w:tr>
      <w:tr w:rsidR="00B1258F" w:rsidRPr="00904FBC" w:rsidTr="00082AA5">
        <w:trPr>
          <w:trHeight w:val="234"/>
        </w:trPr>
        <w:tc>
          <w:tcPr>
            <w:tcW w:w="9889" w:type="dxa"/>
            <w:gridSpan w:val="6"/>
            <w:shd w:val="clear" w:color="auto" w:fill="DEEBF6"/>
            <w:vAlign w:val="center"/>
          </w:tcPr>
          <w:p w:rsidR="00B1258F" w:rsidRPr="00904FBC" w:rsidRDefault="00B1258F" w:rsidP="00082AA5">
            <w:pPr>
              <w:jc w:val="center"/>
              <w:rPr>
                <w:rFonts w:eastAsia="Times"/>
                <w:sz w:val="16"/>
                <w:szCs w:val="16"/>
              </w:rPr>
            </w:pPr>
            <w:r w:rsidRPr="00904FBC">
              <w:rPr>
                <w:rFonts w:eastAsia="Times"/>
                <w:sz w:val="16"/>
                <w:szCs w:val="16"/>
              </w:rPr>
              <w:t>Secondary Bloodstream Infection</w:t>
            </w:r>
          </w:p>
        </w:tc>
      </w:tr>
      <w:tr w:rsidR="00B1258F" w:rsidRPr="00904FBC" w:rsidTr="00082AA5">
        <w:trPr>
          <w:trHeight w:val="234"/>
        </w:trPr>
        <w:tc>
          <w:tcPr>
            <w:tcW w:w="2422" w:type="dxa"/>
            <w:shd w:val="clear" w:color="auto" w:fill="auto"/>
          </w:tcPr>
          <w:p w:rsidR="00B1258F" w:rsidRPr="00904FBC" w:rsidRDefault="00B1258F" w:rsidP="00082AA5">
            <w:pPr>
              <w:rPr>
                <w:rFonts w:eastAsia="Times"/>
                <w:sz w:val="16"/>
                <w:szCs w:val="16"/>
              </w:rPr>
            </w:pPr>
            <w:r w:rsidRPr="00904FBC">
              <w:rPr>
                <w:rFonts w:eastAsia="Times"/>
                <w:sz w:val="16"/>
                <w:szCs w:val="16"/>
              </w:rPr>
              <w:t>Falcone et al. 2009</w:t>
            </w:r>
            <w:r w:rsidRPr="00904FBC">
              <w:rPr>
                <w:rFonts w:eastAsia="Times"/>
                <w:sz w:val="16"/>
                <w:szCs w:val="16"/>
              </w:rPr>
              <w:fldChar w:fldCharType="begin" w:fldLock="1"/>
            </w:r>
            <w:r w:rsidRPr="00904FBC">
              <w:rPr>
                <w:rFonts w:eastAsia="Times"/>
                <w:sz w:val="16"/>
                <w:szCs w:val="16"/>
              </w:rPr>
              <w:instrText>ADDIN CSL_CITATION {"citationItems":[{"id":"ITEM-1","itemData":{"DOI":"10.1128/JCM.01193-09","ISSN":"00951137","PMID":"19741074","abstract":"The aim of this study was to ascertain the incidence and clinical significance of metallo-β-lactamases among Enterobacter strains isolated from patients with nosocomial infections. We prospectively collected data on patients with Enterobacter infection during a 13-month period. All of the strains were investigated for antibiotic susceptibility, the presence and expression of metallo-β-lactamases, and clonality. Of 29 infections (11 involving the urinary tract, 7 pneumonias, 3 skin/soft tissue infections, 3 intra-abdominal infections, 3 bacteremias, and 2 other infections), 7 (24%) were caused by Enterobacter cloacae strains harboring a bla VIM-1 gene associated or not with a bla SHV12 gene. Infections caused by VIM-1-producing strains were more frequently associated with a recent prior hospitalization (P = 0.006), cirrhosis (P = 0.03), relapse of infection (P &lt; 0.001), and more prolonged duration of antibiotic therapy (P = 0.01) than were other infections. All of the isolates were susceptible to imipenem and meropenem and had bla VIM-1 preceded by a weak P1 promoter and inactivated P2 promoters. Most VIM-1-producing Enterobacter isolates belonged to a main clone, but four different clones were found. Multiclonal VIM-1-producing E. cloacae infections are difficult to diagnose due to an apparent susceptibility to various beta-lactams, including carbapenems, and are associated with a high relapse rate and a more prolonged duration of antibiotic therapy.","author":[{"dropping-particle":"","family":"Falcone","given":"Marco","non-dropping-particle":"","parse-names":false,"suffix":""},{"dropping-particle":"","family":"Mezzatesta","given":"Maria Lina","non-dropping-particle":"","parse-names":false,"suffix":""},{"dropping-particle":"","family":"Perilli","given":"Mariagrazia","non-dropping-particle":"","parse-names":false,"suffix":""},{"dropping-particle":"","family":"Forcella","given":"Chiara","non-dropping-particle":"","parse-names":false,"suffix":""},{"dropping-particle":"","family":"Giordano","given":"Alessandra","non-dropping-particle":"","parse-names":false,"suffix":""},{"dropping-particle":"","family":"Cafiso","given":"Viviana","non-dropping-particle":"","parse-names":false,"suffix":""},{"dropping-particle":"","family":"Amicosante","given":"Gianfranco","non-dropping-particle":"","parse-names":false,"suffix":""},{"dropping-particle":"","family":"Stefani","given":"Stefania","non-dropping-particle":"","parse-names":false,"suffix":""},{"dropping-particle":"","family":"Venditti","given":"Mario","non-dropping-particle":"","parse-names":false,"suffix":""}],"container-title":"Journal of Clinical Microbiology","id":"ITEM-1","issue":"11","issued":{"date-parts":[["2009"]]},"page":"3514-3519","title":"Infections with VIM-1 metallo-β-lactamase-producing Enterobacter cloacae and their correlation with clinical outcome","type":"article-journal","volume":"47"},"uris":["http://www.mendeley.com/documents/?uuid=41b2cd5e-512b-4cfe-80f9-f945bc986919"]}],"mendeley":{"formattedCitation":"&lt;sup&gt;22&lt;/sup&gt;","plainTextFormattedCitation":"22","previouslyFormattedCitation":"&lt;sup&gt;22&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22</w:t>
            </w:r>
            <w:r w:rsidRPr="00904FBC">
              <w:rPr>
                <w:rFonts w:eastAsia="Times"/>
                <w:sz w:val="16"/>
                <w:szCs w:val="16"/>
              </w:rPr>
              <w:fldChar w:fldCharType="end"/>
            </w:r>
          </w:p>
        </w:tc>
        <w:tc>
          <w:tcPr>
            <w:tcW w:w="1301" w:type="dxa"/>
            <w:shd w:val="clear" w:color="auto" w:fill="auto"/>
            <w:vAlign w:val="center"/>
          </w:tcPr>
          <w:p w:rsidR="00B1258F" w:rsidRPr="00904FBC" w:rsidRDefault="00B1258F" w:rsidP="00082AA5">
            <w:pPr>
              <w:jc w:val="center"/>
              <w:rPr>
                <w:rFonts w:eastAsia="Times"/>
                <w:sz w:val="16"/>
                <w:szCs w:val="16"/>
              </w:rPr>
            </w:pPr>
            <w:r w:rsidRPr="00904FBC">
              <w:rPr>
                <w:sz w:val="16"/>
                <w:szCs w:val="16"/>
              </w:rPr>
              <w:t>7</w:t>
            </w:r>
          </w:p>
        </w:tc>
        <w:tc>
          <w:tcPr>
            <w:tcW w:w="1470" w:type="dxa"/>
            <w:shd w:val="clear" w:color="auto" w:fill="auto"/>
            <w:vAlign w:val="center"/>
          </w:tcPr>
          <w:p w:rsidR="00B1258F" w:rsidRPr="00904FBC" w:rsidRDefault="00B1258F" w:rsidP="00082AA5">
            <w:pPr>
              <w:jc w:val="center"/>
              <w:rPr>
                <w:rFonts w:eastAsia="Times"/>
                <w:sz w:val="16"/>
                <w:szCs w:val="16"/>
              </w:rPr>
            </w:pPr>
            <w:r w:rsidRPr="00904FBC">
              <w:rPr>
                <w:sz w:val="16"/>
                <w:szCs w:val="16"/>
              </w:rPr>
              <w:t>22</w:t>
            </w:r>
          </w:p>
        </w:tc>
        <w:tc>
          <w:tcPr>
            <w:tcW w:w="1470"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71.4%</w:t>
            </w:r>
          </w:p>
        </w:tc>
        <w:tc>
          <w:tcPr>
            <w:tcW w:w="1532"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40.9%</w:t>
            </w:r>
          </w:p>
        </w:tc>
        <w:tc>
          <w:tcPr>
            <w:tcW w:w="1694"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30.5%</w:t>
            </w:r>
          </w:p>
        </w:tc>
      </w:tr>
      <w:tr w:rsidR="00B1258F" w:rsidRPr="00904FBC" w:rsidTr="00082AA5">
        <w:trPr>
          <w:trHeight w:val="234"/>
        </w:trPr>
        <w:tc>
          <w:tcPr>
            <w:tcW w:w="2422" w:type="dxa"/>
            <w:shd w:val="clear" w:color="auto" w:fill="auto"/>
            <w:vAlign w:val="center"/>
          </w:tcPr>
          <w:p w:rsidR="00B1258F" w:rsidRPr="00904FBC" w:rsidRDefault="00B1258F" w:rsidP="00082AA5">
            <w:pPr>
              <w:rPr>
                <w:rFonts w:eastAsia="Times"/>
                <w:sz w:val="16"/>
                <w:szCs w:val="16"/>
              </w:rPr>
            </w:pPr>
            <w:r w:rsidRPr="00904FBC">
              <w:rPr>
                <w:rFonts w:eastAsia="Times"/>
                <w:sz w:val="16"/>
                <w:szCs w:val="16"/>
              </w:rPr>
              <w:t>Lubbert et al. 2014</w:t>
            </w:r>
            <w:r w:rsidRPr="00904FBC">
              <w:rPr>
                <w:rFonts w:eastAsia="Times"/>
                <w:sz w:val="16"/>
                <w:szCs w:val="16"/>
              </w:rPr>
              <w:fldChar w:fldCharType="begin" w:fldLock="1"/>
            </w:r>
            <w:r w:rsidRPr="00904FBC">
              <w:rPr>
                <w:rFonts w:eastAsia="Times"/>
                <w:sz w:val="16"/>
                <w:szCs w:val="16"/>
              </w:rPr>
              <w:instrText>ADDIN CSL_CITATION {"citationItems":[{"id":"ITEM-1","itemData":{"DOI":"10.1007/s15010-013-0547-3","ISBN":"1439-0973 (Electronic)\\r0300-8126 (Linking)","ISSN":"14390973","PMID":"24217959","abstract":"PURPOSE From mid-2010 to early 2013 there was a large single-center (Leipzig University Hospital, Germany) outbreak of Klebsiella pneumoniae carbapenemase (KPC) type 2 producing K. pneumoniae (KPC-2-KP) involving a total of 103 patients. The aim of this study was to compare KPC-positive liver transplant recipients (LTR) and KPC-negative controls to determine both the relative risk of infection following colonization with KPC-2-KP and the case fatality rate associated with KPC-2-KP. METHODS The study cohort of this retrospective observational study comprised nine patients who had undergone orthotopic liver transplantation (LTx) (median age of 52 years, range 28-73 years) with confirmed evidence of colonization with KPC-2-KP. The data from these nine LTR were matched to 18 LTR (1:2) in whom carbapenem-resistant pathogens were not present and compared for clinical outcomes. RESULTS Of these nine cases, eight (89 %) progressed to infection due to KPC-2-KP, and five (56 %) were confirmed to have bloodstream infection with KPC-2-KP. Matched-pair analysis of KPC-positive LTR and KPC-negative controls revealed a substantially increased relative risk of 7.0 (95 % confidence interval 1.8-27.1) for fatal infection with KPC-2-producing K. pneumoniae after transplantation with a mortality rate of 78 % (vs. 11 %, p = 0.001). CONCLUSIONS Colonization with KPC-2-KP in LTR leads to high infection rates and excess mortality. Therefore, frequent screening for carbapenem-resistant bacteria in patients on LTx waiting lists appears to be mandatory in an outbreak setting. Patients with evidence of persistent colonization with KPC-producing pathogens should be evaluated with extreme caution for LTx.","author":[{"dropping-particle":"","family":"Lübbert","given":"C.","non-dropping-particle":"","parse-names":false,"suffix":""},{"dropping-particle":"","family":"Becker-Rux","given":"D.","non-dropping-particle":"","parse-names":false,"suffix":""},{"dropping-particle":"","family":"Rodloff","given":"A. C.","non-dropping-particle":"","parse-names":false,"suffix":""},{"dropping-particle":"","family":"Laudi","given":"S.","non-dropping-particle":"","parse-names":false,"suffix":""},{"dropping-particle":"","family":"Busch","given":"T.","non-dropping-particle":"","parse-names":false,"suffix":""},{"dropping-particle":"","family":"Bartels","given":"M.","non-dropping-particle":"","parse-names":false,"suffix":""},{"dropping-particle":"","family":"Kaisers","given":"U. X.","non-dropping-particle":"","parse-names":false,"suffix":""}],"container-title":"Infection","id":"ITEM-1","issue":"2","issued":{"date-parts":[["2014"]]},"page":"309-316","title":"Colonization of liver transplant recipients with KPC-producing Klebsiella pneumoniae is associated with high infection rates and excess mortality: A case-control analysis","type":"article-journal","volume":"42"},"uris":["http://www.mendeley.com/documents/?uuid=9b12c7f5-5b57-445d-895d-e410f25d618d"]}],"mendeley":{"formattedCitation":"&lt;sup&gt;32&lt;/sup&gt;","plainTextFormattedCitation":"32","previouslyFormattedCitation":"&lt;sup&gt;32&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32</w:t>
            </w:r>
            <w:r w:rsidRPr="00904FBC">
              <w:rPr>
                <w:rFonts w:eastAsia="Times"/>
                <w:sz w:val="16"/>
                <w:szCs w:val="16"/>
              </w:rPr>
              <w:fldChar w:fldCharType="end"/>
            </w:r>
          </w:p>
        </w:tc>
        <w:tc>
          <w:tcPr>
            <w:tcW w:w="1301" w:type="dxa"/>
            <w:shd w:val="clear" w:color="auto" w:fill="auto"/>
            <w:vAlign w:val="center"/>
          </w:tcPr>
          <w:p w:rsidR="00B1258F" w:rsidRPr="00904FBC" w:rsidRDefault="00B1258F" w:rsidP="00082AA5">
            <w:pPr>
              <w:jc w:val="center"/>
              <w:rPr>
                <w:sz w:val="16"/>
                <w:szCs w:val="16"/>
              </w:rPr>
            </w:pPr>
            <w:r w:rsidRPr="00904FBC">
              <w:rPr>
                <w:sz w:val="16"/>
                <w:szCs w:val="16"/>
              </w:rPr>
              <w:t>8</w:t>
            </w:r>
          </w:p>
        </w:tc>
        <w:tc>
          <w:tcPr>
            <w:tcW w:w="1470" w:type="dxa"/>
            <w:shd w:val="clear" w:color="auto" w:fill="auto"/>
            <w:vAlign w:val="center"/>
          </w:tcPr>
          <w:p w:rsidR="00B1258F" w:rsidRPr="00904FBC" w:rsidRDefault="00B1258F" w:rsidP="00082AA5">
            <w:pPr>
              <w:jc w:val="center"/>
              <w:rPr>
                <w:sz w:val="16"/>
                <w:szCs w:val="16"/>
              </w:rPr>
            </w:pPr>
            <w:r w:rsidRPr="00904FBC">
              <w:rPr>
                <w:sz w:val="16"/>
                <w:szCs w:val="16"/>
              </w:rPr>
              <w:t>18</w:t>
            </w:r>
          </w:p>
        </w:tc>
        <w:tc>
          <w:tcPr>
            <w:tcW w:w="1470"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62.5%</w:t>
            </w:r>
          </w:p>
        </w:tc>
        <w:tc>
          <w:tcPr>
            <w:tcW w:w="1532"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11.1%</w:t>
            </w:r>
          </w:p>
        </w:tc>
        <w:tc>
          <w:tcPr>
            <w:tcW w:w="1694"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51.4%</w:t>
            </w:r>
          </w:p>
        </w:tc>
      </w:tr>
      <w:tr w:rsidR="00B1258F" w:rsidRPr="00904FBC" w:rsidTr="00082AA5">
        <w:trPr>
          <w:trHeight w:val="234"/>
        </w:trPr>
        <w:tc>
          <w:tcPr>
            <w:tcW w:w="2422" w:type="dxa"/>
            <w:shd w:val="clear" w:color="auto" w:fill="auto"/>
          </w:tcPr>
          <w:p w:rsidR="00B1258F" w:rsidRPr="00904FBC" w:rsidRDefault="00B1258F" w:rsidP="00082AA5">
            <w:pPr>
              <w:rPr>
                <w:rFonts w:eastAsia="Times"/>
                <w:sz w:val="16"/>
                <w:szCs w:val="16"/>
              </w:rPr>
            </w:pPr>
            <w:r w:rsidRPr="00904FBC">
              <w:rPr>
                <w:rFonts w:eastAsia="Times"/>
                <w:sz w:val="16"/>
                <w:szCs w:val="16"/>
              </w:rPr>
              <w:t>Sbrana et al. 2016</w:t>
            </w:r>
            <w:r w:rsidRPr="00904FBC">
              <w:rPr>
                <w:rFonts w:eastAsia="Times"/>
                <w:sz w:val="16"/>
                <w:szCs w:val="16"/>
              </w:rPr>
              <w:fldChar w:fldCharType="begin" w:fldLock="1"/>
            </w:r>
            <w:r w:rsidRPr="00904FBC">
              <w:rPr>
                <w:rFonts w:eastAsia="Times"/>
                <w:sz w:val="16"/>
                <w:szCs w:val="16"/>
              </w:rPr>
              <w:instrText>ADDIN CSL_CITATION {"citationItems":[{"id":"ITEM-1","itemData":{"author":[{"dropping-particle":"","family":"Sbrana","given":"Francesco","non-dropping-particle":"","parse-names":false,"suffix":""},{"dropping-particle":"","family":"Malacarne","given":"Paolo","non-dropping-particle":"","parse-names":false,"suffix":""},{"dropping-particle":"","family":"Bassetti","given":"Matteo","non-dropping-particle":"","parse-names":false,"suffix":""},{"dropping-particle":"","family":"Tascini","given":"Carlo","non-dropping-particle":"","parse-names":false,"suffix":""},{"dropping-particle":"","family":"Vegnuti","given":"Lara","non-dropping-particle":"","parse-names":false,"suffix":""},{"dropping-particle":"Della","family":"Siega","given":"Paola","non-dropping-particle":"","parse-names":false,"suffix":""},{"dropping-particle":"","family":"Ripoli","given":"Andrea","non-dropping-particle":"","parse-names":false,"suffix":""},{"dropping-particle":"","family":"Ansaldi","given":"Filippo","non-dropping-particle":"","parse-names":false,"suffix":""},{"dropping-particle":"","family":"Menichetti","given":"Francesco","non-dropping-particle":"","parse-names":false,"suffix":""},{"dropping-particle":"","family":"Toscana","given":"Fondazione","non-dropping-particle":"","parse-names":false,"suffix":""},{"dropping-particle":"","family":"Monasterio","given":"Gabriele","non-dropping-particle":"","parse-names":false,"suffix":""},{"dropping-particle":"","family":"Anestesia","given":"U O","non-dropping-particle":"","parse-names":false,"suffix":""},{"dropping-particle":"","family":"Vi","given":"Rianimazione","non-dropping-particle":"","parse-names":false,"suffix":""}],"container-title":"Minerva Anestesiologica","id":"ITEM-1","issue":"6","issued":{"date-parts":[["2016"]]},"page":"635-640","title":"Risk factors for ventilator associated pneumonia due to carbapenemase-producing Klebsiella pneumoniae in mechanically ventilated patients with tracheal and rectal colonization","type":"article-journal","volume":"82"},"uris":["http://www.mendeley.com/documents/?uuid=28c1b302-1a2e-41ed-8330-9a95ab9dde68"]}],"mendeley":{"formattedCitation":"&lt;sup&gt;23&lt;/sup&gt;","plainTextFormattedCitation":"23","previouslyFormattedCitation":"&lt;sup&gt;23&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23</w:t>
            </w:r>
            <w:r w:rsidRPr="00904FBC">
              <w:rPr>
                <w:rFonts w:eastAsia="Times"/>
                <w:sz w:val="16"/>
                <w:szCs w:val="16"/>
              </w:rPr>
              <w:fldChar w:fldCharType="end"/>
            </w:r>
          </w:p>
        </w:tc>
        <w:tc>
          <w:tcPr>
            <w:tcW w:w="1301" w:type="dxa"/>
            <w:shd w:val="clear" w:color="auto" w:fill="auto"/>
            <w:vAlign w:val="center"/>
          </w:tcPr>
          <w:p w:rsidR="00B1258F" w:rsidRPr="00904FBC" w:rsidRDefault="00B1258F" w:rsidP="00082AA5">
            <w:pPr>
              <w:jc w:val="center"/>
              <w:rPr>
                <w:rFonts w:eastAsia="Times"/>
                <w:sz w:val="16"/>
                <w:szCs w:val="16"/>
              </w:rPr>
            </w:pPr>
            <w:r w:rsidRPr="00904FBC">
              <w:rPr>
                <w:sz w:val="16"/>
                <w:szCs w:val="16"/>
              </w:rPr>
              <w:t>30</w:t>
            </w:r>
          </w:p>
        </w:tc>
        <w:tc>
          <w:tcPr>
            <w:tcW w:w="1470" w:type="dxa"/>
            <w:shd w:val="clear" w:color="auto" w:fill="auto"/>
            <w:vAlign w:val="center"/>
          </w:tcPr>
          <w:p w:rsidR="00B1258F" w:rsidRPr="00904FBC" w:rsidRDefault="00B1258F" w:rsidP="00082AA5">
            <w:pPr>
              <w:jc w:val="center"/>
              <w:rPr>
                <w:rFonts w:eastAsia="Times"/>
                <w:sz w:val="16"/>
                <w:szCs w:val="16"/>
              </w:rPr>
            </w:pPr>
            <w:r w:rsidRPr="00904FBC">
              <w:rPr>
                <w:sz w:val="16"/>
                <w:szCs w:val="16"/>
              </w:rPr>
              <w:t>60</w:t>
            </w:r>
          </w:p>
        </w:tc>
        <w:tc>
          <w:tcPr>
            <w:tcW w:w="1470"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66.7%</w:t>
            </w:r>
          </w:p>
        </w:tc>
        <w:tc>
          <w:tcPr>
            <w:tcW w:w="1532"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N/A</w:t>
            </w:r>
          </w:p>
        </w:tc>
        <w:tc>
          <w:tcPr>
            <w:tcW w:w="1694"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N/A</w:t>
            </w:r>
          </w:p>
        </w:tc>
      </w:tr>
      <w:tr w:rsidR="00B1258F" w:rsidRPr="00904FBC" w:rsidTr="00082AA5">
        <w:trPr>
          <w:trHeight w:val="234"/>
        </w:trPr>
        <w:tc>
          <w:tcPr>
            <w:tcW w:w="2422" w:type="dxa"/>
            <w:shd w:val="clear" w:color="auto" w:fill="auto"/>
          </w:tcPr>
          <w:p w:rsidR="00B1258F" w:rsidRPr="00904FBC" w:rsidRDefault="00B1258F" w:rsidP="00082AA5">
            <w:pPr>
              <w:rPr>
                <w:rFonts w:eastAsia="Times"/>
                <w:sz w:val="16"/>
                <w:szCs w:val="16"/>
              </w:rPr>
            </w:pPr>
            <w:r w:rsidRPr="00904FBC">
              <w:rPr>
                <w:rFonts w:eastAsia="Times"/>
                <w:sz w:val="16"/>
                <w:szCs w:val="16"/>
              </w:rPr>
              <w:t>Torres-Gonzalez et al. 2016</w:t>
            </w:r>
            <w:r w:rsidRPr="00904FBC">
              <w:rPr>
                <w:rFonts w:eastAsia="Times"/>
                <w:sz w:val="16"/>
                <w:szCs w:val="16"/>
              </w:rPr>
              <w:fldChar w:fldCharType="begin" w:fldLock="1"/>
            </w:r>
            <w:r w:rsidRPr="00904FBC">
              <w:rPr>
                <w:rFonts w:eastAsia="Times"/>
                <w:sz w:val="16"/>
                <w:szCs w:val="16"/>
              </w:rPr>
              <w:instrText>ADDIN CSL_CITATION {"citationItems":[{"id":"ITEM-1","itemData":{"author":[{"dropping-particle":"","family":"Torres-Gonzalez","given":"Pedro","non-dropping-particle":"","parse-names":false,"suffix":""},{"dropping-particle":"","family":"Ortiz-Brizuela","given":"Edgar","non-dropping-particle":"","parse-names":false,"suffix":""},{"dropping-particle":"","family":"Cervera-Hernandez","given":"Miguel Enrique","non-dropping-particle":"","parse-names":false,"suffix":""},{"dropping-particle":"","family":"Bobadilla-del Valle","given":"Miriam","non-dropping-particle":"","parse-names":false,"suffix":""},{"dropping-particle":"","family":"Martinez-Gamboa","given":"Areli","non-dropping-particle":"","parse-names":false,"suffix":""},{"dropping-particle":"","family":"Sifuentes-Osornio","given":"Jose","non-dropping-particle":"","parse-names":false,"suffix":""},{"dropping-particle":"","family":"Ponce-de-Leon","given":"Alfredo","non-dropping-particle":"","parse-names":false,"suffix":""}],"container-title":"Diagnostic Microbiology and Infectious Disease","id":"ITEM-1","issue":"2","issued":{"date-parts":[["2016"]]},"page":"243-248","publisher":"Elsevier Inc.","title":"Associated factors and outcomes for OXA-232 Carbapenem-resistant Enterobacteriaceae infections in a tertiary care centre in Mexico City: A case–control-control study","type":"article-journal","volume":"86"},"uris":["http://www.mendeley.com/documents/?uuid=6e74d34f-8e9c-481a-b5af-e3a97dfc5f1f"]}],"mendeley":{"formattedCitation":"&lt;sup&gt;26&lt;/sup&gt;","plainTextFormattedCitation":"26","previouslyFormattedCitation":"&lt;sup&gt;26&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26</w:t>
            </w:r>
            <w:r w:rsidRPr="00904FBC">
              <w:rPr>
                <w:rFonts w:eastAsia="Times"/>
                <w:sz w:val="16"/>
                <w:szCs w:val="16"/>
              </w:rPr>
              <w:fldChar w:fldCharType="end"/>
            </w:r>
          </w:p>
        </w:tc>
        <w:tc>
          <w:tcPr>
            <w:tcW w:w="1301" w:type="dxa"/>
            <w:shd w:val="clear" w:color="auto" w:fill="auto"/>
            <w:vAlign w:val="center"/>
          </w:tcPr>
          <w:p w:rsidR="00B1258F" w:rsidRPr="00904FBC" w:rsidRDefault="00B1258F" w:rsidP="00082AA5">
            <w:pPr>
              <w:jc w:val="center"/>
              <w:rPr>
                <w:sz w:val="16"/>
                <w:szCs w:val="16"/>
              </w:rPr>
            </w:pPr>
            <w:r w:rsidRPr="00904FBC">
              <w:rPr>
                <w:sz w:val="16"/>
                <w:szCs w:val="16"/>
              </w:rPr>
              <w:t>27</w:t>
            </w:r>
          </w:p>
        </w:tc>
        <w:tc>
          <w:tcPr>
            <w:tcW w:w="1470" w:type="dxa"/>
            <w:shd w:val="clear" w:color="auto" w:fill="auto"/>
            <w:vAlign w:val="center"/>
          </w:tcPr>
          <w:p w:rsidR="00B1258F" w:rsidRPr="00904FBC" w:rsidRDefault="00B1258F" w:rsidP="00082AA5">
            <w:pPr>
              <w:jc w:val="center"/>
              <w:rPr>
                <w:sz w:val="16"/>
                <w:szCs w:val="16"/>
              </w:rPr>
            </w:pPr>
            <w:r w:rsidRPr="00904FBC">
              <w:rPr>
                <w:sz w:val="16"/>
                <w:szCs w:val="16"/>
              </w:rPr>
              <w:t>108</w:t>
            </w:r>
          </w:p>
        </w:tc>
        <w:tc>
          <w:tcPr>
            <w:tcW w:w="1470"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22.2%</w:t>
            </w:r>
          </w:p>
        </w:tc>
        <w:tc>
          <w:tcPr>
            <w:tcW w:w="1532"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19.4%</w:t>
            </w:r>
          </w:p>
        </w:tc>
        <w:tc>
          <w:tcPr>
            <w:tcW w:w="1694"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2.8%</w:t>
            </w:r>
          </w:p>
        </w:tc>
      </w:tr>
      <w:tr w:rsidR="00B1258F" w:rsidRPr="00904FBC" w:rsidTr="00082AA5">
        <w:trPr>
          <w:trHeight w:val="234"/>
        </w:trPr>
        <w:tc>
          <w:tcPr>
            <w:tcW w:w="9889" w:type="dxa"/>
            <w:gridSpan w:val="6"/>
            <w:shd w:val="clear" w:color="auto" w:fill="DEEBF6"/>
            <w:vAlign w:val="center"/>
          </w:tcPr>
          <w:p w:rsidR="00B1258F" w:rsidRPr="00904FBC" w:rsidRDefault="00B1258F" w:rsidP="00082AA5">
            <w:pPr>
              <w:jc w:val="center"/>
              <w:rPr>
                <w:rFonts w:eastAsia="Times"/>
                <w:sz w:val="16"/>
                <w:szCs w:val="16"/>
              </w:rPr>
            </w:pPr>
            <w:r w:rsidRPr="00904FBC">
              <w:rPr>
                <w:rFonts w:eastAsia="Times"/>
                <w:sz w:val="16"/>
                <w:szCs w:val="16"/>
              </w:rPr>
              <w:t>Functional Status - Dependent</w:t>
            </w:r>
          </w:p>
        </w:tc>
      </w:tr>
      <w:tr w:rsidR="00B1258F" w:rsidRPr="00904FBC" w:rsidTr="00082AA5">
        <w:trPr>
          <w:trHeight w:val="234"/>
        </w:trPr>
        <w:tc>
          <w:tcPr>
            <w:tcW w:w="2422" w:type="dxa"/>
            <w:shd w:val="clear" w:color="auto" w:fill="auto"/>
            <w:vAlign w:val="center"/>
          </w:tcPr>
          <w:p w:rsidR="00B1258F" w:rsidRPr="00904FBC" w:rsidRDefault="00B1258F" w:rsidP="00082AA5">
            <w:pPr>
              <w:rPr>
                <w:rFonts w:eastAsia="Times"/>
                <w:sz w:val="16"/>
                <w:szCs w:val="16"/>
              </w:rPr>
            </w:pPr>
            <w:r w:rsidRPr="00904FBC">
              <w:rPr>
                <w:rFonts w:eastAsia="Times"/>
                <w:sz w:val="16"/>
                <w:szCs w:val="16"/>
              </w:rPr>
              <w:t>Fraenkel-Wandel et al. 2016</w:t>
            </w:r>
            <w:r w:rsidRPr="00904FBC">
              <w:rPr>
                <w:rFonts w:eastAsia="Times"/>
                <w:sz w:val="16"/>
                <w:szCs w:val="16"/>
              </w:rPr>
              <w:fldChar w:fldCharType="begin" w:fldLock="1"/>
            </w:r>
            <w:r w:rsidRPr="00904FBC">
              <w:rPr>
                <w:rFonts w:eastAsia="Times"/>
                <w:sz w:val="16"/>
                <w:szCs w:val="16"/>
              </w:rPr>
              <w:instrText>ADDIN CSL_CITATION {"citationItems":[{"id":"ITEM-1","itemData":{"DOI":"10.1093/jac/dkv414","abstract":"OBJECTIVES To determine the mortality rate secondary to blaKPC Klebsiella pneumoniae (KPC/Kp) bacteraemia, compared with that from ESBL-producing K. pneumoniae (ESBL/Kp) bacteraemia, and to determine associated risk factors. METHODS This was a retrospective case-control study of all 68 KPC/Kp bacteraemia patients diagnosed since 2006, matched by year of isolation, gender and age, at a ratio of 1:2, to 136 ESBL/Kp bacteraemia patients. RESULTS There were no demographic differences between the two groups, but there were minor clinical differences. Fewer KPC/Kp study patients than ESBL/Kp control patients had a systolic blood pressure &lt;90 mmHg (32/68, 47% versus 86/136, 63%, respectively, P = 0.02) or urinary catheterization (32/68, 47% versus 90/136, 66%, respectively, P = 0.005), while the KPC/Kp bacteraemia group had a greater incidence of acute renal failure (45/68, 66% versus 67/136, 49%, respectively, P = 0.02). There was no difference between the two groups in duration of hospitalization. The mortality rate of the KPC/Kp bacteraemia group was 44/68 (65%) compared with 54/136 (40%) in the ESBL/Kp bacteraemia control group (P = 0.008), which in the multivariate analysis remained highly significant (P &lt; 0.001). Only 11/68 (16%) of KPC/Kp patients were functionally independent at discharge compared with 43/136 (32%) ESBL/Kp patients (P = 0.012). CONCLUSIONS The selection of an ESBL/Kp control cohort with a ratio of 1:2 (study versus control group) helped resolve an as yet insufficiently settled question: bacteraemia with KPC/Kp is an independent risk factor for death, justifying the strict adherence to cohorting and isolation procedures.","author":[{"dropping-particle":"","family":"Fraenkel-Wandel","given":"Yedidah","non-dropping-particle":"","parse-names":false,"suffix":""},{"dropping-particle":"","family":"Raveh-Brawer","given":"David","non-dropping-particle":"","parse-names":false,"suffix":""},{"dropping-particle":"","family":"Wiener-Well","given":"Yonit","non-dropping-particle":"","parse-names":false,"suffix":""},{"dropping-particle":"","family":"Yinnon","given":"Amos M.","non-dropping-particle":"","parse-names":false,"suffix":""},{"dropping-particle":"V.","family":"Assous","given":"Marc","non-dropping-particle":"","parse-names":false,"suffix":""}],"container-title":"Journal of Antimicrobial Chemotherapy","id":"ITEM-1","issued":{"date-parts":[["2016"]]},"page":"1083-1087","title":"Mortality due to blaKPC Klebsiella pneumoniae bacteraemia","type":"article-journal","volume":"71"},"uris":["http://www.mendeley.com/documents/?uuid=dd057afc-de28-48fb-a901-75a2656e1367"]}],"mendeley":{"formattedCitation":"&lt;sup&gt;30&lt;/sup&gt;","plainTextFormattedCitation":"30","previouslyFormattedCitation":"&lt;sup&gt;30&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30</w:t>
            </w:r>
            <w:r w:rsidRPr="00904FBC">
              <w:rPr>
                <w:rFonts w:eastAsia="Times"/>
                <w:sz w:val="16"/>
                <w:szCs w:val="16"/>
              </w:rPr>
              <w:fldChar w:fldCharType="end"/>
            </w:r>
          </w:p>
        </w:tc>
        <w:tc>
          <w:tcPr>
            <w:tcW w:w="1301" w:type="dxa"/>
            <w:shd w:val="clear" w:color="auto" w:fill="auto"/>
            <w:vAlign w:val="center"/>
          </w:tcPr>
          <w:p w:rsidR="00B1258F" w:rsidRPr="00904FBC" w:rsidRDefault="00B1258F" w:rsidP="00082AA5">
            <w:pPr>
              <w:jc w:val="center"/>
              <w:rPr>
                <w:rFonts w:eastAsia="Times"/>
                <w:sz w:val="16"/>
                <w:szCs w:val="16"/>
              </w:rPr>
            </w:pPr>
            <w:r w:rsidRPr="00904FBC">
              <w:rPr>
                <w:sz w:val="16"/>
                <w:szCs w:val="16"/>
              </w:rPr>
              <w:t>68</w:t>
            </w:r>
          </w:p>
        </w:tc>
        <w:tc>
          <w:tcPr>
            <w:tcW w:w="1470" w:type="dxa"/>
            <w:vAlign w:val="center"/>
          </w:tcPr>
          <w:p w:rsidR="00B1258F" w:rsidRPr="00904FBC" w:rsidRDefault="00B1258F" w:rsidP="00082AA5">
            <w:pPr>
              <w:jc w:val="center"/>
              <w:rPr>
                <w:rFonts w:eastAsia="Times"/>
                <w:sz w:val="16"/>
                <w:szCs w:val="16"/>
              </w:rPr>
            </w:pPr>
            <w:r w:rsidRPr="00904FBC">
              <w:rPr>
                <w:sz w:val="16"/>
                <w:szCs w:val="16"/>
              </w:rPr>
              <w:t>136</w:t>
            </w:r>
          </w:p>
        </w:tc>
        <w:tc>
          <w:tcPr>
            <w:tcW w:w="1470"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19.1%</w:t>
            </w:r>
          </w:p>
        </w:tc>
        <w:tc>
          <w:tcPr>
            <w:tcW w:w="1532"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28.7%</w:t>
            </w:r>
          </w:p>
        </w:tc>
        <w:tc>
          <w:tcPr>
            <w:tcW w:w="1694"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-9.6%</w:t>
            </w:r>
          </w:p>
        </w:tc>
      </w:tr>
      <w:tr w:rsidR="00B1258F" w:rsidRPr="00904FBC" w:rsidTr="00082AA5">
        <w:trPr>
          <w:trHeight w:val="234"/>
        </w:trPr>
        <w:tc>
          <w:tcPr>
            <w:tcW w:w="9889" w:type="dxa"/>
            <w:gridSpan w:val="6"/>
            <w:shd w:val="clear" w:color="auto" w:fill="DEEBF6"/>
            <w:vAlign w:val="center"/>
          </w:tcPr>
          <w:p w:rsidR="00B1258F" w:rsidRPr="00904FBC" w:rsidRDefault="00B1258F" w:rsidP="00082AA5">
            <w:pPr>
              <w:jc w:val="center"/>
              <w:rPr>
                <w:rFonts w:eastAsia="Times"/>
                <w:sz w:val="16"/>
                <w:szCs w:val="16"/>
              </w:rPr>
            </w:pPr>
            <w:r w:rsidRPr="00904FBC">
              <w:rPr>
                <w:rFonts w:eastAsia="Times"/>
                <w:sz w:val="16"/>
                <w:szCs w:val="16"/>
              </w:rPr>
              <w:t>Length of Infection in Days</w:t>
            </w:r>
          </w:p>
        </w:tc>
      </w:tr>
      <w:tr w:rsidR="00B1258F" w:rsidRPr="00904FBC" w:rsidTr="00082AA5">
        <w:trPr>
          <w:trHeight w:val="234"/>
        </w:trPr>
        <w:tc>
          <w:tcPr>
            <w:tcW w:w="2422" w:type="dxa"/>
            <w:shd w:val="clear" w:color="auto" w:fill="auto"/>
            <w:vAlign w:val="center"/>
          </w:tcPr>
          <w:p w:rsidR="00B1258F" w:rsidRPr="00904FBC" w:rsidRDefault="00B1258F" w:rsidP="00082AA5">
            <w:pPr>
              <w:rPr>
                <w:rFonts w:eastAsia="Times"/>
                <w:sz w:val="16"/>
                <w:szCs w:val="16"/>
              </w:rPr>
            </w:pPr>
            <w:r w:rsidRPr="00904FBC">
              <w:rPr>
                <w:rFonts w:eastAsia="Times"/>
                <w:sz w:val="16"/>
                <w:szCs w:val="16"/>
              </w:rPr>
              <w:t>McLaughlin et al. 2014</w:t>
            </w:r>
            <w:r w:rsidRPr="00904FBC">
              <w:rPr>
                <w:rFonts w:eastAsia="Times"/>
                <w:sz w:val="16"/>
                <w:szCs w:val="16"/>
              </w:rPr>
              <w:fldChar w:fldCharType="begin" w:fldLock="1"/>
            </w:r>
            <w:r w:rsidRPr="00904FBC">
              <w:rPr>
                <w:rFonts w:eastAsia="Times"/>
                <w:sz w:val="16"/>
                <w:szCs w:val="16"/>
              </w:rPr>
              <w:instrText>ADDIN CSL_CITATION {"citationItems":[{"id":"ITEM-1","itemData":{"DOI":"10.1186/1471-2334-14-31","ISBN":"1471-2334 (Electronic)\\r1471-2334 (Linking)","ISSN":"14712334","PMID":"24428847","abstract":"BACKGROUND: Previous studies may have overestimated morbidity and mortality due to Klebsiella pneumoniae producing carbapenemase (KPC) Klebsiella pneumoniae infections because of difficulties in modeling patient comorbidities. This pilot study sought to evaluate KPC virulence by combining clinical and Galleria mellonella models in patients with K. pneumoniae blood stream infections (BSIs).\\n\\nMETHODS: G. mellonella were inoculated using KPC(+) and KPC(-) isolates from these patients. Extent and rapidity of insect mortality was analyzed. Patients were stratified by KPC BSI status. Clinical outcomes of mortality and length of stay post-infection for survivors (LOS) were analyzed. Median virulence scores calculated from the insect studies were imputed in the clinical model.\\n\\nRESULTS: The in-vivo model revealed greater mortality in KPC(-) isolates (p &lt; 0.001). Fifteen patients with KPC(+) BSI were matched with 60 patients with KPC(-) BSI. Hospital mortality was greater in the KPC(+) group versus the KPC(-) group (OR 3.79, 95% CI 1.00 - 14.34). LOS was longer in the KPC(+) group (p &lt; 0.01). Conversely the virulence score attenuated the association between KPC(+) status and mortality and LOS in the final translational models.\\n\\nCONCLUSIONS: KPC(+) status was associated with decreased virulence in GM. Opposite findings were observed in patients. This pilot study demonstrates that measured virulence from GM may differ from human estimates of virulence.","author":[{"dropping-particle":"","family":"McLaughlin","given":"Milena M.","non-dropping-particle":"","parse-names":false,"suffix":""},{"dropping-particle":"","family":"Advincula","given":"M. R.","non-dropping-particle":"","parse-names":false,"suffix":""},{"dropping-particle":"","family":"Malczynski","given":"Michael","non-dropping-particle":"","parse-names":false,"suffix":""},{"dropping-particle":"","family":"Barajas","given":"Grace","non-dropping-particle":"","parse-names":false,"suffix":""},{"dropping-particle":"","family":"Qi","given":"Chao","non-dropping-particle":"","parse-names":false,"suffix":""},{"dropping-particle":"","family":"Scheetz","given":"Marc H.","non-dropping-particle":"","parse-names":false,"suffix":""}],"container-title":"BMC Infectious Diseases","id":"ITEM-1","issue":"1","issued":{"date-parts":[["2014"]]},"title":"Quantifying the clinical virulence of Klebsiella pneumoniae producing carbapenemase Klebsiella pneumoniae with a Galleria mellonella model and a pilot study to translate to patient outcomes","type":"article-journal","volume":"14"},"uris":["http://www.mendeley.com/documents/?uuid=6c04363c-3942-415e-aa9a-374bb8c3611d"]}],"mendeley":{"formattedCitation":"&lt;sup&gt;29&lt;/sup&gt;","plainTextFormattedCitation":"29","previouslyFormattedCitation":"&lt;sup&gt;29&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29</w:t>
            </w:r>
            <w:r w:rsidRPr="00904FBC">
              <w:rPr>
                <w:rFonts w:eastAsia="Times"/>
                <w:sz w:val="16"/>
                <w:szCs w:val="16"/>
              </w:rPr>
              <w:fldChar w:fldCharType="end"/>
            </w:r>
          </w:p>
        </w:tc>
        <w:tc>
          <w:tcPr>
            <w:tcW w:w="1301" w:type="dxa"/>
            <w:shd w:val="clear" w:color="auto" w:fill="auto"/>
            <w:vAlign w:val="center"/>
          </w:tcPr>
          <w:p w:rsidR="00B1258F" w:rsidRPr="00904FBC" w:rsidRDefault="00B1258F" w:rsidP="00082AA5">
            <w:pPr>
              <w:jc w:val="center"/>
              <w:rPr>
                <w:rFonts w:eastAsia="Times"/>
                <w:sz w:val="16"/>
                <w:szCs w:val="16"/>
              </w:rPr>
            </w:pPr>
            <w:r w:rsidRPr="00904FBC">
              <w:rPr>
                <w:sz w:val="16"/>
                <w:szCs w:val="16"/>
              </w:rPr>
              <w:t>15</w:t>
            </w:r>
          </w:p>
        </w:tc>
        <w:tc>
          <w:tcPr>
            <w:tcW w:w="1470" w:type="dxa"/>
            <w:vAlign w:val="center"/>
          </w:tcPr>
          <w:p w:rsidR="00B1258F" w:rsidRPr="00904FBC" w:rsidRDefault="00B1258F" w:rsidP="00082AA5">
            <w:pPr>
              <w:jc w:val="center"/>
              <w:rPr>
                <w:rFonts w:eastAsia="Times"/>
                <w:sz w:val="16"/>
                <w:szCs w:val="16"/>
              </w:rPr>
            </w:pPr>
            <w:r w:rsidRPr="00904FBC">
              <w:rPr>
                <w:sz w:val="16"/>
                <w:szCs w:val="16"/>
              </w:rPr>
              <w:t>60</w:t>
            </w:r>
          </w:p>
        </w:tc>
        <w:tc>
          <w:tcPr>
            <w:tcW w:w="1470"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3 (3-4)</w:t>
            </w:r>
          </w:p>
        </w:tc>
        <w:tc>
          <w:tcPr>
            <w:tcW w:w="1532"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3 (3-5)</w:t>
            </w:r>
          </w:p>
        </w:tc>
        <w:tc>
          <w:tcPr>
            <w:tcW w:w="1694"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N/A</w:t>
            </w:r>
          </w:p>
        </w:tc>
      </w:tr>
      <w:tr w:rsidR="00B1258F" w:rsidRPr="00904FBC" w:rsidTr="00904FBC">
        <w:trPr>
          <w:trHeight w:val="234"/>
        </w:trPr>
        <w:tc>
          <w:tcPr>
            <w:tcW w:w="2422" w:type="dxa"/>
            <w:shd w:val="clear" w:color="auto" w:fill="D9D9D9"/>
            <w:vAlign w:val="center"/>
          </w:tcPr>
          <w:p w:rsidR="00B1258F" w:rsidRPr="00904FBC" w:rsidRDefault="00B1258F" w:rsidP="00082AA5">
            <w:pPr>
              <w:pageBreakBefore/>
              <w:rPr>
                <w:rFonts w:eastAsia="Times"/>
                <w:sz w:val="16"/>
                <w:szCs w:val="16"/>
              </w:rPr>
            </w:pPr>
          </w:p>
        </w:tc>
        <w:tc>
          <w:tcPr>
            <w:tcW w:w="1301" w:type="dxa"/>
            <w:shd w:val="clear" w:color="auto" w:fill="D9D9D9"/>
            <w:vAlign w:val="center"/>
          </w:tcPr>
          <w:p w:rsidR="00B1258F" w:rsidRPr="00904FBC" w:rsidRDefault="00B1258F" w:rsidP="00082AA5">
            <w:pPr>
              <w:pageBreakBefore/>
              <w:jc w:val="center"/>
              <w:rPr>
                <w:sz w:val="16"/>
                <w:szCs w:val="16"/>
              </w:rPr>
            </w:pPr>
            <w:r w:rsidRPr="00904FBC">
              <w:rPr>
                <w:rFonts w:eastAsia="Times"/>
                <w:b/>
                <w:sz w:val="16"/>
                <w:szCs w:val="16"/>
              </w:rPr>
              <w:t>Sample Size Cases</w:t>
            </w:r>
          </w:p>
        </w:tc>
        <w:tc>
          <w:tcPr>
            <w:tcW w:w="1470" w:type="dxa"/>
            <w:shd w:val="clear" w:color="auto" w:fill="D9D9D9"/>
            <w:vAlign w:val="center"/>
          </w:tcPr>
          <w:p w:rsidR="00B1258F" w:rsidRPr="00904FBC" w:rsidRDefault="00B1258F" w:rsidP="00082AA5">
            <w:pPr>
              <w:pageBreakBefore/>
              <w:jc w:val="center"/>
              <w:rPr>
                <w:sz w:val="16"/>
                <w:szCs w:val="16"/>
              </w:rPr>
            </w:pPr>
            <w:r w:rsidRPr="00904FBC">
              <w:rPr>
                <w:rFonts w:eastAsia="Times"/>
                <w:b/>
                <w:sz w:val="16"/>
                <w:szCs w:val="16"/>
              </w:rPr>
              <w:t>Sample Size Controls</w:t>
            </w:r>
          </w:p>
        </w:tc>
        <w:tc>
          <w:tcPr>
            <w:tcW w:w="1470" w:type="dxa"/>
            <w:shd w:val="clear" w:color="auto" w:fill="D9D9D9"/>
            <w:vAlign w:val="center"/>
          </w:tcPr>
          <w:p w:rsidR="00B1258F" w:rsidRPr="00904FBC" w:rsidRDefault="00B1258F" w:rsidP="00082AA5">
            <w:pPr>
              <w:pageBreakBefore/>
              <w:jc w:val="center"/>
              <w:rPr>
                <w:rFonts w:eastAsia="Times"/>
                <w:sz w:val="16"/>
                <w:szCs w:val="16"/>
              </w:rPr>
            </w:pPr>
            <w:r w:rsidRPr="00904FBC">
              <w:rPr>
                <w:rFonts w:eastAsia="Times"/>
                <w:b/>
                <w:sz w:val="16"/>
                <w:szCs w:val="16"/>
              </w:rPr>
              <w:t>Cases Results (%)</w:t>
            </w:r>
          </w:p>
        </w:tc>
        <w:tc>
          <w:tcPr>
            <w:tcW w:w="1532" w:type="dxa"/>
            <w:shd w:val="clear" w:color="auto" w:fill="D9D9D9"/>
            <w:vAlign w:val="center"/>
          </w:tcPr>
          <w:p w:rsidR="00B1258F" w:rsidRPr="00904FBC" w:rsidRDefault="00B1258F" w:rsidP="00082AA5">
            <w:pPr>
              <w:pageBreakBefore/>
              <w:jc w:val="center"/>
              <w:rPr>
                <w:rFonts w:eastAsia="Times"/>
                <w:sz w:val="16"/>
                <w:szCs w:val="16"/>
              </w:rPr>
            </w:pPr>
            <w:r w:rsidRPr="00904FBC">
              <w:rPr>
                <w:rFonts w:eastAsia="Times"/>
                <w:b/>
                <w:sz w:val="16"/>
                <w:szCs w:val="16"/>
              </w:rPr>
              <w:t>Control Results (%)</w:t>
            </w:r>
          </w:p>
        </w:tc>
        <w:tc>
          <w:tcPr>
            <w:tcW w:w="1694" w:type="dxa"/>
            <w:shd w:val="clear" w:color="auto" w:fill="D9D9D9"/>
            <w:vAlign w:val="center"/>
          </w:tcPr>
          <w:p w:rsidR="00B1258F" w:rsidRPr="00904FBC" w:rsidRDefault="00B1258F" w:rsidP="00082AA5">
            <w:pPr>
              <w:pageBreakBefore/>
              <w:jc w:val="center"/>
              <w:rPr>
                <w:rFonts w:eastAsia="Times"/>
                <w:sz w:val="16"/>
                <w:szCs w:val="16"/>
              </w:rPr>
            </w:pPr>
            <w:r w:rsidRPr="00904FBC">
              <w:rPr>
                <w:rFonts w:eastAsia="Times"/>
                <w:b/>
                <w:sz w:val="16"/>
                <w:szCs w:val="16"/>
              </w:rPr>
              <w:t>Risk Difference (%)</w:t>
            </w:r>
          </w:p>
        </w:tc>
      </w:tr>
      <w:tr w:rsidR="00B1258F" w:rsidRPr="00904FBC" w:rsidTr="00082AA5">
        <w:trPr>
          <w:trHeight w:val="68"/>
        </w:trPr>
        <w:tc>
          <w:tcPr>
            <w:tcW w:w="9889" w:type="dxa"/>
            <w:gridSpan w:val="6"/>
            <w:shd w:val="clear" w:color="auto" w:fill="FFE599"/>
            <w:vAlign w:val="center"/>
          </w:tcPr>
          <w:p w:rsidR="00B1258F" w:rsidRPr="00904FBC" w:rsidRDefault="00B1258F" w:rsidP="00082AA5">
            <w:pPr>
              <w:jc w:val="center"/>
              <w:rPr>
                <w:rFonts w:eastAsia="Times"/>
                <w:b/>
                <w:sz w:val="16"/>
                <w:szCs w:val="16"/>
              </w:rPr>
            </w:pPr>
            <w:r w:rsidRPr="00904FBC">
              <w:rPr>
                <w:rFonts w:eastAsia="Times"/>
                <w:b/>
                <w:sz w:val="16"/>
                <w:szCs w:val="16"/>
              </w:rPr>
              <w:t>Category: Antibiotic Therapy</w:t>
            </w:r>
          </w:p>
        </w:tc>
      </w:tr>
      <w:tr w:rsidR="00B1258F" w:rsidRPr="00904FBC" w:rsidTr="00082AA5">
        <w:trPr>
          <w:trHeight w:val="234"/>
        </w:trPr>
        <w:tc>
          <w:tcPr>
            <w:tcW w:w="9889" w:type="dxa"/>
            <w:gridSpan w:val="6"/>
            <w:shd w:val="clear" w:color="auto" w:fill="FFF2CC"/>
            <w:vAlign w:val="center"/>
          </w:tcPr>
          <w:p w:rsidR="00B1258F" w:rsidRPr="00904FBC" w:rsidRDefault="00B1258F" w:rsidP="00082AA5">
            <w:pPr>
              <w:jc w:val="center"/>
              <w:rPr>
                <w:rFonts w:eastAsia="Times"/>
                <w:sz w:val="16"/>
                <w:szCs w:val="16"/>
              </w:rPr>
            </w:pPr>
            <w:r w:rsidRPr="00904FBC">
              <w:rPr>
                <w:rFonts w:eastAsia="Times"/>
                <w:sz w:val="16"/>
                <w:szCs w:val="16"/>
              </w:rPr>
              <w:t>Duration of Antibiotic Therapy in Days</w:t>
            </w:r>
          </w:p>
        </w:tc>
      </w:tr>
      <w:tr w:rsidR="00B1258F" w:rsidRPr="00904FBC" w:rsidTr="00082AA5">
        <w:trPr>
          <w:trHeight w:val="234"/>
        </w:trPr>
        <w:tc>
          <w:tcPr>
            <w:tcW w:w="2422" w:type="dxa"/>
            <w:shd w:val="clear" w:color="auto" w:fill="auto"/>
            <w:vAlign w:val="center"/>
          </w:tcPr>
          <w:p w:rsidR="00B1258F" w:rsidRPr="00904FBC" w:rsidRDefault="00B1258F" w:rsidP="00082AA5">
            <w:pPr>
              <w:rPr>
                <w:rFonts w:eastAsia="Times"/>
                <w:sz w:val="16"/>
                <w:szCs w:val="16"/>
              </w:rPr>
            </w:pPr>
            <w:r w:rsidRPr="00904FBC">
              <w:rPr>
                <w:rFonts w:eastAsia="Times"/>
                <w:sz w:val="16"/>
                <w:szCs w:val="16"/>
              </w:rPr>
              <w:t>Falcone et al. 2009</w:t>
            </w:r>
            <w:r w:rsidRPr="00904FBC">
              <w:rPr>
                <w:rFonts w:eastAsia="Times"/>
                <w:sz w:val="16"/>
                <w:szCs w:val="16"/>
              </w:rPr>
              <w:fldChar w:fldCharType="begin" w:fldLock="1"/>
            </w:r>
            <w:r w:rsidRPr="00904FBC">
              <w:rPr>
                <w:rFonts w:eastAsia="Times"/>
                <w:sz w:val="16"/>
                <w:szCs w:val="16"/>
              </w:rPr>
              <w:instrText>ADDIN CSL_CITATION {"citationItems":[{"id":"ITEM-1","itemData":{"DOI":"10.1128/JCM.01193-09","ISSN":"00951137","PMID":"19741074","abstract":"The aim of this study was to ascertain the incidence and clinical significance of metallo-β-lactamases among Enterobacter strains isolated from patients with nosocomial infections. We prospectively collected data on patients with Enterobacter infection during a 13-month period. All of the strains were investigated for antibiotic susceptibility, the presence and expression of metallo-β-lactamases, and clonality. Of 29 infections (11 involving the urinary tract, 7 pneumonias, 3 skin/soft tissue infections, 3 intra-abdominal infections, 3 bacteremias, and 2 other infections), 7 (24%) were caused by Enterobacter cloacae strains harboring a bla VIM-1 gene associated or not with a bla SHV12 gene. Infections caused by VIM-1-producing strains were more frequently associated with a recent prior hospitalization (P = 0.006), cirrhosis (P = 0.03), relapse of infection (P &lt; 0.001), and more prolonged duration of antibiotic therapy (P = 0.01) than were other infections. All of the isolates were susceptible to imipenem and meropenem and had bla VIM-1 preceded by a weak P1 promoter and inactivated P2 promoters. Most VIM-1-producing Enterobacter isolates belonged to a main clone, but four different clones were found. Multiclonal VIM-1-producing E. cloacae infections are difficult to diagnose due to an apparent susceptibility to various beta-lactams, including carbapenems, and are associated with a high relapse rate and a more prolonged duration of antibiotic therapy.","author":[{"dropping-particle":"","family":"Falcone","given":"Marco","non-dropping-particle":"","parse-names":false,"suffix":""},{"dropping-particle":"","family":"Mezzatesta","given":"Maria Lina","non-dropping-particle":"","parse-names":false,"suffix":""},{"dropping-particle":"","family":"Perilli","given":"Mariagrazia","non-dropping-particle":"","parse-names":false,"suffix":""},{"dropping-particle":"","family":"Forcella","given":"Chiara","non-dropping-particle":"","parse-names":false,"suffix":""},{"dropping-particle":"","family":"Giordano","given":"Alessandra","non-dropping-particle":"","parse-names":false,"suffix":""},{"dropping-particle":"","family":"Cafiso","given":"Viviana","non-dropping-particle":"","parse-names":false,"suffix":""},{"dropping-particle":"","family":"Amicosante","given":"Gianfranco","non-dropping-particle":"","parse-names":false,"suffix":""},{"dropping-particle":"","family":"Stefani","given":"Stefania","non-dropping-particle":"","parse-names":false,"suffix":""},{"dropping-particle":"","family":"Venditti","given":"Mario","non-dropping-particle":"","parse-names":false,"suffix":""}],"container-title":"Journal of Clinical Microbiology","id":"ITEM-1","issue":"11","issued":{"date-parts":[["2009"]]},"page":"3514-3519","title":"Infections with VIM-1 metallo-β-lactamase-producing Enterobacter cloacae and their correlation with clinical outcome","type":"article-journal","volume":"47"},"uris":["http://www.mendeley.com/documents/?uuid=41b2cd5e-512b-4cfe-80f9-f945bc986919"]}],"mendeley":{"formattedCitation":"&lt;sup&gt;22&lt;/sup&gt;","plainTextFormattedCitation":"22","previouslyFormattedCitation":"&lt;sup&gt;22&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22</w:t>
            </w:r>
            <w:r w:rsidRPr="00904FBC">
              <w:rPr>
                <w:rFonts w:eastAsia="Times"/>
                <w:sz w:val="16"/>
                <w:szCs w:val="16"/>
              </w:rPr>
              <w:fldChar w:fldCharType="end"/>
            </w:r>
            <w:r w:rsidRPr="00904FBC">
              <w:rPr>
                <w:rFonts w:eastAsia="Times"/>
                <w:sz w:val="16"/>
                <w:szCs w:val="16"/>
              </w:rPr>
              <w:t xml:space="preserve"> (Mean, CI)</w:t>
            </w:r>
          </w:p>
        </w:tc>
        <w:tc>
          <w:tcPr>
            <w:tcW w:w="1301" w:type="dxa"/>
            <w:shd w:val="clear" w:color="auto" w:fill="auto"/>
            <w:vAlign w:val="center"/>
          </w:tcPr>
          <w:p w:rsidR="00B1258F" w:rsidRPr="00904FBC" w:rsidRDefault="00B1258F" w:rsidP="00082AA5">
            <w:pPr>
              <w:jc w:val="center"/>
              <w:rPr>
                <w:rFonts w:eastAsia="Times"/>
                <w:sz w:val="16"/>
                <w:szCs w:val="16"/>
              </w:rPr>
            </w:pPr>
            <w:r w:rsidRPr="00904FBC">
              <w:rPr>
                <w:sz w:val="16"/>
                <w:szCs w:val="16"/>
              </w:rPr>
              <w:t>7</w:t>
            </w:r>
          </w:p>
        </w:tc>
        <w:tc>
          <w:tcPr>
            <w:tcW w:w="1470" w:type="dxa"/>
            <w:vAlign w:val="center"/>
          </w:tcPr>
          <w:p w:rsidR="00B1258F" w:rsidRPr="00904FBC" w:rsidRDefault="00B1258F" w:rsidP="00082AA5">
            <w:pPr>
              <w:jc w:val="center"/>
              <w:rPr>
                <w:rFonts w:eastAsia="Times"/>
                <w:sz w:val="16"/>
                <w:szCs w:val="16"/>
              </w:rPr>
            </w:pPr>
            <w:r w:rsidRPr="00904FBC">
              <w:rPr>
                <w:sz w:val="16"/>
                <w:szCs w:val="16"/>
              </w:rPr>
              <w:t>22</w:t>
            </w:r>
          </w:p>
        </w:tc>
        <w:tc>
          <w:tcPr>
            <w:tcW w:w="1470"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29.7 [CI, 21.5 to 37.8]</w:t>
            </w:r>
          </w:p>
        </w:tc>
        <w:tc>
          <w:tcPr>
            <w:tcW w:w="1532"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23.6 [CI, 10.3 to 36.8]</w:t>
            </w:r>
          </w:p>
        </w:tc>
        <w:tc>
          <w:tcPr>
            <w:tcW w:w="1694"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N/A</w:t>
            </w:r>
          </w:p>
        </w:tc>
      </w:tr>
      <w:tr w:rsidR="00B1258F" w:rsidRPr="00904FBC" w:rsidTr="00082AA5">
        <w:trPr>
          <w:trHeight w:val="234"/>
        </w:trPr>
        <w:tc>
          <w:tcPr>
            <w:tcW w:w="2422" w:type="dxa"/>
            <w:shd w:val="clear" w:color="auto" w:fill="auto"/>
            <w:vAlign w:val="center"/>
          </w:tcPr>
          <w:p w:rsidR="00B1258F" w:rsidRPr="00904FBC" w:rsidRDefault="00B1258F" w:rsidP="00082AA5">
            <w:pPr>
              <w:rPr>
                <w:rFonts w:eastAsia="Times"/>
                <w:sz w:val="16"/>
                <w:szCs w:val="16"/>
              </w:rPr>
            </w:pPr>
            <w:r w:rsidRPr="00904FBC">
              <w:rPr>
                <w:rFonts w:eastAsia="Times"/>
                <w:sz w:val="16"/>
                <w:szCs w:val="16"/>
              </w:rPr>
              <w:t>McLaughlin et al. 2014</w:t>
            </w:r>
            <w:r w:rsidRPr="00904FBC">
              <w:rPr>
                <w:rFonts w:eastAsia="Times"/>
                <w:sz w:val="16"/>
                <w:szCs w:val="16"/>
              </w:rPr>
              <w:fldChar w:fldCharType="begin" w:fldLock="1"/>
            </w:r>
            <w:r w:rsidRPr="00904FBC">
              <w:rPr>
                <w:rFonts w:eastAsia="Times"/>
                <w:sz w:val="16"/>
                <w:szCs w:val="16"/>
              </w:rPr>
              <w:instrText>ADDIN CSL_CITATION {"citationItems":[{"id":"ITEM-1","itemData":{"DOI":"10.1186/1471-2334-14-31","ISBN":"1471-2334 (Electronic)\\r1471-2334 (Linking)","ISSN":"14712334","PMID":"24428847","abstract":"BACKGROUND: Previous studies may have overestimated morbidity and mortality due to Klebsiella pneumoniae producing carbapenemase (KPC) Klebsiella pneumoniae infections because of difficulties in modeling patient comorbidities. This pilot study sought to evaluate KPC virulence by combining clinical and Galleria mellonella models in patients with K. pneumoniae blood stream infections (BSIs).\\n\\nMETHODS: G. mellonella were inoculated using KPC(+) and KPC(-) isolates from these patients. Extent and rapidity of insect mortality was analyzed. Patients were stratified by KPC BSI status. Clinical outcomes of mortality and length of stay post-infection for survivors (LOS) were analyzed. Median virulence scores calculated from the insect studies were imputed in the clinical model.\\n\\nRESULTS: The in-vivo model revealed greater mortality in KPC(-) isolates (p &lt; 0.001). Fifteen patients with KPC(+) BSI were matched with 60 patients with KPC(-) BSI. Hospital mortality was greater in the KPC(+) group versus the KPC(-) group (OR 3.79, 95% CI 1.00 - 14.34). LOS was longer in the KPC(+) group (p &lt; 0.01). Conversely the virulence score attenuated the association between KPC(+) status and mortality and LOS in the final translational models.\\n\\nCONCLUSIONS: KPC(+) status was associated with decreased virulence in GM. Opposite findings were observed in patients. This pilot study demonstrates that measured virulence from GM may differ from human estimates of virulence.","author":[{"dropping-particle":"","family":"McLaughlin","given":"Milena M.","non-dropping-particle":"","parse-names":false,"suffix":""},{"dropping-particle":"","family":"Advincula","given":"M. R.","non-dropping-particle":"","parse-names":false,"suffix":""},{"dropping-particle":"","family":"Malczynski","given":"Michael","non-dropping-particle":"","parse-names":false,"suffix":""},{"dropping-particle":"","family":"Barajas","given":"Grace","non-dropping-particle":"","parse-names":false,"suffix":""},{"dropping-particle":"","family":"Qi","given":"Chao","non-dropping-particle":"","parse-names":false,"suffix":""},{"dropping-particle":"","family":"Scheetz","given":"Marc H.","non-dropping-particle":"","parse-names":false,"suffix":""}],"container-title":"BMC Infectious Diseases","id":"ITEM-1","issue":"1","issued":{"date-parts":[["2014"]]},"title":"Quantifying the clinical virulence of Klebsiella pneumoniae producing carbapenemase Klebsiella pneumoniae with a Galleria mellonella model and a pilot study to translate to patient outcomes","type":"article-journal","volume":"14"},"uris":["http://www.mendeley.com/documents/?uuid=6c04363c-3942-415e-aa9a-374bb8c3611d"]}],"mendeley":{"formattedCitation":"&lt;sup&gt;29&lt;/sup&gt;","plainTextFormattedCitation":"29","previouslyFormattedCitation":"&lt;sup&gt;29&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29</w:t>
            </w:r>
            <w:r w:rsidRPr="00904FBC">
              <w:rPr>
                <w:rFonts w:eastAsia="Times"/>
                <w:sz w:val="16"/>
                <w:szCs w:val="16"/>
              </w:rPr>
              <w:fldChar w:fldCharType="end"/>
            </w:r>
            <w:r w:rsidRPr="00904FBC">
              <w:rPr>
                <w:rFonts w:eastAsia="Times"/>
                <w:sz w:val="16"/>
                <w:szCs w:val="16"/>
              </w:rPr>
              <w:t xml:space="preserve"> (Post-Infection)*</w:t>
            </w:r>
          </w:p>
        </w:tc>
        <w:tc>
          <w:tcPr>
            <w:tcW w:w="1301" w:type="dxa"/>
            <w:shd w:val="clear" w:color="auto" w:fill="auto"/>
            <w:vAlign w:val="center"/>
          </w:tcPr>
          <w:p w:rsidR="00B1258F" w:rsidRPr="00904FBC" w:rsidRDefault="00B1258F" w:rsidP="00082AA5">
            <w:pPr>
              <w:jc w:val="center"/>
              <w:rPr>
                <w:rFonts w:eastAsia="Times"/>
                <w:sz w:val="16"/>
                <w:szCs w:val="16"/>
              </w:rPr>
            </w:pPr>
            <w:r w:rsidRPr="00904FBC">
              <w:rPr>
                <w:sz w:val="16"/>
                <w:szCs w:val="16"/>
              </w:rPr>
              <w:t>15</w:t>
            </w:r>
          </w:p>
        </w:tc>
        <w:tc>
          <w:tcPr>
            <w:tcW w:w="1470" w:type="dxa"/>
            <w:vAlign w:val="center"/>
          </w:tcPr>
          <w:p w:rsidR="00B1258F" w:rsidRPr="00904FBC" w:rsidRDefault="00B1258F" w:rsidP="00082AA5">
            <w:pPr>
              <w:jc w:val="center"/>
              <w:rPr>
                <w:rFonts w:eastAsia="Times"/>
                <w:sz w:val="16"/>
                <w:szCs w:val="16"/>
              </w:rPr>
            </w:pPr>
            <w:r w:rsidRPr="00904FBC">
              <w:rPr>
                <w:sz w:val="16"/>
                <w:szCs w:val="16"/>
              </w:rPr>
              <w:t>60</w:t>
            </w:r>
          </w:p>
        </w:tc>
        <w:tc>
          <w:tcPr>
            <w:tcW w:w="1470"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13 (8-18)</w:t>
            </w:r>
          </w:p>
        </w:tc>
        <w:tc>
          <w:tcPr>
            <w:tcW w:w="1532"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6.5 (4-10)</w:t>
            </w:r>
          </w:p>
        </w:tc>
        <w:tc>
          <w:tcPr>
            <w:tcW w:w="1694"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N/A</w:t>
            </w:r>
          </w:p>
        </w:tc>
      </w:tr>
      <w:tr w:rsidR="00B1258F" w:rsidRPr="00904FBC" w:rsidTr="00082AA5">
        <w:trPr>
          <w:trHeight w:val="234"/>
        </w:trPr>
        <w:tc>
          <w:tcPr>
            <w:tcW w:w="2422" w:type="dxa"/>
            <w:shd w:val="clear" w:color="auto" w:fill="auto"/>
            <w:vAlign w:val="center"/>
          </w:tcPr>
          <w:p w:rsidR="00B1258F" w:rsidRPr="00904FBC" w:rsidRDefault="00B1258F" w:rsidP="00082AA5">
            <w:pPr>
              <w:rPr>
                <w:rFonts w:eastAsia="Times"/>
                <w:sz w:val="16"/>
                <w:szCs w:val="16"/>
              </w:rPr>
            </w:pPr>
            <w:r w:rsidRPr="00904FBC">
              <w:rPr>
                <w:rFonts w:eastAsia="Times"/>
                <w:sz w:val="16"/>
                <w:szCs w:val="16"/>
              </w:rPr>
              <w:t>Sbrana et al. 2016</w:t>
            </w:r>
            <w:r w:rsidRPr="00904FBC">
              <w:rPr>
                <w:rFonts w:eastAsia="Times"/>
                <w:sz w:val="16"/>
                <w:szCs w:val="16"/>
              </w:rPr>
              <w:fldChar w:fldCharType="begin" w:fldLock="1"/>
            </w:r>
            <w:r w:rsidRPr="00904FBC">
              <w:rPr>
                <w:rFonts w:eastAsia="Times"/>
                <w:sz w:val="16"/>
                <w:szCs w:val="16"/>
              </w:rPr>
              <w:instrText>ADDIN CSL_CITATION {"citationItems":[{"id":"ITEM-1","itemData":{"author":[{"dropping-particle":"","family":"Sbrana","given":"Francesco","non-dropping-particle":"","parse-names":false,"suffix":""},{"dropping-particle":"","family":"Malacarne","given":"Paolo","non-dropping-particle":"","parse-names":false,"suffix":""},{"dropping-particle":"","family":"Bassetti","given":"Matteo","non-dropping-particle":"","parse-names":false,"suffix":""},{"dropping-particle":"","family":"Tascini","given":"Carlo","non-dropping-particle":"","parse-names":false,"suffix":""},{"dropping-particle":"","family":"Vegnuti","given":"Lara","non-dropping-particle":"","parse-names":false,"suffix":""},{"dropping-particle":"Della","family":"Siega","given":"Paola","non-dropping-particle":"","parse-names":false,"suffix":""},{"dropping-particle":"","family":"Ripoli","given":"Andrea","non-dropping-particle":"","parse-names":false,"suffix":""},{"dropping-particle":"","family":"Ansaldi","given":"Filippo","non-dropping-particle":"","parse-names":false,"suffix":""},{"dropping-particle":"","family":"Menichetti","given":"Francesco","non-dropping-particle":"","parse-names":false,"suffix":""},{"dropping-particle":"","family":"Toscana","given":"Fondazione","non-dropping-particle":"","parse-names":false,"suffix":""},{"dropping-particle":"","family":"Monasterio","given":"Gabriele","non-dropping-particle":"","parse-names":false,"suffix":""},{"dropping-particle":"","family":"Anestesia","given":"U O","non-dropping-particle":"","parse-names":false,"suffix":""},{"dropping-particle":"","family":"Vi","given":"Rianimazione","non-dropping-particle":"","parse-names":false,"suffix":""}],"container-title":"Minerva Anestesiologica","id":"ITEM-1","issue":"6","issued":{"date-parts":[["2016"]]},"page":"635-640","title":"Risk factors for ventilator associated pneumonia due to carbapenemase-producing Klebsiella pneumoniae in mechanically ventilated patients with tracheal and rectal colonization","type":"article-journal","volume":"82"},"uris":["http://www.mendeley.com/documents/?uuid=28c1b302-1a2e-41ed-8330-9a95ab9dde68"]}],"mendeley":{"formattedCitation":"&lt;sup&gt;23&lt;/sup&gt;","plainTextFormattedCitation":"23","previouslyFormattedCitation":"&lt;sup&gt;23&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23</w:t>
            </w:r>
            <w:r w:rsidRPr="00904FBC">
              <w:rPr>
                <w:rFonts w:eastAsia="Times"/>
                <w:sz w:val="16"/>
                <w:szCs w:val="16"/>
              </w:rPr>
              <w:fldChar w:fldCharType="end"/>
            </w:r>
            <w:r w:rsidRPr="00904FBC">
              <w:rPr>
                <w:rFonts w:eastAsia="Times"/>
                <w:sz w:val="16"/>
                <w:szCs w:val="16"/>
              </w:rPr>
              <w:t xml:space="preserve">  (Post-Colonization)*</w:t>
            </w:r>
          </w:p>
        </w:tc>
        <w:tc>
          <w:tcPr>
            <w:tcW w:w="1301" w:type="dxa"/>
            <w:shd w:val="clear" w:color="auto" w:fill="auto"/>
            <w:vAlign w:val="center"/>
          </w:tcPr>
          <w:p w:rsidR="00B1258F" w:rsidRPr="00904FBC" w:rsidRDefault="00B1258F" w:rsidP="00082AA5">
            <w:pPr>
              <w:jc w:val="center"/>
              <w:rPr>
                <w:rFonts w:eastAsia="Times"/>
                <w:sz w:val="16"/>
                <w:szCs w:val="16"/>
              </w:rPr>
            </w:pPr>
            <w:r w:rsidRPr="00904FBC">
              <w:rPr>
                <w:sz w:val="16"/>
                <w:szCs w:val="16"/>
              </w:rPr>
              <w:t>30</w:t>
            </w:r>
          </w:p>
        </w:tc>
        <w:tc>
          <w:tcPr>
            <w:tcW w:w="1470" w:type="dxa"/>
            <w:vAlign w:val="center"/>
          </w:tcPr>
          <w:p w:rsidR="00B1258F" w:rsidRPr="00904FBC" w:rsidRDefault="00B1258F" w:rsidP="00082AA5">
            <w:pPr>
              <w:jc w:val="center"/>
              <w:rPr>
                <w:rFonts w:eastAsia="Times"/>
                <w:sz w:val="16"/>
                <w:szCs w:val="16"/>
              </w:rPr>
            </w:pPr>
            <w:r w:rsidRPr="00904FBC">
              <w:rPr>
                <w:sz w:val="16"/>
                <w:szCs w:val="16"/>
              </w:rPr>
              <w:t>60</w:t>
            </w:r>
          </w:p>
        </w:tc>
        <w:tc>
          <w:tcPr>
            <w:tcW w:w="1470"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4 (2-5)</w:t>
            </w:r>
          </w:p>
        </w:tc>
        <w:tc>
          <w:tcPr>
            <w:tcW w:w="1532"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1 (0-3)</w:t>
            </w:r>
          </w:p>
        </w:tc>
        <w:tc>
          <w:tcPr>
            <w:tcW w:w="1694"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N/A</w:t>
            </w:r>
          </w:p>
        </w:tc>
      </w:tr>
      <w:tr w:rsidR="00B1258F" w:rsidRPr="00904FBC" w:rsidTr="00082AA5">
        <w:trPr>
          <w:trHeight w:val="234"/>
        </w:trPr>
        <w:tc>
          <w:tcPr>
            <w:tcW w:w="9889" w:type="dxa"/>
            <w:gridSpan w:val="6"/>
            <w:shd w:val="clear" w:color="auto" w:fill="FFF2CC"/>
            <w:vAlign w:val="center"/>
          </w:tcPr>
          <w:p w:rsidR="00B1258F" w:rsidRPr="00904FBC" w:rsidRDefault="00B1258F" w:rsidP="00082AA5">
            <w:pPr>
              <w:jc w:val="center"/>
              <w:rPr>
                <w:rFonts w:eastAsia="Times"/>
                <w:sz w:val="16"/>
                <w:szCs w:val="16"/>
              </w:rPr>
            </w:pPr>
            <w:r w:rsidRPr="00904FBC">
              <w:rPr>
                <w:rFonts w:eastAsia="Times"/>
                <w:sz w:val="16"/>
                <w:szCs w:val="16"/>
              </w:rPr>
              <w:t>Full-Course Completed</w:t>
            </w:r>
          </w:p>
        </w:tc>
      </w:tr>
      <w:tr w:rsidR="00B1258F" w:rsidRPr="00904FBC" w:rsidTr="00082AA5">
        <w:trPr>
          <w:trHeight w:val="234"/>
        </w:trPr>
        <w:tc>
          <w:tcPr>
            <w:tcW w:w="2422" w:type="dxa"/>
            <w:shd w:val="clear" w:color="auto" w:fill="auto"/>
            <w:vAlign w:val="center"/>
          </w:tcPr>
          <w:p w:rsidR="00B1258F" w:rsidRPr="00904FBC" w:rsidRDefault="00B1258F" w:rsidP="00082AA5">
            <w:pPr>
              <w:rPr>
                <w:rFonts w:eastAsia="Times"/>
                <w:sz w:val="16"/>
                <w:szCs w:val="16"/>
              </w:rPr>
            </w:pPr>
            <w:r w:rsidRPr="00904FBC">
              <w:rPr>
                <w:rFonts w:eastAsia="Times"/>
                <w:sz w:val="16"/>
                <w:szCs w:val="16"/>
              </w:rPr>
              <w:t>López-González et al. 2017</w:t>
            </w:r>
            <w:r w:rsidRPr="00904FBC">
              <w:rPr>
                <w:rFonts w:eastAsia="Times"/>
                <w:sz w:val="16"/>
                <w:szCs w:val="16"/>
              </w:rPr>
              <w:fldChar w:fldCharType="begin" w:fldLock="1"/>
            </w:r>
            <w:r w:rsidRPr="00904FBC">
              <w:rPr>
                <w:rFonts w:eastAsia="Times"/>
                <w:sz w:val="16"/>
                <w:szCs w:val="16"/>
              </w:rPr>
              <w:instrText>ADDIN CSL_CITATION {"citationItems":[{"id":"ITEM-1","itemData":{"abstract":"Objective. The aim of this study is to know epidemiologic and clinical differences among those patients colonized or infected by carbapenemase-producing Enterobacteriaceae (CPE) and develop a predictive model to facilitate the clinical approach concerning to start antimicrobial therapy. Methods. Observational retrospective cohort study was performed involving all patients with Urine carbapenemase- producing Enterobacteriaceae isolation (UCPEI) between November 2013 and July 2015. Patients were classifieds as colonized or infected considering Center for Disease Control and Prevention (CDC) definition for urinary tract infection (UTI). Results. A total of 72 patients were included, mean age 76.4 (IQR 23-99) years and 40 (55.6%) were women. Thirty-four (47.2%) were colonized and 38 (52.8%) met the criteria of UTI and were considered infected. The independent variables associated to infection were female sex, peripheral vascular disease, admission in medical ward, permanent urinary catheter carrier, previous antimicrobial therapy, and length of stay. Isolation of OXA-48 carbapenemase- producing Enterobacteriaceae behaved as a non UTI (colonization) factor in comparison with KPC or VIM CPE. The developed predictive model showed an area under the curve (AUC) of 0.901 (95% CI: 0.832-0.970; p &lt; 0.001). Conclusion. The predictive model that includes all this factors has demonstrated a good accuracy for infection diagnosis in these patients, an important issue considering that establishing the diagnosis of infection is not always easy in the profile of patients in which a CPE is isolated.Copyright © The Author 2017. Published by Sociedad Espanola de Quimioterapia. All rights reserved.","author":[{"dropping-particle":"","family":"Lopez-Gonzalez","given":"Laura","non-dropping-particle":"","parse-names":false,"suffix":""},{"dropping-particle":"","family":"Candel","given":"Francisco","non-dropping-particle":"","parse-names":false,"suffix":""},{"dropping-particle":"","family":"Vinuela-Prieto","given":"Jose","non-dropping-particle":"","parse-names":false,"suffix":""},{"dropping-particle":"","family":"Gonzalez-Del Castillo","given":"Juan","non-dropping-particle":"","parse-names":false,"suffix":""},{"dropping-particle":"","family":"Garcia","given":"Ana","non-dropping-particle":"","parse-names":false,"suffix":""},{"dropping-particle":"","family":"Pena","given":"Irene","non-dropping-particle":"","parse-names":false,"suffix":""},{"dropping-particle":"","family":"Rodriguez-Avail","given":"Iciar","non-dropping-particle":"","parse-names":false,"suffix":""}],"container-title":"Revista Espanola de Quimioterapia","id":"ITEM-1","issue":"6","issued":{"date-parts":[["2017"]]},"page":"450-457","title":"Useful independent factors for distinguish infection and colonization in patients with urinary carbapenemase-producing Enterobacteriaceae isolation","type":"article-journal","volume":"30"},"uris":["http://www.mendeley.com/documents/?uuid=3d965463-4211-4725-8a11-fec67539bf07"]}],"mendeley":{"formattedCitation":"&lt;sup&gt;31&lt;/sup&gt;","plainTextFormattedCitation":"31","previouslyFormattedCitation":"&lt;sup&gt;31&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31</w:t>
            </w:r>
            <w:r w:rsidRPr="00904FBC">
              <w:rPr>
                <w:rFonts w:eastAsia="Times"/>
                <w:sz w:val="16"/>
                <w:szCs w:val="16"/>
              </w:rPr>
              <w:fldChar w:fldCharType="end"/>
            </w:r>
          </w:p>
        </w:tc>
        <w:tc>
          <w:tcPr>
            <w:tcW w:w="1301" w:type="dxa"/>
            <w:shd w:val="clear" w:color="auto" w:fill="auto"/>
            <w:vAlign w:val="center"/>
          </w:tcPr>
          <w:p w:rsidR="00B1258F" w:rsidRPr="00904FBC" w:rsidRDefault="00B1258F" w:rsidP="00082AA5">
            <w:pPr>
              <w:jc w:val="center"/>
              <w:rPr>
                <w:rFonts w:eastAsia="Times"/>
                <w:sz w:val="16"/>
                <w:szCs w:val="16"/>
              </w:rPr>
            </w:pPr>
            <w:r w:rsidRPr="00904FBC">
              <w:rPr>
                <w:sz w:val="16"/>
                <w:szCs w:val="16"/>
              </w:rPr>
              <w:t>38</w:t>
            </w:r>
          </w:p>
        </w:tc>
        <w:tc>
          <w:tcPr>
            <w:tcW w:w="1470" w:type="dxa"/>
            <w:vAlign w:val="center"/>
          </w:tcPr>
          <w:p w:rsidR="00B1258F" w:rsidRPr="00904FBC" w:rsidRDefault="00B1258F" w:rsidP="00082AA5">
            <w:pPr>
              <w:jc w:val="center"/>
              <w:rPr>
                <w:rFonts w:eastAsia="Times"/>
                <w:sz w:val="16"/>
                <w:szCs w:val="16"/>
              </w:rPr>
            </w:pPr>
            <w:r w:rsidRPr="00904FBC">
              <w:rPr>
                <w:sz w:val="16"/>
                <w:szCs w:val="16"/>
              </w:rPr>
              <w:t>34</w:t>
            </w:r>
          </w:p>
        </w:tc>
        <w:tc>
          <w:tcPr>
            <w:tcW w:w="1470"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81.6%</w:t>
            </w:r>
          </w:p>
        </w:tc>
        <w:tc>
          <w:tcPr>
            <w:tcW w:w="1532"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64.7%</w:t>
            </w:r>
          </w:p>
        </w:tc>
        <w:tc>
          <w:tcPr>
            <w:tcW w:w="1694"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16.9%</w:t>
            </w:r>
          </w:p>
        </w:tc>
      </w:tr>
      <w:tr w:rsidR="00B1258F" w:rsidRPr="00904FBC" w:rsidTr="00082AA5">
        <w:trPr>
          <w:trHeight w:val="234"/>
        </w:trPr>
        <w:tc>
          <w:tcPr>
            <w:tcW w:w="9889" w:type="dxa"/>
            <w:gridSpan w:val="6"/>
            <w:shd w:val="clear" w:color="auto" w:fill="FFF2CC"/>
            <w:vAlign w:val="center"/>
          </w:tcPr>
          <w:p w:rsidR="00B1258F" w:rsidRPr="00904FBC" w:rsidRDefault="00B1258F" w:rsidP="00082AA5">
            <w:pPr>
              <w:jc w:val="center"/>
              <w:rPr>
                <w:rFonts w:eastAsia="Times"/>
                <w:sz w:val="16"/>
                <w:szCs w:val="16"/>
              </w:rPr>
            </w:pPr>
            <w:r w:rsidRPr="00904FBC">
              <w:rPr>
                <w:rFonts w:eastAsia="Times"/>
                <w:sz w:val="16"/>
                <w:szCs w:val="16"/>
              </w:rPr>
              <w:t>Appropriate Antibiotics Administered</w:t>
            </w:r>
          </w:p>
        </w:tc>
      </w:tr>
      <w:tr w:rsidR="00B1258F" w:rsidRPr="00904FBC" w:rsidTr="00082AA5">
        <w:trPr>
          <w:trHeight w:val="234"/>
        </w:trPr>
        <w:tc>
          <w:tcPr>
            <w:tcW w:w="2422" w:type="dxa"/>
            <w:shd w:val="clear" w:color="auto" w:fill="auto"/>
            <w:vAlign w:val="center"/>
          </w:tcPr>
          <w:p w:rsidR="00B1258F" w:rsidRPr="00904FBC" w:rsidRDefault="00B1258F" w:rsidP="00082AA5">
            <w:pPr>
              <w:rPr>
                <w:rFonts w:eastAsia="Times"/>
                <w:sz w:val="16"/>
                <w:szCs w:val="16"/>
              </w:rPr>
            </w:pPr>
            <w:r w:rsidRPr="00904FBC">
              <w:rPr>
                <w:rFonts w:eastAsia="Times"/>
                <w:sz w:val="16"/>
                <w:szCs w:val="16"/>
              </w:rPr>
              <w:t>Fraenkel-Wandel et al. 2016</w:t>
            </w:r>
            <w:r w:rsidRPr="00904FBC">
              <w:rPr>
                <w:rFonts w:eastAsia="Times"/>
                <w:sz w:val="16"/>
                <w:szCs w:val="16"/>
              </w:rPr>
              <w:fldChar w:fldCharType="begin" w:fldLock="1"/>
            </w:r>
            <w:r w:rsidRPr="00904FBC">
              <w:rPr>
                <w:rFonts w:eastAsia="Times"/>
                <w:sz w:val="16"/>
                <w:szCs w:val="16"/>
              </w:rPr>
              <w:instrText>ADDIN CSL_CITATION {"citationItems":[{"id":"ITEM-1","itemData":{"DOI":"10.1093/jac/dkv414","abstract":"OBJECTIVES To determine the mortality rate secondary to blaKPC Klebsiella pneumoniae (KPC/Kp) bacteraemia, compared with that from ESBL-producing K. pneumoniae (ESBL/Kp) bacteraemia, and to determine associated risk factors. METHODS This was a retrospective case-control study of all 68 KPC/Kp bacteraemia patients diagnosed since 2006, matched by year of isolation, gender and age, at a ratio of 1:2, to 136 ESBL/Kp bacteraemia patients. RESULTS There were no demographic differences between the two groups, but there were minor clinical differences. Fewer KPC/Kp study patients than ESBL/Kp control patients had a systolic blood pressure &lt;90 mmHg (32/68, 47% versus 86/136, 63%, respectively, P = 0.02) or urinary catheterization (32/68, 47% versus 90/136, 66%, respectively, P = 0.005), while the KPC/Kp bacteraemia group had a greater incidence of acute renal failure (45/68, 66% versus 67/136, 49%, respectively, P = 0.02). There was no difference between the two groups in duration of hospitalization. The mortality rate of the KPC/Kp bacteraemia group was 44/68 (65%) compared with 54/136 (40%) in the ESBL/Kp bacteraemia control group (P = 0.008), which in the multivariate analysis remained highly significant (P &lt; 0.001). Only 11/68 (16%) of KPC/Kp patients were functionally independent at discharge compared with 43/136 (32%) ESBL/Kp patients (P = 0.012). CONCLUSIONS The selection of an ESBL/Kp control cohort with a ratio of 1:2 (study versus control group) helped resolve an as yet insufficiently settled question: bacteraemia with KPC/Kp is an independent risk factor for death, justifying the strict adherence to cohorting and isolation procedures.","author":[{"dropping-particle":"","family":"Fraenkel-Wandel","given":"Yedidah","non-dropping-particle":"","parse-names":false,"suffix":""},{"dropping-particle":"","family":"Raveh-Brawer","given":"David","non-dropping-particle":"","parse-names":false,"suffix":""},{"dropping-particle":"","family":"Wiener-Well","given":"Yonit","non-dropping-particle":"","parse-names":false,"suffix":""},{"dropping-particle":"","family":"Yinnon","given":"Amos M.","non-dropping-particle":"","parse-names":false,"suffix":""},{"dropping-particle":"V.","family":"Assous","given":"Marc","non-dropping-particle":"","parse-names":false,"suffix":""}],"container-title":"Journal of Antimicrobial Chemotherapy","id":"ITEM-1","issued":{"date-parts":[["2016"]]},"page":"1083-1087","title":"Mortality due to blaKPC Klebsiella pneumoniae bacteraemia","type":"article-journal","volume":"71"},"uris":["http://www.mendeley.com/documents/?uuid=dd057afc-de28-48fb-a901-75a2656e1367"]}],"mendeley":{"formattedCitation":"&lt;sup&gt;30&lt;/sup&gt;","plainTextFormattedCitation":"30","previouslyFormattedCitation":"&lt;sup&gt;30&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30</w:t>
            </w:r>
            <w:r w:rsidRPr="00904FBC">
              <w:rPr>
                <w:rFonts w:eastAsia="Times"/>
                <w:sz w:val="16"/>
                <w:szCs w:val="16"/>
              </w:rPr>
              <w:fldChar w:fldCharType="end"/>
            </w:r>
          </w:p>
        </w:tc>
        <w:tc>
          <w:tcPr>
            <w:tcW w:w="1301" w:type="dxa"/>
            <w:shd w:val="clear" w:color="auto" w:fill="auto"/>
            <w:vAlign w:val="center"/>
          </w:tcPr>
          <w:p w:rsidR="00B1258F" w:rsidRPr="00904FBC" w:rsidRDefault="00B1258F" w:rsidP="00082AA5">
            <w:pPr>
              <w:jc w:val="center"/>
              <w:rPr>
                <w:rFonts w:eastAsia="Times"/>
                <w:sz w:val="16"/>
                <w:szCs w:val="16"/>
              </w:rPr>
            </w:pPr>
            <w:r w:rsidRPr="00904FBC">
              <w:rPr>
                <w:sz w:val="16"/>
                <w:szCs w:val="16"/>
              </w:rPr>
              <w:t>68</w:t>
            </w:r>
          </w:p>
        </w:tc>
        <w:tc>
          <w:tcPr>
            <w:tcW w:w="1470" w:type="dxa"/>
            <w:vAlign w:val="center"/>
          </w:tcPr>
          <w:p w:rsidR="00B1258F" w:rsidRPr="00904FBC" w:rsidRDefault="00B1258F" w:rsidP="00082AA5">
            <w:pPr>
              <w:jc w:val="center"/>
              <w:rPr>
                <w:rFonts w:eastAsia="Times"/>
                <w:sz w:val="16"/>
                <w:szCs w:val="16"/>
              </w:rPr>
            </w:pPr>
            <w:r w:rsidRPr="00904FBC">
              <w:rPr>
                <w:sz w:val="16"/>
                <w:szCs w:val="16"/>
              </w:rPr>
              <w:t>136</w:t>
            </w:r>
          </w:p>
        </w:tc>
        <w:tc>
          <w:tcPr>
            <w:tcW w:w="1470"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44.2%</w:t>
            </w:r>
          </w:p>
        </w:tc>
        <w:tc>
          <w:tcPr>
            <w:tcW w:w="1532"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39.7%</w:t>
            </w:r>
          </w:p>
        </w:tc>
        <w:tc>
          <w:tcPr>
            <w:tcW w:w="1694"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4.5%</w:t>
            </w:r>
          </w:p>
        </w:tc>
      </w:tr>
      <w:tr w:rsidR="00B1258F" w:rsidRPr="00904FBC" w:rsidTr="00082AA5">
        <w:trPr>
          <w:trHeight w:val="234"/>
        </w:trPr>
        <w:tc>
          <w:tcPr>
            <w:tcW w:w="9889" w:type="dxa"/>
            <w:gridSpan w:val="6"/>
            <w:shd w:val="clear" w:color="auto" w:fill="E1CBFF"/>
          </w:tcPr>
          <w:p w:rsidR="00B1258F" w:rsidRPr="00904FBC" w:rsidRDefault="00B1258F" w:rsidP="00082AA5">
            <w:pPr>
              <w:jc w:val="center"/>
              <w:rPr>
                <w:rFonts w:eastAsia="Times"/>
                <w:b/>
                <w:sz w:val="16"/>
                <w:szCs w:val="16"/>
              </w:rPr>
            </w:pPr>
            <w:r w:rsidRPr="00904FBC">
              <w:rPr>
                <w:rFonts w:eastAsia="Times"/>
                <w:b/>
                <w:sz w:val="16"/>
                <w:szCs w:val="16"/>
              </w:rPr>
              <w:t>Category: Length of Stay</w:t>
            </w:r>
          </w:p>
        </w:tc>
      </w:tr>
      <w:tr w:rsidR="00B1258F" w:rsidRPr="00904FBC" w:rsidTr="00082AA5">
        <w:trPr>
          <w:trHeight w:val="234"/>
        </w:trPr>
        <w:tc>
          <w:tcPr>
            <w:tcW w:w="9889" w:type="dxa"/>
            <w:gridSpan w:val="6"/>
            <w:shd w:val="clear" w:color="auto" w:fill="ECE3F2"/>
            <w:vAlign w:val="center"/>
          </w:tcPr>
          <w:p w:rsidR="00B1258F" w:rsidRPr="00904FBC" w:rsidRDefault="00B1258F" w:rsidP="00082AA5">
            <w:pPr>
              <w:jc w:val="center"/>
              <w:rPr>
                <w:rFonts w:eastAsia="Times"/>
                <w:sz w:val="16"/>
                <w:szCs w:val="16"/>
              </w:rPr>
            </w:pPr>
            <w:r w:rsidRPr="00904FBC">
              <w:rPr>
                <w:rFonts w:eastAsia="Times"/>
                <w:sz w:val="16"/>
                <w:szCs w:val="16"/>
              </w:rPr>
              <w:t>Post-Infection Stay in Days</w:t>
            </w:r>
          </w:p>
        </w:tc>
      </w:tr>
      <w:tr w:rsidR="00B1258F" w:rsidRPr="00904FBC" w:rsidTr="00082AA5">
        <w:trPr>
          <w:trHeight w:val="234"/>
        </w:trPr>
        <w:tc>
          <w:tcPr>
            <w:tcW w:w="2422" w:type="dxa"/>
            <w:shd w:val="clear" w:color="auto" w:fill="auto"/>
            <w:vAlign w:val="center"/>
          </w:tcPr>
          <w:p w:rsidR="00B1258F" w:rsidRPr="00904FBC" w:rsidRDefault="00B1258F" w:rsidP="00082AA5">
            <w:pPr>
              <w:rPr>
                <w:rFonts w:eastAsia="Times"/>
                <w:sz w:val="16"/>
                <w:szCs w:val="16"/>
              </w:rPr>
            </w:pPr>
            <w:r w:rsidRPr="00904FBC">
              <w:rPr>
                <w:rFonts w:eastAsia="Times"/>
                <w:sz w:val="16"/>
                <w:szCs w:val="16"/>
              </w:rPr>
              <w:t>Ben-David et al. 2012</w:t>
            </w:r>
            <w:r w:rsidRPr="00904FBC">
              <w:rPr>
                <w:rFonts w:eastAsia="Times"/>
                <w:sz w:val="16"/>
                <w:szCs w:val="16"/>
              </w:rPr>
              <w:fldChar w:fldCharType="begin" w:fldLock="1"/>
            </w:r>
            <w:r w:rsidRPr="00904FBC">
              <w:rPr>
                <w:rFonts w:eastAsia="Times"/>
                <w:sz w:val="16"/>
                <w:szCs w:val="16"/>
              </w:rPr>
              <w:instrText>ADDIN CSL_CITATION {"citationItems":[{"id":"ITEM-1","itemData":{"DOI":"10.1111/j.1469-0691.2011.03478.x","ISBN":"1469-0691 (Electronic)\\n1198-743X (Linking)","ISSN":"14690691","PMID":"21722257","abstract":"The aim of this study was to evaluate the impact of carbapenem-resistant K. pneumoniae bloodstream infections on mortality. During the study period 42, 68 and 120 patients were identified with carbapenem-resistant, extended-spectrum b-lactamase producers (ESBL) and susceptible K. pneumoniae bloodstream infections, respectively. Patients with carbapenem-resistant K. pneumoniae had higher rates of prior antimicrobial exposure, other nosocomial infections, and use of invasive devices. Infection-related mortality was 48% for carba-penem-resistant, 22% for ESBL producers and 17% for susceptible K. pneumoniae. Independent risk factors for infection-related mortality were Pitt bacteraemia score, Charlson score and carbapenem resistance.","author":[{"dropping-particle":"","family":"Ben-David","given":"D.","non-dropping-particle":"","parse-names":false,"suffix":""},{"dropping-particle":"","family":"Kordevani","given":"R.","non-dropping-particle":"","parse-names":false,"suffix":""},{"dropping-particle":"","family":"Keller","given":"N.","non-dropping-particle":"","parse-names":false,"suffix":""},{"dropping-particle":"","family":"Tal","given":"I.","non-dropping-particle":"","parse-names":false,"suffix":""},{"dropping-particle":"","family":"Marzel","given":"A.","non-dropping-particle":"","parse-names":false,"suffix":""},{"dropping-particle":"","family":"Gal-Mor","given":"O.","non-dropping-particle":"","parse-names":false,"suffix":""},{"dropping-particle":"","family":"Maor","given":"Y.","non-dropping-particle":"","parse-names":false,"suffix":""},{"dropping-particle":"","family":"Rahav","given":"G.","non-dropping-particle":"","parse-names":false,"suffix":""}],"container-title":"Clinical Microbiology and Infection","id":"ITEM-1","issue":"1","issued":{"date-parts":[["2012"]]},"page":"54-60","publisher":"European Society of Clinical Infectious Diseases","title":"Outcome of carbapenem resistant Klebsiella pneumoniae bloodstream infections","type":"article-journal","volume":"18"},"uris":["http://www.mendeley.com/documents/?uuid=cfc2f597-6823-41b8-8ee6-f24676d8e5f7"]}],"mendeley":{"formattedCitation":"&lt;sup&gt;28&lt;/sup&gt;","plainTextFormattedCitation":"28","previouslyFormattedCitation":"&lt;sup&gt;28&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28</w:t>
            </w:r>
            <w:r w:rsidRPr="00904FBC">
              <w:rPr>
                <w:rFonts w:eastAsia="Times"/>
                <w:sz w:val="16"/>
                <w:szCs w:val="16"/>
              </w:rPr>
              <w:fldChar w:fldCharType="end"/>
            </w:r>
            <w:r w:rsidRPr="00904FBC">
              <w:rPr>
                <w:rFonts w:eastAsia="Times"/>
                <w:sz w:val="16"/>
                <w:szCs w:val="16"/>
              </w:rPr>
              <w:t>*</w:t>
            </w:r>
          </w:p>
        </w:tc>
        <w:tc>
          <w:tcPr>
            <w:tcW w:w="1301"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42</w:t>
            </w:r>
          </w:p>
        </w:tc>
        <w:tc>
          <w:tcPr>
            <w:tcW w:w="1470" w:type="dxa"/>
            <w:vAlign w:val="center"/>
          </w:tcPr>
          <w:p w:rsidR="00B1258F" w:rsidRPr="00904FBC" w:rsidRDefault="00B1258F" w:rsidP="00082AA5">
            <w:pPr>
              <w:jc w:val="center"/>
              <w:rPr>
                <w:rFonts w:eastAsia="Times"/>
                <w:sz w:val="16"/>
                <w:szCs w:val="16"/>
              </w:rPr>
            </w:pPr>
            <w:r w:rsidRPr="00904FBC">
              <w:rPr>
                <w:rFonts w:eastAsia="Times"/>
                <w:sz w:val="16"/>
                <w:szCs w:val="16"/>
              </w:rPr>
              <w:t>150</w:t>
            </w:r>
          </w:p>
        </w:tc>
        <w:tc>
          <w:tcPr>
            <w:tcW w:w="1470"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18 (22)</w:t>
            </w:r>
          </w:p>
        </w:tc>
        <w:tc>
          <w:tcPr>
            <w:tcW w:w="1532"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CS-KP - 9 (16); ESBL-KP - 16 (34)</w:t>
            </w:r>
          </w:p>
        </w:tc>
        <w:tc>
          <w:tcPr>
            <w:tcW w:w="1694"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N/A</w:t>
            </w:r>
          </w:p>
        </w:tc>
      </w:tr>
      <w:tr w:rsidR="00B1258F" w:rsidRPr="00904FBC" w:rsidTr="00082AA5">
        <w:trPr>
          <w:trHeight w:val="234"/>
        </w:trPr>
        <w:tc>
          <w:tcPr>
            <w:tcW w:w="9889" w:type="dxa"/>
            <w:gridSpan w:val="6"/>
            <w:shd w:val="clear" w:color="auto" w:fill="ECE3F2"/>
            <w:vAlign w:val="center"/>
          </w:tcPr>
          <w:p w:rsidR="00B1258F" w:rsidRPr="00904FBC" w:rsidRDefault="00B1258F" w:rsidP="00082AA5">
            <w:pPr>
              <w:jc w:val="center"/>
              <w:rPr>
                <w:rFonts w:eastAsia="Times"/>
                <w:sz w:val="16"/>
                <w:szCs w:val="16"/>
              </w:rPr>
            </w:pPr>
            <w:r w:rsidRPr="00904FBC">
              <w:rPr>
                <w:rFonts w:eastAsia="Times"/>
                <w:sz w:val="16"/>
                <w:szCs w:val="16"/>
              </w:rPr>
              <w:t>Hospital Stay in Days</w:t>
            </w:r>
          </w:p>
        </w:tc>
      </w:tr>
      <w:tr w:rsidR="00B1258F" w:rsidRPr="00904FBC" w:rsidTr="00082AA5">
        <w:trPr>
          <w:trHeight w:val="234"/>
        </w:trPr>
        <w:tc>
          <w:tcPr>
            <w:tcW w:w="2422" w:type="dxa"/>
            <w:shd w:val="clear" w:color="auto" w:fill="auto"/>
            <w:vAlign w:val="center"/>
          </w:tcPr>
          <w:p w:rsidR="00B1258F" w:rsidRPr="00904FBC" w:rsidRDefault="00B1258F" w:rsidP="00082AA5">
            <w:pPr>
              <w:rPr>
                <w:rFonts w:eastAsia="Times"/>
                <w:sz w:val="16"/>
                <w:szCs w:val="16"/>
              </w:rPr>
            </w:pPr>
            <w:r w:rsidRPr="00904FBC">
              <w:rPr>
                <w:rFonts w:eastAsia="Times"/>
                <w:sz w:val="16"/>
                <w:szCs w:val="16"/>
              </w:rPr>
              <w:t>Falcone et al. 2009</w:t>
            </w:r>
            <w:r w:rsidRPr="00904FBC">
              <w:rPr>
                <w:rFonts w:eastAsia="Times"/>
                <w:sz w:val="16"/>
                <w:szCs w:val="16"/>
              </w:rPr>
              <w:fldChar w:fldCharType="begin" w:fldLock="1"/>
            </w:r>
            <w:r w:rsidRPr="00904FBC">
              <w:rPr>
                <w:rFonts w:eastAsia="Times"/>
                <w:sz w:val="16"/>
                <w:szCs w:val="16"/>
              </w:rPr>
              <w:instrText>ADDIN CSL_CITATION {"citationItems":[{"id":"ITEM-1","itemData":{"DOI":"10.1128/JCM.01193-09","ISSN":"00951137","PMID":"19741074","abstract":"The aim of this study was to ascertain the incidence and clinical significance of metallo-β-lactamases among Enterobacter strains isolated from patients with nosocomial infections. We prospectively collected data on patients with Enterobacter infection during a 13-month period. All of the strains were investigated for antibiotic susceptibility, the presence and expression of metallo-β-lactamases, and clonality. Of 29 infections (11 involving the urinary tract, 7 pneumonias, 3 skin/soft tissue infections, 3 intra-abdominal infections, 3 bacteremias, and 2 other infections), 7 (24%) were caused by Enterobacter cloacae strains harboring a bla VIM-1 gene associated or not with a bla SHV12 gene. Infections caused by VIM-1-producing strains were more frequently associated with a recent prior hospitalization (P = 0.006), cirrhosis (P = 0.03), relapse of infection (P &lt; 0.001), and more prolonged duration of antibiotic therapy (P = 0.01) than were other infections. All of the isolates were susceptible to imipenem and meropenem and had bla VIM-1 preceded by a weak P1 promoter and inactivated P2 promoters. Most VIM-1-producing Enterobacter isolates belonged to a main clone, but four different clones were found. Multiclonal VIM-1-producing E. cloacae infections are difficult to diagnose due to an apparent susceptibility to various beta-lactams, including carbapenems, and are associated with a high relapse rate and a more prolonged duration of antibiotic therapy.","author":[{"dropping-particle":"","family":"Falcone","given":"Marco","non-dropping-particle":"","parse-names":false,"suffix":""},{"dropping-particle":"","family":"Mezzatesta","given":"Maria Lina","non-dropping-particle":"","parse-names":false,"suffix":""},{"dropping-particle":"","family":"Perilli","given":"Mariagrazia","non-dropping-particle":"","parse-names":false,"suffix":""},{"dropping-particle":"","family":"Forcella","given":"Chiara","non-dropping-particle":"","parse-names":false,"suffix":""},{"dropping-particle":"","family":"Giordano","given":"Alessandra","non-dropping-particle":"","parse-names":false,"suffix":""},{"dropping-particle":"","family":"Cafiso","given":"Viviana","non-dropping-particle":"","parse-names":false,"suffix":""},{"dropping-particle":"","family":"Amicosante","given":"Gianfranco","non-dropping-particle":"","parse-names":false,"suffix":""},{"dropping-particle":"","family":"Stefani","given":"Stefania","non-dropping-particle":"","parse-names":false,"suffix":""},{"dropping-particle":"","family":"Venditti","given":"Mario","non-dropping-particle":"","parse-names":false,"suffix":""}],"container-title":"Journal of Clinical Microbiology","id":"ITEM-1","issue":"11","issued":{"date-parts":[["2009"]]},"page":"3514-3519","title":"Infections with VIM-1 metallo-β-lactamase-producing Enterobacter cloacae and their correlation with clinical outcome","type":"article-journal","volume":"47"},"uris":["http://www.mendeley.com/documents/?uuid=41b2cd5e-512b-4cfe-80f9-f945bc986919"]}],"mendeley":{"formattedCitation":"&lt;sup&gt;22&lt;/sup&gt;","plainTextFormattedCitation":"22","previouslyFormattedCitation":"&lt;sup&gt;22&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22</w:t>
            </w:r>
            <w:r w:rsidRPr="00904FBC">
              <w:rPr>
                <w:rFonts w:eastAsia="Times"/>
                <w:sz w:val="16"/>
                <w:szCs w:val="16"/>
              </w:rPr>
              <w:fldChar w:fldCharType="end"/>
            </w:r>
            <w:r w:rsidRPr="00904FBC">
              <w:rPr>
                <w:rFonts w:eastAsia="Times"/>
                <w:sz w:val="16"/>
                <w:szCs w:val="16"/>
              </w:rPr>
              <w:t xml:space="preserve"> (Mean, CI)</w:t>
            </w:r>
          </w:p>
        </w:tc>
        <w:tc>
          <w:tcPr>
            <w:tcW w:w="1301" w:type="dxa"/>
            <w:shd w:val="clear" w:color="auto" w:fill="auto"/>
            <w:vAlign w:val="center"/>
          </w:tcPr>
          <w:p w:rsidR="00B1258F" w:rsidRPr="00904FBC" w:rsidRDefault="00B1258F" w:rsidP="00082AA5">
            <w:pPr>
              <w:jc w:val="center"/>
              <w:rPr>
                <w:rFonts w:eastAsia="Times"/>
                <w:sz w:val="16"/>
                <w:szCs w:val="16"/>
              </w:rPr>
            </w:pPr>
            <w:r w:rsidRPr="00904FBC">
              <w:rPr>
                <w:sz w:val="16"/>
                <w:szCs w:val="16"/>
              </w:rPr>
              <w:t>7</w:t>
            </w:r>
          </w:p>
        </w:tc>
        <w:tc>
          <w:tcPr>
            <w:tcW w:w="1470" w:type="dxa"/>
            <w:vAlign w:val="center"/>
          </w:tcPr>
          <w:p w:rsidR="00B1258F" w:rsidRPr="00904FBC" w:rsidRDefault="00B1258F" w:rsidP="00082AA5">
            <w:pPr>
              <w:jc w:val="center"/>
              <w:rPr>
                <w:rFonts w:eastAsia="Times"/>
                <w:sz w:val="16"/>
                <w:szCs w:val="16"/>
              </w:rPr>
            </w:pPr>
            <w:r w:rsidRPr="00904FBC">
              <w:rPr>
                <w:sz w:val="16"/>
                <w:szCs w:val="16"/>
              </w:rPr>
              <w:t>22</w:t>
            </w:r>
          </w:p>
        </w:tc>
        <w:tc>
          <w:tcPr>
            <w:tcW w:w="1470"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41.6 [CI, 22.4 to 60.7]</w:t>
            </w:r>
          </w:p>
        </w:tc>
        <w:tc>
          <w:tcPr>
            <w:tcW w:w="1532"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29.7 [CI, 21.5 to 37.8]</w:t>
            </w:r>
          </w:p>
        </w:tc>
        <w:tc>
          <w:tcPr>
            <w:tcW w:w="1694"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N/A</w:t>
            </w:r>
          </w:p>
        </w:tc>
      </w:tr>
      <w:tr w:rsidR="00B1258F" w:rsidRPr="00904FBC" w:rsidTr="00082AA5">
        <w:trPr>
          <w:trHeight w:val="234"/>
        </w:trPr>
        <w:tc>
          <w:tcPr>
            <w:tcW w:w="2422" w:type="dxa"/>
            <w:shd w:val="clear" w:color="auto" w:fill="auto"/>
            <w:vAlign w:val="center"/>
          </w:tcPr>
          <w:p w:rsidR="00B1258F" w:rsidRPr="00904FBC" w:rsidRDefault="00B1258F" w:rsidP="00082AA5">
            <w:pPr>
              <w:rPr>
                <w:rFonts w:eastAsia="Times"/>
                <w:sz w:val="16"/>
                <w:szCs w:val="16"/>
              </w:rPr>
            </w:pPr>
            <w:r w:rsidRPr="00904FBC">
              <w:rPr>
                <w:rFonts w:eastAsia="Times"/>
                <w:sz w:val="16"/>
                <w:szCs w:val="16"/>
              </w:rPr>
              <w:t>Fraenkel-Wandel et al. 2016</w:t>
            </w:r>
            <w:r w:rsidRPr="00904FBC">
              <w:rPr>
                <w:rFonts w:eastAsia="Times"/>
                <w:sz w:val="16"/>
                <w:szCs w:val="16"/>
              </w:rPr>
              <w:fldChar w:fldCharType="begin" w:fldLock="1"/>
            </w:r>
            <w:r w:rsidRPr="00904FBC">
              <w:rPr>
                <w:rFonts w:eastAsia="Times"/>
                <w:sz w:val="16"/>
                <w:szCs w:val="16"/>
              </w:rPr>
              <w:instrText>ADDIN CSL_CITATION {"citationItems":[{"id":"ITEM-1","itemData":{"DOI":"10.1093/jac/dkv414","abstract":"OBJECTIVES To determine the mortality rate secondary to blaKPC Klebsiella pneumoniae (KPC/Kp) bacteraemia, compared with that from ESBL-producing K. pneumoniae (ESBL/Kp) bacteraemia, and to determine associated risk factors. METHODS This was a retrospective case-control study of all 68 KPC/Kp bacteraemia patients diagnosed since 2006, matched by year of isolation, gender and age, at a ratio of 1:2, to 136 ESBL/Kp bacteraemia patients. RESULTS There were no demographic differences between the two groups, but there were minor clinical differences. Fewer KPC/Kp study patients than ESBL/Kp control patients had a systolic blood pressure &lt;90 mmHg (32/68, 47% versus 86/136, 63%, respectively, P = 0.02) or urinary catheterization (32/68, 47% versus 90/136, 66%, respectively, P = 0.005), while the KPC/Kp bacteraemia group had a greater incidence of acute renal failure (45/68, 66% versus 67/136, 49%, respectively, P = 0.02). There was no difference between the two groups in duration of hospitalization. The mortality rate of the KPC/Kp bacteraemia group was 44/68 (65%) compared with 54/136 (40%) in the ESBL/Kp bacteraemia control group (P = 0.008), which in the multivariate analysis remained highly significant (P &lt; 0.001). Only 11/68 (16%) of KPC/Kp patients were functionally independent at discharge compared with 43/136 (32%) ESBL/Kp patients (P = 0.012). CONCLUSIONS The selection of an ESBL/Kp control cohort with a ratio of 1:2 (study versus control group) helped resolve an as yet insufficiently settled question: bacteraemia with KPC/Kp is an independent risk factor for death, justifying the strict adherence to cohorting and isolation procedures.","author":[{"dropping-particle":"","family":"Fraenkel-Wandel","given":"Yedidah","non-dropping-particle":"","parse-names":false,"suffix":""},{"dropping-particle":"","family":"Raveh-Brawer","given":"David","non-dropping-particle":"","parse-names":false,"suffix":""},{"dropping-particle":"","family":"Wiener-Well","given":"Yonit","non-dropping-particle":"","parse-names":false,"suffix":""},{"dropping-particle":"","family":"Yinnon","given":"Amos M.","non-dropping-particle":"","parse-names":false,"suffix":""},{"dropping-particle":"V.","family":"Assous","given":"Marc","non-dropping-particle":"","parse-names":false,"suffix":""}],"container-title":"Journal of Antimicrobial Chemotherapy","id":"ITEM-1","issued":{"date-parts":[["2016"]]},"page":"1083-1087","title":"Mortality due to blaKPC Klebsiella pneumoniae bacteraemia","type":"article-journal","volume":"71"},"uris":["http://www.mendeley.com/documents/?uuid=dd057afc-de28-48fb-a901-75a2656e1367"]}],"mendeley":{"formattedCitation":"&lt;sup&gt;30&lt;/sup&gt;","plainTextFormattedCitation":"30","previouslyFormattedCitation":"&lt;sup&gt;30&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30</w:t>
            </w:r>
            <w:r w:rsidRPr="00904FBC">
              <w:rPr>
                <w:rFonts w:eastAsia="Times"/>
                <w:sz w:val="16"/>
                <w:szCs w:val="16"/>
              </w:rPr>
              <w:fldChar w:fldCharType="end"/>
            </w:r>
            <w:r w:rsidRPr="00904FBC">
              <w:rPr>
                <w:rFonts w:eastAsia="Times"/>
                <w:sz w:val="16"/>
                <w:szCs w:val="16"/>
              </w:rPr>
              <w:t xml:space="preserve">* </w:t>
            </w:r>
          </w:p>
        </w:tc>
        <w:tc>
          <w:tcPr>
            <w:tcW w:w="1301" w:type="dxa"/>
            <w:shd w:val="clear" w:color="auto" w:fill="auto"/>
            <w:vAlign w:val="center"/>
          </w:tcPr>
          <w:p w:rsidR="00B1258F" w:rsidRPr="00904FBC" w:rsidRDefault="00B1258F" w:rsidP="00082AA5">
            <w:pPr>
              <w:jc w:val="center"/>
              <w:rPr>
                <w:rFonts w:eastAsia="Times"/>
                <w:sz w:val="16"/>
                <w:szCs w:val="16"/>
              </w:rPr>
            </w:pPr>
            <w:r w:rsidRPr="00904FBC">
              <w:rPr>
                <w:sz w:val="16"/>
                <w:szCs w:val="16"/>
              </w:rPr>
              <w:t>68</w:t>
            </w:r>
          </w:p>
        </w:tc>
        <w:tc>
          <w:tcPr>
            <w:tcW w:w="1470" w:type="dxa"/>
            <w:vAlign w:val="center"/>
          </w:tcPr>
          <w:p w:rsidR="00B1258F" w:rsidRPr="00904FBC" w:rsidRDefault="00B1258F" w:rsidP="00082AA5">
            <w:pPr>
              <w:jc w:val="center"/>
              <w:rPr>
                <w:rFonts w:eastAsia="Times"/>
                <w:sz w:val="16"/>
                <w:szCs w:val="16"/>
              </w:rPr>
            </w:pPr>
            <w:r w:rsidRPr="00904FBC">
              <w:rPr>
                <w:sz w:val="16"/>
                <w:szCs w:val="16"/>
              </w:rPr>
              <w:t>136</w:t>
            </w:r>
          </w:p>
        </w:tc>
        <w:tc>
          <w:tcPr>
            <w:tcW w:w="1470"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36 (21–55)</w:t>
            </w:r>
          </w:p>
        </w:tc>
        <w:tc>
          <w:tcPr>
            <w:tcW w:w="1532"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32 (15–63)</w:t>
            </w:r>
          </w:p>
        </w:tc>
        <w:tc>
          <w:tcPr>
            <w:tcW w:w="1694"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N/A</w:t>
            </w:r>
          </w:p>
        </w:tc>
      </w:tr>
      <w:tr w:rsidR="00B1258F" w:rsidRPr="00904FBC" w:rsidTr="00082AA5">
        <w:trPr>
          <w:trHeight w:val="234"/>
        </w:trPr>
        <w:tc>
          <w:tcPr>
            <w:tcW w:w="2422" w:type="dxa"/>
            <w:shd w:val="clear" w:color="auto" w:fill="auto"/>
            <w:vAlign w:val="center"/>
          </w:tcPr>
          <w:p w:rsidR="00B1258F" w:rsidRPr="00904FBC" w:rsidRDefault="00B1258F" w:rsidP="00082AA5">
            <w:pPr>
              <w:rPr>
                <w:rFonts w:eastAsia="Times"/>
                <w:sz w:val="16"/>
                <w:szCs w:val="16"/>
              </w:rPr>
            </w:pPr>
            <w:r w:rsidRPr="00904FBC">
              <w:rPr>
                <w:rFonts w:eastAsia="Times"/>
                <w:sz w:val="16"/>
                <w:szCs w:val="16"/>
              </w:rPr>
              <w:t>López-González et al. 2017</w:t>
            </w:r>
            <w:r w:rsidRPr="00904FBC">
              <w:rPr>
                <w:rFonts w:eastAsia="Times"/>
                <w:sz w:val="16"/>
                <w:szCs w:val="16"/>
              </w:rPr>
              <w:fldChar w:fldCharType="begin" w:fldLock="1"/>
            </w:r>
            <w:r w:rsidRPr="00904FBC">
              <w:rPr>
                <w:rFonts w:eastAsia="Times"/>
                <w:sz w:val="16"/>
                <w:szCs w:val="16"/>
              </w:rPr>
              <w:instrText>ADDIN CSL_CITATION {"citationItems":[{"id":"ITEM-1","itemData":{"abstract":"Objective. The aim of this study is to know epidemiologic and clinical differences among those patients colonized or infected by carbapenemase-producing Enterobacteriaceae (CPE) and develop a predictive model to facilitate the clinical approach concerning to start antimicrobial therapy. Methods. Observational retrospective cohort study was performed involving all patients with Urine carbapenemase- producing Enterobacteriaceae isolation (UCPEI) between November 2013 and July 2015. Patients were classifieds as colonized or infected considering Center for Disease Control and Prevention (CDC) definition for urinary tract infection (UTI). Results. A total of 72 patients were included, mean age 76.4 (IQR 23-99) years and 40 (55.6%) were women. Thirty-four (47.2%) were colonized and 38 (52.8%) met the criteria of UTI and were considered infected. The independent variables associated to infection were female sex, peripheral vascular disease, admission in medical ward, permanent urinary catheter carrier, previous antimicrobial therapy, and length of stay. Isolation of OXA-48 carbapenemase- producing Enterobacteriaceae behaved as a non UTI (colonization) factor in comparison with KPC or VIM CPE. The developed predictive model showed an area under the curve (AUC) of 0.901 (95% CI: 0.832-0.970; p &lt; 0.001). Conclusion. The predictive model that includes all this factors has demonstrated a good accuracy for infection diagnosis in these patients, an important issue considering that establishing the diagnosis of infection is not always easy in the profile of patients in which a CPE is isolated.Copyright © The Author 2017. Published by Sociedad Espanola de Quimioterapia. All rights reserved.","author":[{"dropping-particle":"","family":"Lopez-Gonzalez","given":"Laura","non-dropping-particle":"","parse-names":false,"suffix":""},{"dropping-particle":"","family":"Candel","given":"Francisco","non-dropping-particle":"","parse-names":false,"suffix":""},{"dropping-particle":"","family":"Vinuela-Prieto","given":"Jose","non-dropping-particle":"","parse-names":false,"suffix":""},{"dropping-particle":"","family":"Gonzalez-Del Castillo","given":"Juan","non-dropping-particle":"","parse-names":false,"suffix":""},{"dropping-particle":"","family":"Garcia","given":"Ana","non-dropping-particle":"","parse-names":false,"suffix":""},{"dropping-particle":"","family":"Pena","given":"Irene","non-dropping-particle":"","parse-names":false,"suffix":""},{"dropping-particle":"","family":"Rodriguez-Avail","given":"Iciar","non-dropping-particle":"","parse-names":false,"suffix":""}],"container-title":"Revista Espanola de Quimioterapia","id":"ITEM-1","issue":"6","issued":{"date-parts":[["2017"]]},"page":"450-457","title":"Useful independent factors for distinguish infection and colonization in patients with urinary carbapenemase-producing Enterobacteriaceae isolation","type":"article-journal","volume":"30"},"uris":["http://www.mendeley.com/documents/?uuid=3d965463-4211-4725-8a11-fec67539bf07"]}],"mendeley":{"formattedCitation":"&lt;sup&gt;31&lt;/sup&gt;","plainTextFormattedCitation":"31","previouslyFormattedCitation":"&lt;sup&gt;31&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31</w:t>
            </w:r>
            <w:r w:rsidRPr="00904FBC">
              <w:rPr>
                <w:rFonts w:eastAsia="Times"/>
                <w:sz w:val="16"/>
                <w:szCs w:val="16"/>
              </w:rPr>
              <w:fldChar w:fldCharType="end"/>
            </w:r>
            <w:r w:rsidRPr="00904FBC">
              <w:rPr>
                <w:rFonts w:eastAsia="Times"/>
                <w:sz w:val="16"/>
                <w:szCs w:val="16"/>
              </w:rPr>
              <w:t>*</w:t>
            </w:r>
          </w:p>
        </w:tc>
        <w:tc>
          <w:tcPr>
            <w:tcW w:w="1301" w:type="dxa"/>
            <w:shd w:val="clear" w:color="auto" w:fill="auto"/>
            <w:vAlign w:val="center"/>
          </w:tcPr>
          <w:p w:rsidR="00B1258F" w:rsidRPr="00904FBC" w:rsidRDefault="00B1258F" w:rsidP="00082AA5">
            <w:pPr>
              <w:jc w:val="center"/>
              <w:rPr>
                <w:rFonts w:eastAsia="Times"/>
                <w:sz w:val="16"/>
                <w:szCs w:val="16"/>
              </w:rPr>
            </w:pPr>
            <w:r w:rsidRPr="00904FBC">
              <w:rPr>
                <w:sz w:val="16"/>
                <w:szCs w:val="16"/>
              </w:rPr>
              <w:t>38</w:t>
            </w:r>
          </w:p>
        </w:tc>
        <w:tc>
          <w:tcPr>
            <w:tcW w:w="1470" w:type="dxa"/>
            <w:vAlign w:val="center"/>
          </w:tcPr>
          <w:p w:rsidR="00B1258F" w:rsidRPr="00904FBC" w:rsidRDefault="00B1258F" w:rsidP="00082AA5">
            <w:pPr>
              <w:jc w:val="center"/>
              <w:rPr>
                <w:rFonts w:eastAsia="Times"/>
                <w:sz w:val="16"/>
                <w:szCs w:val="16"/>
              </w:rPr>
            </w:pPr>
            <w:r w:rsidRPr="00904FBC">
              <w:rPr>
                <w:sz w:val="16"/>
                <w:szCs w:val="16"/>
              </w:rPr>
              <w:t>34</w:t>
            </w:r>
          </w:p>
        </w:tc>
        <w:tc>
          <w:tcPr>
            <w:tcW w:w="1470"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34.5 (21-53)</w:t>
            </w:r>
          </w:p>
        </w:tc>
        <w:tc>
          <w:tcPr>
            <w:tcW w:w="1532"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25.5 (13-41)</w:t>
            </w:r>
          </w:p>
        </w:tc>
        <w:tc>
          <w:tcPr>
            <w:tcW w:w="1694"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N/A</w:t>
            </w:r>
          </w:p>
        </w:tc>
      </w:tr>
      <w:tr w:rsidR="00B1258F" w:rsidRPr="00904FBC" w:rsidTr="00082AA5">
        <w:trPr>
          <w:trHeight w:val="234"/>
        </w:trPr>
        <w:tc>
          <w:tcPr>
            <w:tcW w:w="2422" w:type="dxa"/>
            <w:shd w:val="clear" w:color="auto" w:fill="auto"/>
            <w:vAlign w:val="center"/>
          </w:tcPr>
          <w:p w:rsidR="00B1258F" w:rsidRPr="00904FBC" w:rsidRDefault="00B1258F" w:rsidP="00082AA5">
            <w:pPr>
              <w:rPr>
                <w:rFonts w:eastAsia="Times"/>
                <w:sz w:val="16"/>
                <w:szCs w:val="16"/>
              </w:rPr>
            </w:pPr>
            <w:r w:rsidRPr="00904FBC">
              <w:rPr>
                <w:rFonts w:eastAsia="Times"/>
                <w:sz w:val="16"/>
                <w:szCs w:val="16"/>
              </w:rPr>
              <w:t>Lubbert et al. 2014</w:t>
            </w:r>
            <w:r w:rsidRPr="00904FBC">
              <w:rPr>
                <w:rFonts w:eastAsia="Times"/>
                <w:sz w:val="16"/>
                <w:szCs w:val="16"/>
              </w:rPr>
              <w:fldChar w:fldCharType="begin" w:fldLock="1"/>
            </w:r>
            <w:r w:rsidRPr="00904FBC">
              <w:rPr>
                <w:rFonts w:eastAsia="Times"/>
                <w:sz w:val="16"/>
                <w:szCs w:val="16"/>
              </w:rPr>
              <w:instrText>ADDIN CSL_CITATION {"citationItems":[{"id":"ITEM-1","itemData":{"DOI":"10.1007/s15010-013-0547-3","ISBN":"1439-0973 (Electronic)\\r0300-8126 (Linking)","ISSN":"14390973","PMID":"24217959","abstract":"PURPOSE From mid-2010 to early 2013 there was a large single-center (Leipzig University Hospital, Germany) outbreak of Klebsiella pneumoniae carbapenemase (KPC) type 2 producing K. pneumoniae (KPC-2-KP) involving a total of 103 patients. The aim of this study was to compare KPC-positive liver transplant recipients (LTR) and KPC-negative controls to determine both the relative risk of infection following colonization with KPC-2-KP and the case fatality rate associated with KPC-2-KP. METHODS The study cohort of this retrospective observational study comprised nine patients who had undergone orthotopic liver transplantation (LTx) (median age of 52 years, range 28-73 years) with confirmed evidence of colonization with KPC-2-KP. The data from these nine LTR were matched to 18 LTR (1:2) in whom carbapenem-resistant pathogens were not present and compared for clinical outcomes. RESULTS Of these nine cases, eight (89 %) progressed to infection due to KPC-2-KP, and five (56 %) were confirmed to have bloodstream infection with KPC-2-KP. Matched-pair analysis of KPC-positive LTR and KPC-negative controls revealed a substantially increased relative risk of 7.0 (95 % confidence interval 1.8-27.1) for fatal infection with KPC-2-producing K. pneumoniae after transplantation with a mortality rate of 78 % (vs. 11 %, p = 0.001). CONCLUSIONS Colonization with KPC-2-KP in LTR leads to high infection rates and excess mortality. Therefore, frequent screening for carbapenem-resistant bacteria in patients on LTx waiting lists appears to be mandatory in an outbreak setting. Patients with evidence of persistent colonization with KPC-producing pathogens should be evaluated with extreme caution for LTx.","author":[{"dropping-particle":"","family":"Lübbert","given":"C.","non-dropping-particle":"","parse-names":false,"suffix":""},{"dropping-particle":"","family":"Becker-Rux","given":"D.","non-dropping-particle":"","parse-names":false,"suffix":""},{"dropping-particle":"","family":"Rodloff","given":"A. C.","non-dropping-particle":"","parse-names":false,"suffix":""},{"dropping-particle":"","family":"Laudi","given":"S.","non-dropping-particle":"","parse-names":false,"suffix":""},{"dropping-particle":"","family":"Busch","given":"T.","non-dropping-particle":"","parse-names":false,"suffix":""},{"dropping-particle":"","family":"Bartels","given":"M.","non-dropping-particle":"","parse-names":false,"suffix":""},{"dropping-particle":"","family":"Kaisers","given":"U. X.","non-dropping-particle":"","parse-names":false,"suffix":""}],"container-title":"Infection","id":"ITEM-1","issue":"2","issued":{"date-parts":[["2014"]]},"page":"309-316","title":"Colonization of liver transplant recipients with KPC-producing Klebsiella pneumoniae is associated with high infection rates and excess mortality: A case-control analysis","type":"article-journal","volume":"42"},"uris":["http://www.mendeley.com/documents/?uuid=9b12c7f5-5b57-445d-895d-e410f25d618d"]}],"mendeley":{"formattedCitation":"&lt;sup&gt;32&lt;/sup&gt;","plainTextFormattedCitation":"32","previouslyFormattedCitation":"&lt;sup&gt;32&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32</w:t>
            </w:r>
            <w:r w:rsidRPr="00904FBC">
              <w:rPr>
                <w:rFonts w:eastAsia="Times"/>
                <w:sz w:val="16"/>
                <w:szCs w:val="16"/>
              </w:rPr>
              <w:fldChar w:fldCharType="end"/>
            </w:r>
            <w:r w:rsidRPr="00904FBC">
              <w:rPr>
                <w:rFonts w:eastAsia="Times"/>
                <w:sz w:val="16"/>
                <w:szCs w:val="16"/>
              </w:rPr>
              <w:t xml:space="preserve"> (Mean (SD))</w:t>
            </w:r>
          </w:p>
        </w:tc>
        <w:tc>
          <w:tcPr>
            <w:tcW w:w="1301" w:type="dxa"/>
            <w:shd w:val="clear" w:color="auto" w:fill="auto"/>
            <w:vAlign w:val="center"/>
          </w:tcPr>
          <w:p w:rsidR="00B1258F" w:rsidRPr="00904FBC" w:rsidRDefault="00B1258F" w:rsidP="00082AA5">
            <w:pPr>
              <w:jc w:val="center"/>
              <w:rPr>
                <w:rFonts w:eastAsia="Times"/>
                <w:sz w:val="16"/>
                <w:szCs w:val="16"/>
              </w:rPr>
            </w:pPr>
            <w:r w:rsidRPr="00904FBC">
              <w:rPr>
                <w:sz w:val="16"/>
                <w:szCs w:val="16"/>
              </w:rPr>
              <w:t>8</w:t>
            </w:r>
          </w:p>
        </w:tc>
        <w:tc>
          <w:tcPr>
            <w:tcW w:w="1470" w:type="dxa"/>
            <w:vAlign w:val="center"/>
          </w:tcPr>
          <w:p w:rsidR="00B1258F" w:rsidRPr="00904FBC" w:rsidRDefault="00B1258F" w:rsidP="00082AA5">
            <w:pPr>
              <w:jc w:val="center"/>
              <w:rPr>
                <w:rFonts w:eastAsia="Times"/>
                <w:sz w:val="16"/>
                <w:szCs w:val="16"/>
              </w:rPr>
            </w:pPr>
            <w:r w:rsidRPr="00904FBC">
              <w:rPr>
                <w:sz w:val="16"/>
                <w:szCs w:val="16"/>
              </w:rPr>
              <w:t>18</w:t>
            </w:r>
          </w:p>
        </w:tc>
        <w:tc>
          <w:tcPr>
            <w:tcW w:w="1470"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87 (47.3)</w:t>
            </w:r>
          </w:p>
        </w:tc>
        <w:tc>
          <w:tcPr>
            <w:tcW w:w="1532"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42.7 (23.7)</w:t>
            </w:r>
          </w:p>
        </w:tc>
        <w:tc>
          <w:tcPr>
            <w:tcW w:w="1694"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N/A</w:t>
            </w:r>
          </w:p>
        </w:tc>
      </w:tr>
      <w:tr w:rsidR="00B1258F" w:rsidRPr="00904FBC" w:rsidTr="00082AA5">
        <w:trPr>
          <w:trHeight w:val="234"/>
        </w:trPr>
        <w:tc>
          <w:tcPr>
            <w:tcW w:w="2422" w:type="dxa"/>
            <w:shd w:val="clear" w:color="auto" w:fill="auto"/>
            <w:vAlign w:val="center"/>
          </w:tcPr>
          <w:p w:rsidR="00B1258F" w:rsidRPr="00904FBC" w:rsidRDefault="00B1258F" w:rsidP="00082AA5">
            <w:pPr>
              <w:rPr>
                <w:rFonts w:eastAsia="Times"/>
                <w:sz w:val="16"/>
                <w:szCs w:val="16"/>
              </w:rPr>
            </w:pPr>
            <w:r w:rsidRPr="00904FBC">
              <w:rPr>
                <w:rFonts w:eastAsia="Times"/>
                <w:sz w:val="16"/>
                <w:szCs w:val="16"/>
              </w:rPr>
              <w:t>Shilo et al. 2013</w:t>
            </w:r>
            <w:r w:rsidRPr="00904FBC">
              <w:rPr>
                <w:rFonts w:eastAsia="Times"/>
                <w:sz w:val="16"/>
                <w:szCs w:val="16"/>
              </w:rPr>
              <w:fldChar w:fldCharType="begin" w:fldLock="1"/>
            </w:r>
            <w:r w:rsidRPr="00904FBC">
              <w:rPr>
                <w:rFonts w:eastAsia="Times"/>
                <w:sz w:val="16"/>
                <w:szCs w:val="16"/>
              </w:rPr>
              <w:instrText>ADDIN CSL_CITATION {"citationItems":[{"id":"ITEM-1","itemData":{"DOI":"10.1007/s15010-012-0380-0","ISBN":"1439-0973 (Electronic)\\r0300-8126 (Linking)","ISSN":"03008126","PMID":"23271210","abstract":"BACKGROUND: The objective of this study was to evaluate the mortality of and risk factors for bacteriuria due to carbapenem-resistant Klebsiella pneumoniae (CRKp) versus carbapenem-susceptible K. pneumoniae (CSKp) producing extended spectrum β lactamase (ESBL).\\n\\nMETHODS: This was a retrospective case-control study in which 135 case-patients with bacteriuria due to CRKp were compared with 127 control patients with CSKp producing ESBL. In a first step, multivariate Cox regression and Kaplan-Meier survival analysis models were used to determine the difference in mortality between the two groups and risk factors for mortality. In a second step, a univariate analysis was used to identify risk factors for CRKp colonization.\\n\\nRESULTS: There were no significant demographic or clinical differences between the groups. In-hospital mortality in the study and control groups was 29 and 25 %, respectively (non-significant difference). Multivariate analysis revealed that the most important risk factor for mortality in both groups was being bed ridden [hazard ratio 2.2, 95 % confidence interval (CI) 1.23-3.93; P = 0.008]. Patients with CRKp bacteriuria had a longer hospitalization time with a mean ± standard deviation of 28 ± 33 days compared to 22 ± 28 days in the control group (P &lt; 0.05). Several univariate risk factors for acquiring CRKp bacteriuria were identified: antibiotic use [odds ratio (OR) 1.93, 95 % CI 1.18-3.17, p = 0.008], especially colistin (OR 2.04, 95 % CI 1.04-4.02; P = 0.036), presence of a urinary catheter (OR 2.09, 95 % CI 1.2-3.63; P = 0.008), surgery (OR 3.94, 95 % CI 1.85-8.37; P = 0.0002), invasive procedures (OR 3.06, 95 % CI 1.61-5.8; P = 0.0004), and intensive care unit admission (OR 2.49, 95 % CI 1.18-5.37; P = 0.015).\\n\\nCONCLUSION: Bacteriuria caused by CRKp as compared that caused by CSKp was not found to be a risk factor for death.","author":[{"dropping-particle":"","family":"Shilo","given":"S.","non-dropping-particle":"","parse-names":false,"suffix":""},{"dropping-particle":"V.","family":"Assous","given":"M.","non-dropping-particle":"","parse-names":false,"suffix":""},{"dropping-particle":"","family":"Lachish","given":"T.","non-dropping-particle":"","parse-names":false,"suffix":""},{"dropping-particle":"","family":"Kopuit","given":"P.","non-dropping-particle":"","parse-names":false,"suffix":""},{"dropping-particle":"","family":"Bdolah-Abram","given":"T.","non-dropping-particle":"","parse-names":false,"suffix":""},{"dropping-particle":"","family":"Yinnon","given":"A. M.","non-dropping-particle":"","parse-names":false,"suffix":""},{"dropping-particle":"","family":"Wiener-Well","given":"Y.","non-dropping-particle":"","parse-names":false,"suffix":""}],"container-title":"Infection","id":"ITEM-1","issue":"2","issued":{"date-parts":[["2013"]]},"page":"503-509","title":"Risk factors for bacteriuria with carbapenem-resistant Klebsiella pneumoniae and its impact on mortality: A case-control study","type":"article-journal","volume":"41"},"uris":["http://www.mendeley.com/documents/?uuid=4f6d373c-545a-4c2b-a037-3522c366280a"]}],"mendeley":{"formattedCitation":"&lt;sup&gt;24&lt;/sup&gt;","plainTextFormattedCitation":"24","previouslyFormattedCitation":"&lt;sup&gt;24&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24</w:t>
            </w:r>
            <w:r w:rsidRPr="00904FBC">
              <w:rPr>
                <w:rFonts w:eastAsia="Times"/>
                <w:sz w:val="16"/>
                <w:szCs w:val="16"/>
              </w:rPr>
              <w:fldChar w:fldCharType="end"/>
            </w:r>
            <w:r w:rsidRPr="00904FBC">
              <w:rPr>
                <w:rFonts w:eastAsia="Times"/>
                <w:sz w:val="16"/>
                <w:szCs w:val="16"/>
              </w:rPr>
              <w:t xml:space="preserve"> (Mean (SD))</w:t>
            </w:r>
          </w:p>
        </w:tc>
        <w:tc>
          <w:tcPr>
            <w:tcW w:w="1301" w:type="dxa"/>
            <w:shd w:val="clear" w:color="auto" w:fill="auto"/>
            <w:vAlign w:val="center"/>
          </w:tcPr>
          <w:p w:rsidR="00B1258F" w:rsidRPr="00904FBC" w:rsidRDefault="00B1258F" w:rsidP="00082AA5">
            <w:pPr>
              <w:jc w:val="center"/>
              <w:rPr>
                <w:rFonts w:eastAsia="Times"/>
                <w:sz w:val="16"/>
                <w:szCs w:val="16"/>
              </w:rPr>
            </w:pPr>
            <w:r w:rsidRPr="00904FBC">
              <w:rPr>
                <w:sz w:val="16"/>
                <w:szCs w:val="16"/>
              </w:rPr>
              <w:t>135</w:t>
            </w:r>
          </w:p>
        </w:tc>
        <w:tc>
          <w:tcPr>
            <w:tcW w:w="1470" w:type="dxa"/>
            <w:vAlign w:val="center"/>
          </w:tcPr>
          <w:p w:rsidR="00B1258F" w:rsidRPr="00904FBC" w:rsidRDefault="00B1258F" w:rsidP="00082AA5">
            <w:pPr>
              <w:jc w:val="center"/>
              <w:rPr>
                <w:rFonts w:eastAsia="Times"/>
                <w:sz w:val="16"/>
                <w:szCs w:val="16"/>
              </w:rPr>
            </w:pPr>
            <w:r w:rsidRPr="00904FBC">
              <w:rPr>
                <w:sz w:val="16"/>
                <w:szCs w:val="16"/>
              </w:rPr>
              <w:t>127</w:t>
            </w:r>
          </w:p>
        </w:tc>
        <w:tc>
          <w:tcPr>
            <w:tcW w:w="1470"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28 (33)</w:t>
            </w:r>
          </w:p>
        </w:tc>
        <w:tc>
          <w:tcPr>
            <w:tcW w:w="1532"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22 (28)</w:t>
            </w:r>
          </w:p>
        </w:tc>
        <w:tc>
          <w:tcPr>
            <w:tcW w:w="1694"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N/A</w:t>
            </w:r>
          </w:p>
        </w:tc>
      </w:tr>
      <w:tr w:rsidR="00B1258F" w:rsidRPr="00904FBC" w:rsidTr="00082AA5">
        <w:trPr>
          <w:trHeight w:val="234"/>
        </w:trPr>
        <w:tc>
          <w:tcPr>
            <w:tcW w:w="2422" w:type="dxa"/>
            <w:shd w:val="clear" w:color="auto" w:fill="auto"/>
            <w:vAlign w:val="center"/>
          </w:tcPr>
          <w:p w:rsidR="00B1258F" w:rsidRPr="00904FBC" w:rsidRDefault="00B1258F" w:rsidP="00082AA5">
            <w:pPr>
              <w:rPr>
                <w:rFonts w:eastAsia="Times"/>
                <w:sz w:val="16"/>
                <w:szCs w:val="16"/>
              </w:rPr>
            </w:pPr>
            <w:r w:rsidRPr="00904FBC">
              <w:rPr>
                <w:rFonts w:eastAsia="Times"/>
                <w:sz w:val="16"/>
                <w:szCs w:val="16"/>
              </w:rPr>
              <w:t>Torres-Gonzalez et al. 2016</w:t>
            </w:r>
            <w:r w:rsidRPr="00904FBC">
              <w:rPr>
                <w:rFonts w:eastAsia="Times"/>
                <w:sz w:val="16"/>
                <w:szCs w:val="16"/>
              </w:rPr>
              <w:fldChar w:fldCharType="begin" w:fldLock="1"/>
            </w:r>
            <w:r w:rsidRPr="00904FBC">
              <w:rPr>
                <w:rFonts w:eastAsia="Times"/>
                <w:sz w:val="16"/>
                <w:szCs w:val="16"/>
              </w:rPr>
              <w:instrText>ADDIN CSL_CITATION {"citationItems":[{"id":"ITEM-1","itemData":{"author":[{"dropping-particle":"","family":"Torres-Gonzalez","given":"Pedro","non-dropping-particle":"","parse-names":false,"suffix":""},{"dropping-particle":"","family":"Ortiz-Brizuela","given":"Edgar","non-dropping-particle":"","parse-names":false,"suffix":""},{"dropping-particle":"","family":"Cervera-Hernandez","given":"Miguel Enrique","non-dropping-particle":"","parse-names":false,"suffix":""},{"dropping-particle":"","family":"Bobadilla-del Valle","given":"Miriam","non-dropping-particle":"","parse-names":false,"suffix":""},{"dropping-particle":"","family":"Martinez-Gamboa","given":"Areli","non-dropping-particle":"","parse-names":false,"suffix":""},{"dropping-particle":"","family":"Sifuentes-Osornio","given":"Jose","non-dropping-particle":"","parse-names":false,"suffix":""},{"dropping-particle":"","family":"Ponce-de-Leon","given":"Alfredo","non-dropping-particle":"","parse-names":false,"suffix":""}],"container-title":"Diagnostic Microbiology and Infectious Disease","id":"ITEM-1","issue":"2","issued":{"date-parts":[["2016"]]},"page":"243-248","publisher":"Elsevier Inc.","title":"Associated factors and outcomes for OXA-232 Carbapenem-resistant Enterobacteriaceae infections in a tertiary care centre in Mexico City: A case–control-control study","type":"article-journal","volume":"86"},"uris":["http://www.mendeley.com/documents/?uuid=6e74d34f-8e9c-481a-b5af-e3a97dfc5f1f"]}],"mendeley":{"formattedCitation":"&lt;sup&gt;26&lt;/sup&gt;","plainTextFormattedCitation":"26","previouslyFormattedCitation":"&lt;sup&gt;26&lt;/sup&gt;"},"properties":{"noteIndex":0},"schema":"https://github.com/citation-style-language/schema/raw/master/csl-citation.json"}</w:instrText>
            </w:r>
            <w:r w:rsidRPr="00904FBC">
              <w:rPr>
                <w:rFonts w:eastAsia="Times"/>
                <w:sz w:val="16"/>
                <w:szCs w:val="16"/>
              </w:rPr>
              <w:fldChar w:fldCharType="separate"/>
            </w:r>
            <w:r w:rsidRPr="00904FBC">
              <w:rPr>
                <w:rFonts w:eastAsia="Times"/>
                <w:noProof/>
                <w:sz w:val="16"/>
                <w:szCs w:val="16"/>
                <w:vertAlign w:val="superscript"/>
              </w:rPr>
              <w:t>26</w:t>
            </w:r>
            <w:r w:rsidRPr="00904FBC">
              <w:rPr>
                <w:rFonts w:eastAsia="Times"/>
                <w:sz w:val="16"/>
                <w:szCs w:val="16"/>
              </w:rPr>
              <w:fldChar w:fldCharType="end"/>
            </w:r>
            <w:r w:rsidRPr="00904FBC">
              <w:rPr>
                <w:rFonts w:eastAsia="Times"/>
                <w:sz w:val="16"/>
                <w:szCs w:val="16"/>
              </w:rPr>
              <w:t>*</w:t>
            </w:r>
          </w:p>
        </w:tc>
        <w:tc>
          <w:tcPr>
            <w:tcW w:w="1301" w:type="dxa"/>
            <w:shd w:val="clear" w:color="auto" w:fill="auto"/>
            <w:vAlign w:val="center"/>
          </w:tcPr>
          <w:p w:rsidR="00B1258F" w:rsidRPr="00904FBC" w:rsidRDefault="00B1258F" w:rsidP="00082AA5">
            <w:pPr>
              <w:jc w:val="center"/>
              <w:rPr>
                <w:rFonts w:eastAsia="Times"/>
                <w:sz w:val="16"/>
                <w:szCs w:val="16"/>
              </w:rPr>
            </w:pPr>
            <w:r w:rsidRPr="00904FBC">
              <w:rPr>
                <w:sz w:val="16"/>
                <w:szCs w:val="16"/>
              </w:rPr>
              <w:t>27</w:t>
            </w:r>
          </w:p>
        </w:tc>
        <w:tc>
          <w:tcPr>
            <w:tcW w:w="1470" w:type="dxa"/>
            <w:vAlign w:val="center"/>
          </w:tcPr>
          <w:p w:rsidR="00B1258F" w:rsidRPr="00904FBC" w:rsidRDefault="00B1258F" w:rsidP="00082AA5">
            <w:pPr>
              <w:jc w:val="center"/>
              <w:rPr>
                <w:rFonts w:eastAsia="Times"/>
                <w:sz w:val="16"/>
                <w:szCs w:val="16"/>
              </w:rPr>
            </w:pPr>
            <w:r w:rsidRPr="00904FBC">
              <w:rPr>
                <w:sz w:val="16"/>
                <w:szCs w:val="16"/>
              </w:rPr>
              <w:t>108</w:t>
            </w:r>
          </w:p>
        </w:tc>
        <w:tc>
          <w:tcPr>
            <w:tcW w:w="1470"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21 (8–15)</w:t>
            </w:r>
          </w:p>
        </w:tc>
        <w:tc>
          <w:tcPr>
            <w:tcW w:w="1532"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CS - 15 (7-32) ; CS ESBL-producing - 15 (11-35)</w:t>
            </w:r>
          </w:p>
        </w:tc>
        <w:tc>
          <w:tcPr>
            <w:tcW w:w="1694" w:type="dxa"/>
            <w:shd w:val="clear" w:color="auto" w:fill="auto"/>
            <w:vAlign w:val="center"/>
          </w:tcPr>
          <w:p w:rsidR="00B1258F" w:rsidRPr="00904FBC" w:rsidRDefault="00B1258F" w:rsidP="00082AA5">
            <w:pPr>
              <w:jc w:val="center"/>
              <w:rPr>
                <w:rFonts w:eastAsia="Times"/>
                <w:sz w:val="16"/>
                <w:szCs w:val="16"/>
              </w:rPr>
            </w:pPr>
            <w:r w:rsidRPr="00904FBC">
              <w:rPr>
                <w:rFonts w:eastAsia="Times"/>
                <w:sz w:val="16"/>
                <w:szCs w:val="16"/>
              </w:rPr>
              <w:t>N/A</w:t>
            </w:r>
          </w:p>
        </w:tc>
      </w:tr>
    </w:tbl>
    <w:p w:rsidR="00B1258F" w:rsidRPr="00E33EFF" w:rsidRDefault="00B1258F" w:rsidP="00B1258F">
      <w:pPr>
        <w:rPr>
          <w:rFonts w:eastAsia="Times"/>
          <w:szCs w:val="20"/>
        </w:rPr>
      </w:pPr>
    </w:p>
    <w:p w:rsidR="00B1258F" w:rsidRPr="00E33EFF" w:rsidRDefault="00B1258F" w:rsidP="00B1258F">
      <w:pPr>
        <w:rPr>
          <w:rFonts w:eastAsia="Times"/>
          <w:szCs w:val="20"/>
        </w:rPr>
      </w:pPr>
      <w:r w:rsidRPr="00E33EFF">
        <w:rPr>
          <w:rFonts w:eastAsia="Times"/>
          <w:szCs w:val="20"/>
        </w:rPr>
        <w:t>*Median (interquartile range)</w:t>
      </w:r>
    </w:p>
    <w:p w:rsidR="00B1258F" w:rsidRPr="00E33EFF" w:rsidRDefault="00B1258F" w:rsidP="00B1258F">
      <w:pPr>
        <w:rPr>
          <w:rFonts w:eastAsia="Times"/>
          <w:szCs w:val="20"/>
        </w:rPr>
      </w:pPr>
      <w:r w:rsidRPr="00E33EFF">
        <w:rPr>
          <w:rFonts w:eastAsia="Times"/>
          <w:szCs w:val="20"/>
        </w:rPr>
        <w:t xml:space="preserve">CI, confidence interval; NA, not available; SD, standard deviation; ESBL, extended-spectrum beta-lactamase;  KP, </w:t>
      </w:r>
      <w:r w:rsidRPr="00E33EFF">
        <w:rPr>
          <w:rFonts w:eastAsia="Times"/>
          <w:i/>
          <w:szCs w:val="20"/>
        </w:rPr>
        <w:t>Klebsiella pneumoniae</w:t>
      </w:r>
      <w:r w:rsidRPr="00E33EFF">
        <w:rPr>
          <w:rFonts w:eastAsia="Times"/>
          <w:szCs w:val="20"/>
        </w:rPr>
        <w:t xml:space="preserve"> ; CS, carbapenem susceptible</w:t>
      </w:r>
    </w:p>
    <w:p w:rsidR="00B1258F" w:rsidRPr="00BA67C1" w:rsidRDefault="00B1258F" w:rsidP="00B1258F">
      <w:pPr>
        <w:rPr>
          <w:rFonts w:eastAsia="Times"/>
          <w:b/>
          <w:bCs/>
          <w:szCs w:val="20"/>
        </w:rPr>
      </w:pPr>
    </w:p>
    <w:p w:rsidR="002D537C" w:rsidRDefault="002D537C"/>
    <w:sectPr w:rsidR="002D537C" w:rsidSect="00082AA5">
      <w:pgSz w:w="12240" w:h="15840"/>
      <w:pgMar w:top="1440" w:right="1440" w:bottom="1440" w:left="1440" w:header="709" w:footer="709" w:gutter="0"/>
      <w:lnNumType w:countBy="1" w:restart="continuou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41B" w:rsidRDefault="00FD341B">
      <w:pPr>
        <w:spacing w:after="0" w:line="240" w:lineRule="auto"/>
      </w:pPr>
      <w:r>
        <w:separator/>
      </w:r>
    </w:p>
  </w:endnote>
  <w:endnote w:type="continuationSeparator" w:id="0">
    <w:p w:rsidR="00FD341B" w:rsidRDefault="00FD3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AA5" w:rsidRDefault="00B1258F">
    <w:pPr>
      <w:pStyle w:val="Footer"/>
      <w:jc w:val="right"/>
    </w:pPr>
    <w:fldSimple w:instr=" PAGE   \* MERGEFORMAT ">
      <w:r w:rsidR="00C16D2F">
        <w:rPr>
          <w:noProof/>
        </w:rPr>
        <w:t>8</w:t>
      </w:r>
    </w:fldSimple>
  </w:p>
  <w:p w:rsidR="00082AA5" w:rsidRDefault="00082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41B" w:rsidRDefault="00FD341B">
      <w:pPr>
        <w:spacing w:after="0" w:line="240" w:lineRule="auto"/>
      </w:pPr>
      <w:r>
        <w:separator/>
      </w:r>
    </w:p>
  </w:footnote>
  <w:footnote w:type="continuationSeparator" w:id="0">
    <w:p w:rsidR="00FD341B" w:rsidRDefault="00FD3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3BB2"/>
    <w:multiLevelType w:val="hybridMultilevel"/>
    <w:tmpl w:val="71A2D5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61C3A01"/>
    <w:multiLevelType w:val="hybridMultilevel"/>
    <w:tmpl w:val="2F6EE24C"/>
    <w:lvl w:ilvl="0" w:tplc="467C6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620EA"/>
    <w:multiLevelType w:val="multilevel"/>
    <w:tmpl w:val="DD18610C"/>
    <w:lvl w:ilvl="0">
      <w:start w:val="1"/>
      <w:numFmt w:val="decimal"/>
      <w:lvlText w:val="%1)"/>
      <w:lvlJc w:val="left"/>
      <w:pPr>
        <w:ind w:left="720" w:hanging="360"/>
      </w:pPr>
      <w:rPr>
        <w:rFonts w:ascii="Arial" w:eastAsia="Arial" w:hAnsi="Arial" w:cs="Arial"/>
        <w:color w:val="222222"/>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1258F"/>
    <w:rsid w:val="00082AA5"/>
    <w:rsid w:val="00271E61"/>
    <w:rsid w:val="002D537C"/>
    <w:rsid w:val="00394670"/>
    <w:rsid w:val="00482BEF"/>
    <w:rsid w:val="00904FBC"/>
    <w:rsid w:val="00B1258F"/>
    <w:rsid w:val="00B4589E"/>
    <w:rsid w:val="00C16D2F"/>
    <w:rsid w:val="00CE6C4C"/>
    <w:rsid w:val="00FD3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B1258F"/>
    <w:pPr>
      <w:keepNext/>
      <w:keepLines/>
      <w:spacing w:before="480" w:after="120" w:line="240" w:lineRule="auto"/>
      <w:outlineLvl w:val="0"/>
    </w:pPr>
    <w:rPr>
      <w:rFonts w:ascii="Times New Roman" w:hAnsi="Times New Roman" w:cs="Calibri"/>
      <w:b/>
      <w:sz w:val="48"/>
      <w:szCs w:val="48"/>
      <w:lang w:eastAsia="en-CA"/>
    </w:rPr>
  </w:style>
  <w:style w:type="paragraph" w:styleId="Heading2">
    <w:name w:val="heading 2"/>
    <w:basedOn w:val="Normal"/>
    <w:next w:val="Normal"/>
    <w:link w:val="Heading2Char"/>
    <w:uiPriority w:val="9"/>
    <w:semiHidden/>
    <w:unhideWhenUsed/>
    <w:qFormat/>
    <w:rsid w:val="00B1258F"/>
    <w:pPr>
      <w:keepNext/>
      <w:keepLines/>
      <w:spacing w:before="360" w:after="80" w:line="240" w:lineRule="auto"/>
      <w:outlineLvl w:val="1"/>
    </w:pPr>
    <w:rPr>
      <w:rFonts w:ascii="Times New Roman" w:hAnsi="Times New Roman" w:cs="Calibri"/>
      <w:b/>
      <w:sz w:val="36"/>
      <w:szCs w:val="36"/>
      <w:lang w:eastAsia="en-CA"/>
    </w:rPr>
  </w:style>
  <w:style w:type="paragraph" w:styleId="Heading3">
    <w:name w:val="heading 3"/>
    <w:basedOn w:val="Normal"/>
    <w:next w:val="Normal"/>
    <w:link w:val="Heading3Char"/>
    <w:uiPriority w:val="9"/>
    <w:semiHidden/>
    <w:unhideWhenUsed/>
    <w:qFormat/>
    <w:rsid w:val="00B1258F"/>
    <w:pPr>
      <w:keepNext/>
      <w:keepLines/>
      <w:spacing w:before="280" w:after="80" w:line="240" w:lineRule="auto"/>
      <w:outlineLvl w:val="2"/>
    </w:pPr>
    <w:rPr>
      <w:rFonts w:ascii="Times New Roman" w:hAnsi="Times New Roman" w:cs="Calibri"/>
      <w:b/>
      <w:sz w:val="28"/>
      <w:szCs w:val="28"/>
      <w:lang w:eastAsia="en-CA"/>
    </w:rPr>
  </w:style>
  <w:style w:type="paragraph" w:styleId="Heading4">
    <w:name w:val="heading 4"/>
    <w:basedOn w:val="Normal"/>
    <w:next w:val="Normal"/>
    <w:link w:val="Heading4Char"/>
    <w:uiPriority w:val="9"/>
    <w:semiHidden/>
    <w:unhideWhenUsed/>
    <w:qFormat/>
    <w:rsid w:val="00B1258F"/>
    <w:pPr>
      <w:keepNext/>
      <w:keepLines/>
      <w:spacing w:before="240" w:after="40" w:line="240" w:lineRule="auto"/>
      <w:outlineLvl w:val="3"/>
    </w:pPr>
    <w:rPr>
      <w:rFonts w:ascii="Times New Roman" w:hAnsi="Times New Roman" w:cs="Calibri"/>
      <w:b/>
      <w:sz w:val="20"/>
      <w:szCs w:val="24"/>
      <w:lang w:eastAsia="en-CA"/>
    </w:rPr>
  </w:style>
  <w:style w:type="paragraph" w:styleId="Heading5">
    <w:name w:val="heading 5"/>
    <w:basedOn w:val="Normal"/>
    <w:next w:val="Normal"/>
    <w:link w:val="Heading5Char"/>
    <w:uiPriority w:val="9"/>
    <w:semiHidden/>
    <w:unhideWhenUsed/>
    <w:qFormat/>
    <w:rsid w:val="00B1258F"/>
    <w:pPr>
      <w:keepNext/>
      <w:keepLines/>
      <w:spacing w:before="220" w:after="40" w:line="240" w:lineRule="auto"/>
      <w:outlineLvl w:val="4"/>
    </w:pPr>
    <w:rPr>
      <w:rFonts w:ascii="Times New Roman" w:hAnsi="Times New Roman" w:cs="Calibri"/>
      <w:b/>
      <w:lang w:eastAsia="en-CA"/>
    </w:rPr>
  </w:style>
  <w:style w:type="paragraph" w:styleId="Heading6">
    <w:name w:val="heading 6"/>
    <w:basedOn w:val="Normal"/>
    <w:next w:val="Normal"/>
    <w:link w:val="Heading6Char"/>
    <w:uiPriority w:val="9"/>
    <w:semiHidden/>
    <w:unhideWhenUsed/>
    <w:qFormat/>
    <w:rsid w:val="00B1258F"/>
    <w:pPr>
      <w:keepNext/>
      <w:keepLines/>
      <w:spacing w:before="200" w:after="40" w:line="240" w:lineRule="auto"/>
      <w:outlineLvl w:val="5"/>
    </w:pPr>
    <w:rPr>
      <w:rFonts w:ascii="Times New Roman" w:hAnsi="Times New Roman" w:cs="Calibri"/>
      <w:b/>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258F"/>
    <w:rPr>
      <w:rFonts w:ascii="Times New Roman" w:eastAsia="Calibri" w:hAnsi="Times New Roman" w:cs="Calibri"/>
      <w:b/>
      <w:sz w:val="48"/>
      <w:szCs w:val="48"/>
      <w:lang w:eastAsia="en-CA"/>
    </w:rPr>
  </w:style>
  <w:style w:type="character" w:customStyle="1" w:styleId="Heading2Char">
    <w:name w:val="Heading 2 Char"/>
    <w:link w:val="Heading2"/>
    <w:uiPriority w:val="9"/>
    <w:semiHidden/>
    <w:rsid w:val="00B1258F"/>
    <w:rPr>
      <w:rFonts w:ascii="Times New Roman" w:eastAsia="Calibri" w:hAnsi="Times New Roman" w:cs="Calibri"/>
      <w:b/>
      <w:sz w:val="36"/>
      <w:szCs w:val="36"/>
      <w:lang w:eastAsia="en-CA"/>
    </w:rPr>
  </w:style>
  <w:style w:type="character" w:customStyle="1" w:styleId="Heading3Char">
    <w:name w:val="Heading 3 Char"/>
    <w:link w:val="Heading3"/>
    <w:uiPriority w:val="9"/>
    <w:semiHidden/>
    <w:rsid w:val="00B1258F"/>
    <w:rPr>
      <w:rFonts w:ascii="Times New Roman" w:eastAsia="Calibri" w:hAnsi="Times New Roman" w:cs="Calibri"/>
      <w:b/>
      <w:sz w:val="28"/>
      <w:szCs w:val="28"/>
      <w:lang w:eastAsia="en-CA"/>
    </w:rPr>
  </w:style>
  <w:style w:type="character" w:customStyle="1" w:styleId="Heading4Char">
    <w:name w:val="Heading 4 Char"/>
    <w:link w:val="Heading4"/>
    <w:uiPriority w:val="9"/>
    <w:semiHidden/>
    <w:rsid w:val="00B1258F"/>
    <w:rPr>
      <w:rFonts w:ascii="Times New Roman" w:eastAsia="Calibri" w:hAnsi="Times New Roman" w:cs="Calibri"/>
      <w:b/>
      <w:sz w:val="20"/>
      <w:szCs w:val="24"/>
      <w:lang w:eastAsia="en-CA"/>
    </w:rPr>
  </w:style>
  <w:style w:type="character" w:customStyle="1" w:styleId="Heading5Char">
    <w:name w:val="Heading 5 Char"/>
    <w:link w:val="Heading5"/>
    <w:uiPriority w:val="9"/>
    <w:semiHidden/>
    <w:rsid w:val="00B1258F"/>
    <w:rPr>
      <w:rFonts w:ascii="Times New Roman" w:eastAsia="Calibri" w:hAnsi="Times New Roman" w:cs="Calibri"/>
      <w:b/>
      <w:lang w:eastAsia="en-CA"/>
    </w:rPr>
  </w:style>
  <w:style w:type="character" w:customStyle="1" w:styleId="Heading6Char">
    <w:name w:val="Heading 6 Char"/>
    <w:link w:val="Heading6"/>
    <w:uiPriority w:val="9"/>
    <w:semiHidden/>
    <w:rsid w:val="00B1258F"/>
    <w:rPr>
      <w:rFonts w:ascii="Times New Roman" w:eastAsia="Calibri" w:hAnsi="Times New Roman" w:cs="Calibri"/>
      <w:b/>
      <w:sz w:val="20"/>
      <w:szCs w:val="20"/>
      <w:lang w:eastAsia="en-CA"/>
    </w:rPr>
  </w:style>
  <w:style w:type="paragraph" w:styleId="Title">
    <w:name w:val="Title"/>
    <w:basedOn w:val="Normal"/>
    <w:next w:val="Normal"/>
    <w:link w:val="TitleChar"/>
    <w:uiPriority w:val="10"/>
    <w:qFormat/>
    <w:rsid w:val="00B1258F"/>
    <w:pPr>
      <w:keepNext/>
      <w:keepLines/>
      <w:spacing w:before="480" w:after="120" w:line="240" w:lineRule="auto"/>
    </w:pPr>
    <w:rPr>
      <w:rFonts w:ascii="Times New Roman" w:hAnsi="Times New Roman" w:cs="Calibri"/>
      <w:b/>
      <w:sz w:val="72"/>
      <w:szCs w:val="72"/>
      <w:lang w:eastAsia="en-CA"/>
    </w:rPr>
  </w:style>
  <w:style w:type="character" w:customStyle="1" w:styleId="TitleChar">
    <w:name w:val="Title Char"/>
    <w:link w:val="Title"/>
    <w:uiPriority w:val="10"/>
    <w:rsid w:val="00B1258F"/>
    <w:rPr>
      <w:rFonts w:ascii="Times New Roman" w:eastAsia="Calibri" w:hAnsi="Times New Roman" w:cs="Calibri"/>
      <w:b/>
      <w:sz w:val="72"/>
      <w:szCs w:val="72"/>
      <w:lang w:eastAsia="en-CA"/>
    </w:rPr>
  </w:style>
  <w:style w:type="paragraph" w:styleId="Subtitle">
    <w:name w:val="Subtitle"/>
    <w:basedOn w:val="Normal"/>
    <w:next w:val="Normal"/>
    <w:link w:val="SubtitleChar"/>
    <w:uiPriority w:val="11"/>
    <w:qFormat/>
    <w:rsid w:val="00B1258F"/>
    <w:pPr>
      <w:keepNext/>
      <w:keepLines/>
      <w:spacing w:before="360" w:after="80" w:line="240" w:lineRule="auto"/>
    </w:pPr>
    <w:rPr>
      <w:rFonts w:ascii="Georgia" w:eastAsia="Georgia" w:hAnsi="Georgia" w:cs="Georgia"/>
      <w:i/>
      <w:color w:val="666666"/>
      <w:sz w:val="48"/>
      <w:szCs w:val="48"/>
      <w:lang w:eastAsia="en-CA"/>
    </w:rPr>
  </w:style>
  <w:style w:type="character" w:customStyle="1" w:styleId="SubtitleChar">
    <w:name w:val="Subtitle Char"/>
    <w:link w:val="Subtitle"/>
    <w:uiPriority w:val="11"/>
    <w:rsid w:val="00B1258F"/>
    <w:rPr>
      <w:rFonts w:ascii="Georgia" w:eastAsia="Georgia" w:hAnsi="Georgia" w:cs="Georgia"/>
      <w:i/>
      <w:color w:val="666666"/>
      <w:sz w:val="48"/>
      <w:szCs w:val="48"/>
      <w:lang w:eastAsia="en-CA"/>
    </w:rPr>
  </w:style>
  <w:style w:type="paragraph" w:styleId="CommentText">
    <w:name w:val="annotation text"/>
    <w:basedOn w:val="Normal"/>
    <w:link w:val="CommentTextChar"/>
    <w:uiPriority w:val="99"/>
    <w:semiHidden/>
    <w:unhideWhenUsed/>
    <w:rsid w:val="00B1258F"/>
    <w:pPr>
      <w:spacing w:after="0" w:line="240" w:lineRule="auto"/>
    </w:pPr>
    <w:rPr>
      <w:rFonts w:ascii="Times New Roman" w:hAnsi="Times New Roman" w:cs="Calibri"/>
      <w:sz w:val="20"/>
      <w:szCs w:val="20"/>
      <w:lang w:eastAsia="en-CA"/>
    </w:rPr>
  </w:style>
  <w:style w:type="character" w:customStyle="1" w:styleId="CommentTextChar">
    <w:name w:val="Comment Text Char"/>
    <w:link w:val="CommentText"/>
    <w:uiPriority w:val="99"/>
    <w:semiHidden/>
    <w:rsid w:val="00B1258F"/>
    <w:rPr>
      <w:rFonts w:ascii="Times New Roman" w:eastAsia="Calibri" w:hAnsi="Times New Roman" w:cs="Calibri"/>
      <w:sz w:val="20"/>
      <w:szCs w:val="20"/>
      <w:lang w:eastAsia="en-CA"/>
    </w:rPr>
  </w:style>
  <w:style w:type="character" w:styleId="CommentReference">
    <w:name w:val="annotation reference"/>
    <w:uiPriority w:val="99"/>
    <w:semiHidden/>
    <w:unhideWhenUsed/>
    <w:rsid w:val="00B1258F"/>
    <w:rPr>
      <w:sz w:val="16"/>
      <w:szCs w:val="16"/>
    </w:rPr>
  </w:style>
  <w:style w:type="paragraph" w:styleId="BalloonText">
    <w:name w:val="Balloon Text"/>
    <w:basedOn w:val="Normal"/>
    <w:link w:val="BalloonTextChar"/>
    <w:uiPriority w:val="99"/>
    <w:semiHidden/>
    <w:unhideWhenUsed/>
    <w:rsid w:val="00B1258F"/>
    <w:pPr>
      <w:spacing w:after="0" w:line="240" w:lineRule="auto"/>
    </w:pPr>
    <w:rPr>
      <w:rFonts w:ascii="Segoe UI" w:hAnsi="Segoe UI" w:cs="Segoe UI"/>
      <w:sz w:val="18"/>
      <w:szCs w:val="18"/>
      <w:lang w:eastAsia="en-CA"/>
    </w:rPr>
  </w:style>
  <w:style w:type="character" w:customStyle="1" w:styleId="BalloonTextChar">
    <w:name w:val="Balloon Text Char"/>
    <w:link w:val="BalloonText"/>
    <w:uiPriority w:val="99"/>
    <w:semiHidden/>
    <w:rsid w:val="00B1258F"/>
    <w:rPr>
      <w:rFonts w:ascii="Segoe UI" w:eastAsia="Calibri" w:hAnsi="Segoe UI" w:cs="Segoe UI"/>
      <w:sz w:val="18"/>
      <w:szCs w:val="18"/>
      <w:lang w:eastAsia="en-CA"/>
    </w:rPr>
  </w:style>
  <w:style w:type="character" w:styleId="LineNumber">
    <w:name w:val="line number"/>
    <w:basedOn w:val="DefaultParagraphFont"/>
    <w:uiPriority w:val="99"/>
    <w:semiHidden/>
    <w:unhideWhenUsed/>
    <w:rsid w:val="00B1258F"/>
  </w:style>
  <w:style w:type="paragraph" w:styleId="ListParagraph">
    <w:name w:val="List Paragraph"/>
    <w:basedOn w:val="Normal"/>
    <w:uiPriority w:val="34"/>
    <w:qFormat/>
    <w:rsid w:val="00B1258F"/>
    <w:pPr>
      <w:spacing w:after="0" w:line="240" w:lineRule="auto"/>
      <w:ind w:left="720"/>
      <w:contextualSpacing/>
    </w:pPr>
    <w:rPr>
      <w:rFonts w:ascii="Times New Roman" w:hAnsi="Times New Roman" w:cs="Calibri"/>
      <w:sz w:val="20"/>
      <w:szCs w:val="24"/>
      <w:lang w:eastAsia="en-CA"/>
    </w:rPr>
  </w:style>
  <w:style w:type="paragraph" w:styleId="Header">
    <w:name w:val="header"/>
    <w:basedOn w:val="Normal"/>
    <w:link w:val="HeaderChar"/>
    <w:uiPriority w:val="99"/>
    <w:unhideWhenUsed/>
    <w:rsid w:val="00B1258F"/>
    <w:pPr>
      <w:tabs>
        <w:tab w:val="center" w:pos="4680"/>
        <w:tab w:val="right" w:pos="9360"/>
      </w:tabs>
      <w:spacing w:after="0" w:line="240" w:lineRule="auto"/>
    </w:pPr>
    <w:rPr>
      <w:rFonts w:ascii="Times New Roman" w:hAnsi="Times New Roman" w:cs="Calibri"/>
      <w:sz w:val="20"/>
      <w:szCs w:val="24"/>
      <w:lang w:eastAsia="en-CA"/>
    </w:rPr>
  </w:style>
  <w:style w:type="character" w:customStyle="1" w:styleId="HeaderChar">
    <w:name w:val="Header Char"/>
    <w:link w:val="Header"/>
    <w:uiPriority w:val="99"/>
    <w:rsid w:val="00B1258F"/>
    <w:rPr>
      <w:rFonts w:ascii="Times New Roman" w:eastAsia="Calibri" w:hAnsi="Times New Roman" w:cs="Calibri"/>
      <w:sz w:val="20"/>
      <w:szCs w:val="24"/>
      <w:lang w:eastAsia="en-CA"/>
    </w:rPr>
  </w:style>
  <w:style w:type="paragraph" w:styleId="Footer">
    <w:name w:val="footer"/>
    <w:basedOn w:val="Normal"/>
    <w:link w:val="FooterChar"/>
    <w:uiPriority w:val="99"/>
    <w:unhideWhenUsed/>
    <w:rsid w:val="00B1258F"/>
    <w:pPr>
      <w:tabs>
        <w:tab w:val="center" w:pos="4680"/>
        <w:tab w:val="right" w:pos="9360"/>
      </w:tabs>
      <w:spacing w:after="0" w:line="240" w:lineRule="auto"/>
    </w:pPr>
    <w:rPr>
      <w:rFonts w:ascii="Times New Roman" w:hAnsi="Times New Roman" w:cs="Calibri"/>
      <w:sz w:val="20"/>
      <w:szCs w:val="24"/>
      <w:lang w:eastAsia="en-CA"/>
    </w:rPr>
  </w:style>
  <w:style w:type="character" w:customStyle="1" w:styleId="FooterChar">
    <w:name w:val="Footer Char"/>
    <w:link w:val="Footer"/>
    <w:uiPriority w:val="99"/>
    <w:rsid w:val="00B1258F"/>
    <w:rPr>
      <w:rFonts w:ascii="Times New Roman" w:eastAsia="Calibri" w:hAnsi="Times New Roman" w:cs="Calibri"/>
      <w:sz w:val="20"/>
      <w:szCs w:val="24"/>
      <w:lang w:eastAsia="en-CA"/>
    </w:rPr>
  </w:style>
  <w:style w:type="paragraph" w:styleId="CommentSubject">
    <w:name w:val="annotation subject"/>
    <w:basedOn w:val="CommentText"/>
    <w:next w:val="CommentText"/>
    <w:link w:val="CommentSubjectChar"/>
    <w:uiPriority w:val="99"/>
    <w:semiHidden/>
    <w:unhideWhenUsed/>
    <w:rsid w:val="00B1258F"/>
    <w:rPr>
      <w:b/>
      <w:bCs/>
    </w:rPr>
  </w:style>
  <w:style w:type="character" w:customStyle="1" w:styleId="CommentSubjectChar">
    <w:name w:val="Comment Subject Char"/>
    <w:link w:val="CommentSubject"/>
    <w:uiPriority w:val="99"/>
    <w:semiHidden/>
    <w:rsid w:val="00B1258F"/>
    <w:rPr>
      <w:rFonts w:ascii="Times New Roman" w:eastAsia="Calibri" w:hAnsi="Times New Roman" w:cs="Calibri"/>
      <w:b/>
      <w:bCs/>
      <w:sz w:val="20"/>
      <w:szCs w:val="20"/>
      <w:lang w:eastAsia="en-CA"/>
    </w:rPr>
  </w:style>
  <w:style w:type="paragraph" w:styleId="NormalWeb">
    <w:name w:val="Normal (Web)"/>
    <w:basedOn w:val="Normal"/>
    <w:uiPriority w:val="99"/>
    <w:semiHidden/>
    <w:unhideWhenUsed/>
    <w:rsid w:val="00B1258F"/>
    <w:pPr>
      <w:spacing w:before="100" w:beforeAutospacing="1" w:after="100" w:afterAutospacing="1" w:line="240" w:lineRule="auto"/>
    </w:pPr>
    <w:rPr>
      <w:rFonts w:ascii="Times New Roman" w:eastAsia="Times New Roman" w:hAnsi="Times New Roman"/>
      <w:sz w:val="20"/>
      <w:szCs w:val="24"/>
      <w:lang w:val="en-CA" w:eastAsia="en-CA"/>
    </w:rPr>
  </w:style>
  <w:style w:type="table" w:styleId="TableGrid">
    <w:name w:val="Table Grid"/>
    <w:basedOn w:val="TableNormal"/>
    <w:uiPriority w:val="39"/>
    <w:rsid w:val="00B1258F"/>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1258F"/>
    <w:rPr>
      <w:rFonts w:cs="Calibri"/>
      <w:sz w:val="24"/>
      <w:szCs w:val="24"/>
      <w:lang w:eastAsia="en-CA"/>
    </w:rPr>
  </w:style>
  <w:style w:type="paragraph" w:styleId="DocumentMap">
    <w:name w:val="Document Map"/>
    <w:basedOn w:val="Normal"/>
    <w:link w:val="DocumentMapChar"/>
    <w:uiPriority w:val="99"/>
    <w:semiHidden/>
    <w:unhideWhenUsed/>
    <w:rsid w:val="00B1258F"/>
    <w:pPr>
      <w:spacing w:after="0" w:line="240" w:lineRule="auto"/>
    </w:pPr>
    <w:rPr>
      <w:rFonts w:ascii="Times New Roman" w:hAnsi="Times New Roman"/>
      <w:sz w:val="20"/>
      <w:szCs w:val="24"/>
      <w:lang w:eastAsia="en-CA"/>
    </w:rPr>
  </w:style>
  <w:style w:type="character" w:customStyle="1" w:styleId="DocumentMapChar">
    <w:name w:val="Document Map Char"/>
    <w:link w:val="DocumentMap"/>
    <w:uiPriority w:val="99"/>
    <w:semiHidden/>
    <w:rsid w:val="00B1258F"/>
    <w:rPr>
      <w:rFonts w:ascii="Times New Roman" w:eastAsia="Calibri" w:hAnsi="Times New Roman" w:cs="Times New Roman"/>
      <w:sz w:val="20"/>
      <w:szCs w:val="24"/>
      <w:lang w:eastAsia="en-CA"/>
    </w:rPr>
  </w:style>
  <w:style w:type="character" w:styleId="Hyperlink">
    <w:name w:val="Hyperlink"/>
    <w:uiPriority w:val="99"/>
    <w:unhideWhenUsed/>
    <w:rsid w:val="00B1258F"/>
    <w:rPr>
      <w:color w:val="0563C1"/>
      <w:u w:val="single"/>
    </w:rPr>
  </w:style>
  <w:style w:type="paragraph" w:customStyle="1" w:styleId="Default">
    <w:name w:val="Default"/>
    <w:rsid w:val="00B1258F"/>
    <w:pPr>
      <w:widowControl w:val="0"/>
      <w:autoSpaceDE w:val="0"/>
      <w:autoSpaceDN w:val="0"/>
      <w:adjustRightInd w:val="0"/>
    </w:pPr>
    <w:rPr>
      <w:rFonts w:eastAsia="Times New Roman" w:cs="Calibri"/>
      <w:color w:val="000000"/>
      <w:sz w:val="24"/>
      <w:szCs w:val="24"/>
      <w:lang w:val="en-CA" w:eastAsia="en-CA"/>
    </w:rPr>
  </w:style>
  <w:style w:type="character" w:styleId="FollowedHyperlink">
    <w:name w:val="FollowedHyperlink"/>
    <w:uiPriority w:val="99"/>
    <w:semiHidden/>
    <w:unhideWhenUsed/>
    <w:rsid w:val="00B1258F"/>
    <w:rPr>
      <w:color w:val="954F72"/>
      <w:u w:val="single"/>
    </w:rPr>
  </w:style>
  <w:style w:type="paragraph" w:styleId="NoSpacing">
    <w:name w:val="No Spacing"/>
    <w:uiPriority w:val="1"/>
    <w:qFormat/>
    <w:rsid w:val="00B1258F"/>
    <w:rPr>
      <w:rFonts w:ascii="Times New Roman" w:hAnsi="Times New Roman" w:cs="Calibri"/>
      <w:szCs w:val="24"/>
      <w:lang w:eastAsia="en-C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31903</Words>
  <Characters>181852</Characters>
  <Application>Microsoft Office Word</Application>
  <DocSecurity>0</DocSecurity>
  <Lines>1515</Lines>
  <Paragraphs>426</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213329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Mazeski</dc:creator>
  <cp:lastModifiedBy> </cp:lastModifiedBy>
  <cp:revision>2</cp:revision>
  <dcterms:created xsi:type="dcterms:W3CDTF">2019-10-21T12:50:00Z</dcterms:created>
  <dcterms:modified xsi:type="dcterms:W3CDTF">2019-10-21T12:50:00Z</dcterms:modified>
</cp:coreProperties>
</file>