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7C" w:rsidRDefault="00A8457C" w:rsidP="00A8457C">
      <w:pPr>
        <w:rPr>
          <w:rFonts w:ascii="Arial" w:hAnsi="Arial" w:cs="Arial"/>
          <w:b/>
          <w:bCs/>
        </w:rPr>
      </w:pPr>
      <w:r w:rsidRPr="00A00359">
        <w:rPr>
          <w:rFonts w:ascii="Arial" w:hAnsi="Arial" w:cs="Arial"/>
          <w:b/>
        </w:rPr>
        <w:t>Supplementa</w:t>
      </w:r>
      <w:r>
        <w:rPr>
          <w:rFonts w:ascii="Arial" w:hAnsi="Arial" w:cs="Arial"/>
          <w:b/>
        </w:rPr>
        <w:t>ry</w:t>
      </w:r>
      <w:r w:rsidRPr="00A00359">
        <w:rPr>
          <w:rFonts w:ascii="Arial" w:hAnsi="Arial" w:cs="Arial"/>
          <w:b/>
        </w:rPr>
        <w:t xml:space="preserve"> Information</w:t>
      </w:r>
      <w:r>
        <w:rPr>
          <w:rFonts w:ascii="Arial" w:hAnsi="Arial" w:cs="Arial"/>
          <w:b/>
        </w:rPr>
        <w:t xml:space="preserve"> for:</w:t>
      </w:r>
      <w:r w:rsidRPr="00A8457C">
        <w:rPr>
          <w:rFonts w:ascii="Arial" w:hAnsi="Arial" w:cs="Arial"/>
          <w:b/>
          <w:bCs/>
        </w:rPr>
        <w:t xml:space="preserve"> </w:t>
      </w:r>
    </w:p>
    <w:p w:rsidR="00A8457C" w:rsidRPr="00AC0DEF" w:rsidRDefault="00A8457C" w:rsidP="00A8457C">
      <w:pPr>
        <w:rPr>
          <w:rFonts w:ascii="Arial" w:hAnsi="Arial" w:cs="Arial"/>
          <w:b/>
          <w:bCs/>
        </w:rPr>
      </w:pPr>
      <w:r w:rsidRPr="00AC0DEF">
        <w:rPr>
          <w:rFonts w:ascii="Arial" w:hAnsi="Arial" w:cs="Arial"/>
          <w:b/>
          <w:bCs/>
        </w:rPr>
        <w:t xml:space="preserve">Impacts of Silver Coated Antimicrobial Screen Covers on the </w:t>
      </w:r>
      <w:r>
        <w:rPr>
          <w:rFonts w:ascii="Arial" w:hAnsi="Arial" w:cs="Arial"/>
          <w:b/>
          <w:bCs/>
        </w:rPr>
        <w:t>Cell</w:t>
      </w:r>
      <w:r w:rsidRPr="00AC0DEF">
        <w:rPr>
          <w:rFonts w:ascii="Arial" w:hAnsi="Arial" w:cs="Arial"/>
          <w:b/>
          <w:bCs/>
        </w:rPr>
        <w:t xml:space="preserve"> Phone Microbiome of Resident Physicians</w:t>
      </w:r>
    </w:p>
    <w:p w:rsidR="00A8457C" w:rsidRPr="00AC0DEF" w:rsidRDefault="00A8457C" w:rsidP="00A8457C">
      <w:pPr>
        <w:rPr>
          <w:rFonts w:ascii="Arial" w:hAnsi="Arial" w:cs="Arial"/>
          <w:b/>
        </w:rPr>
      </w:pPr>
    </w:p>
    <w:p w:rsidR="00A8457C" w:rsidRPr="00AC0DEF" w:rsidRDefault="00A8457C" w:rsidP="00A8457C">
      <w:pPr>
        <w:shd w:val="clear" w:color="auto" w:fill="FFFFFF"/>
        <w:rPr>
          <w:rFonts w:ascii="Arial" w:eastAsia="Times New Roman" w:hAnsi="Arial" w:cs="Arial"/>
        </w:rPr>
      </w:pPr>
      <w:r w:rsidRPr="00AC0DEF">
        <w:rPr>
          <w:rFonts w:ascii="Arial" w:eastAsia="Times New Roman" w:hAnsi="Arial" w:cs="Arial"/>
        </w:rPr>
        <w:t>Authors:</w:t>
      </w:r>
    </w:p>
    <w:p w:rsidR="00A8457C" w:rsidRPr="00AC0DEF" w:rsidRDefault="00A8457C" w:rsidP="00A8457C">
      <w:pPr>
        <w:shd w:val="clear" w:color="auto" w:fill="FFFFFF"/>
        <w:rPr>
          <w:rFonts w:ascii="Arial" w:eastAsia="Times New Roman" w:hAnsi="Arial" w:cs="Arial"/>
          <w:vertAlign w:val="superscript"/>
        </w:rPr>
      </w:pPr>
      <w:r w:rsidRPr="00AC0DEF">
        <w:rPr>
          <w:rFonts w:ascii="Arial" w:eastAsia="Times New Roman" w:hAnsi="Arial" w:cs="Arial"/>
        </w:rPr>
        <w:t>Alexander McCumber</w:t>
      </w:r>
      <w:r w:rsidRPr="00AC0DEF">
        <w:rPr>
          <w:rFonts w:ascii="Arial" w:eastAsia="Times New Roman" w:hAnsi="Arial" w:cs="Arial"/>
          <w:vertAlign w:val="superscript"/>
        </w:rPr>
        <w:t>1</w:t>
      </w:r>
      <w:r w:rsidRPr="00AC0DEF">
        <w:rPr>
          <w:rFonts w:ascii="Arial" w:eastAsia="Times New Roman" w:hAnsi="Arial" w:cs="Arial"/>
        </w:rPr>
        <w:t>; Savannah J. Volkoff</w:t>
      </w:r>
      <w:r w:rsidRPr="00AC0DEF">
        <w:rPr>
          <w:rFonts w:ascii="Arial" w:eastAsia="Times New Roman" w:hAnsi="Arial" w:cs="Arial"/>
          <w:vertAlign w:val="superscript"/>
        </w:rPr>
        <w:t>1</w:t>
      </w:r>
      <w:r w:rsidRPr="00AC0DEF">
        <w:rPr>
          <w:rFonts w:ascii="Arial" w:eastAsia="Times New Roman" w:hAnsi="Arial" w:cs="Arial"/>
        </w:rPr>
        <w:t>; Deverick J. Anderson, MD, MPH</w:t>
      </w:r>
      <w:r w:rsidRPr="00AC0DEF">
        <w:rPr>
          <w:rFonts w:ascii="Arial" w:eastAsia="Times New Roman" w:hAnsi="Arial" w:cs="Arial"/>
          <w:vertAlign w:val="superscript"/>
        </w:rPr>
        <w:t>2</w:t>
      </w:r>
      <w:r w:rsidRPr="00AC0DEF">
        <w:rPr>
          <w:rFonts w:ascii="Arial" w:eastAsia="Times New Roman" w:hAnsi="Arial" w:cs="Arial"/>
        </w:rPr>
        <w:t>; Claudia K. Gunsch, PhD</w:t>
      </w:r>
      <w:r w:rsidRPr="00AC0DEF">
        <w:rPr>
          <w:rFonts w:ascii="Arial" w:eastAsia="Times New Roman" w:hAnsi="Arial" w:cs="Arial"/>
          <w:vertAlign w:val="superscript"/>
        </w:rPr>
        <w:t>1</w:t>
      </w:r>
    </w:p>
    <w:p w:rsidR="00A8457C" w:rsidRPr="00AC0DEF" w:rsidRDefault="00A8457C" w:rsidP="00A8457C">
      <w:pPr>
        <w:shd w:val="clear" w:color="auto" w:fill="FFFFFF"/>
        <w:rPr>
          <w:rFonts w:ascii="Arial" w:eastAsia="Times New Roman" w:hAnsi="Arial" w:cs="Arial"/>
        </w:rPr>
      </w:pPr>
    </w:p>
    <w:p w:rsidR="00A8457C" w:rsidRPr="00AC0DEF" w:rsidRDefault="00A8457C" w:rsidP="00A8457C">
      <w:pPr>
        <w:shd w:val="clear" w:color="auto" w:fill="FFFFFF"/>
        <w:rPr>
          <w:rFonts w:ascii="Arial" w:eastAsia="Times New Roman" w:hAnsi="Arial" w:cs="Arial"/>
        </w:rPr>
      </w:pPr>
      <w:r w:rsidRPr="00AC0DEF">
        <w:rPr>
          <w:rFonts w:ascii="Arial" w:eastAsia="Times New Roman" w:hAnsi="Arial" w:cs="Arial"/>
        </w:rPr>
        <w:t>Affiliation:</w:t>
      </w:r>
    </w:p>
    <w:p w:rsidR="00A8457C" w:rsidRPr="00AC0DEF" w:rsidRDefault="00A8457C" w:rsidP="00A8457C">
      <w:pPr>
        <w:shd w:val="clear" w:color="auto" w:fill="FFFFFF"/>
        <w:rPr>
          <w:rFonts w:ascii="Arial" w:eastAsia="Times New Roman" w:hAnsi="Arial" w:cs="Arial"/>
        </w:rPr>
      </w:pPr>
      <w:r w:rsidRPr="00AC0DEF">
        <w:rPr>
          <w:rFonts w:ascii="Arial" w:eastAsia="Times New Roman" w:hAnsi="Arial" w:cs="Arial"/>
        </w:rPr>
        <w:t>1 Civil and Environmental Engineering Department, Duke University, Durham, NC, USA</w:t>
      </w:r>
    </w:p>
    <w:p w:rsidR="00A8457C" w:rsidRPr="00AC0DEF" w:rsidRDefault="00A8457C" w:rsidP="00A8457C">
      <w:pPr>
        <w:shd w:val="clear" w:color="auto" w:fill="FFFFFF"/>
        <w:rPr>
          <w:rFonts w:ascii="Arial" w:eastAsia="Times New Roman" w:hAnsi="Arial" w:cs="Arial"/>
        </w:rPr>
      </w:pPr>
      <w:r w:rsidRPr="00AC0DEF">
        <w:rPr>
          <w:rFonts w:ascii="Arial" w:eastAsia="Times New Roman" w:hAnsi="Arial" w:cs="Arial"/>
        </w:rPr>
        <w:t>2 Duke Center for Antimicrobial Stewardship and Infection Prevention, Duke University Medical Center, Durham, NC, USA</w:t>
      </w:r>
    </w:p>
    <w:p w:rsidR="00A8457C" w:rsidRPr="00AC0DEF" w:rsidRDefault="00A8457C" w:rsidP="00A8457C">
      <w:pPr>
        <w:rPr>
          <w:rFonts w:ascii="Arial" w:hAnsi="Arial" w:cs="Arial"/>
          <w:b/>
        </w:rPr>
      </w:pPr>
    </w:p>
    <w:p w:rsidR="00A8457C" w:rsidRPr="00AC0DEF" w:rsidRDefault="00A8457C" w:rsidP="00A8457C">
      <w:pPr>
        <w:rPr>
          <w:rFonts w:ascii="Arial" w:hAnsi="Arial" w:cs="Arial"/>
          <w:b/>
        </w:rPr>
      </w:pPr>
      <w:r w:rsidRPr="00AC0DEF">
        <w:rPr>
          <w:rFonts w:ascii="Arial" w:hAnsi="Arial" w:cs="Arial"/>
          <w:b/>
        </w:rPr>
        <w:t xml:space="preserve">Correspondence Author: </w:t>
      </w:r>
    </w:p>
    <w:p w:rsidR="00A8457C" w:rsidRPr="00AC0DEF" w:rsidRDefault="00A8457C" w:rsidP="00A8457C">
      <w:pPr>
        <w:rPr>
          <w:rFonts w:ascii="Arial" w:hAnsi="Arial" w:cs="Arial"/>
        </w:rPr>
      </w:pPr>
      <w:r w:rsidRPr="00AC0DEF">
        <w:rPr>
          <w:rFonts w:ascii="Arial" w:hAnsi="Arial" w:cs="Arial"/>
        </w:rPr>
        <w:t>Claudia K. Gunsch</w:t>
      </w:r>
    </w:p>
    <w:p w:rsidR="00A8457C" w:rsidRPr="00AC0DEF" w:rsidRDefault="00A8457C" w:rsidP="00A8457C">
      <w:pPr>
        <w:rPr>
          <w:rFonts w:ascii="Arial" w:hAnsi="Arial" w:cs="Arial"/>
        </w:rPr>
      </w:pPr>
      <w:r w:rsidRPr="00AC0DEF">
        <w:rPr>
          <w:rFonts w:ascii="Arial" w:hAnsi="Arial" w:cs="Arial"/>
        </w:rPr>
        <w:t>Phone Number: (919) 660-5208</w:t>
      </w:r>
    </w:p>
    <w:p w:rsidR="00A8457C" w:rsidRPr="00AC0DEF" w:rsidRDefault="00A8457C" w:rsidP="00A8457C">
      <w:pPr>
        <w:rPr>
          <w:rFonts w:ascii="Arial" w:hAnsi="Arial" w:cs="Arial"/>
        </w:rPr>
      </w:pPr>
      <w:r w:rsidRPr="00AC0DEF">
        <w:rPr>
          <w:rFonts w:ascii="Arial" w:hAnsi="Arial" w:cs="Arial"/>
        </w:rPr>
        <w:t>Address: 127 Hudson Hall, Durham, NC 27708</w:t>
      </w:r>
    </w:p>
    <w:p w:rsidR="00A8457C" w:rsidRPr="00AC0DEF" w:rsidRDefault="00A8457C" w:rsidP="00A8457C">
      <w:pPr>
        <w:rPr>
          <w:rFonts w:ascii="Arial" w:hAnsi="Arial" w:cs="Arial"/>
        </w:rPr>
      </w:pPr>
      <w:proofErr w:type="gramStart"/>
      <w:r w:rsidRPr="00AC0DEF">
        <w:rPr>
          <w:rFonts w:ascii="Arial" w:hAnsi="Arial" w:cs="Arial"/>
        </w:rPr>
        <w:t>e-mail</w:t>
      </w:r>
      <w:proofErr w:type="gramEnd"/>
      <w:r w:rsidRPr="00AC0DEF">
        <w:rPr>
          <w:rFonts w:ascii="Arial" w:hAnsi="Arial" w:cs="Arial"/>
        </w:rPr>
        <w:t>: ckgunsch@duke.edu</w:t>
      </w:r>
    </w:p>
    <w:p w:rsidR="00A8457C" w:rsidRPr="00A00359" w:rsidRDefault="00A8457C" w:rsidP="00A8457C">
      <w:pPr>
        <w:spacing w:line="480" w:lineRule="auto"/>
        <w:rPr>
          <w:rFonts w:ascii="Arial" w:hAnsi="Arial" w:cs="Arial"/>
        </w:rPr>
      </w:pPr>
    </w:p>
    <w:p w:rsidR="00A8457C" w:rsidRPr="00A00359" w:rsidRDefault="00A8457C" w:rsidP="00A8457C">
      <w:pPr>
        <w:rPr>
          <w:rFonts w:ascii="Arial" w:hAnsi="Arial" w:cs="Arial"/>
          <w:b/>
        </w:rPr>
      </w:pPr>
    </w:p>
    <w:p w:rsidR="00A8457C" w:rsidRDefault="00A8457C">
      <w:pPr>
        <w:spacing w:after="160" w:line="259" w:lineRule="auto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br w:type="page"/>
      </w:r>
    </w:p>
    <w:p w:rsidR="00A8457C" w:rsidRPr="00A00359" w:rsidRDefault="00A8457C" w:rsidP="00A8457C">
      <w:pPr>
        <w:spacing w:line="480" w:lineRule="auto"/>
        <w:rPr>
          <w:rFonts w:ascii="Arial" w:eastAsia="Times" w:hAnsi="Arial" w:cs="Arial"/>
        </w:rPr>
      </w:pPr>
      <w:r w:rsidRPr="00A00359">
        <w:rPr>
          <w:rFonts w:ascii="Arial" w:eastAsia="Times" w:hAnsi="Arial" w:cs="Arial"/>
        </w:rPr>
        <w:lastRenderedPageBreak/>
        <w:t xml:space="preserve">PCR amplifications were performed on the </w:t>
      </w:r>
      <w:proofErr w:type="spellStart"/>
      <w:r w:rsidRPr="00A00359">
        <w:rPr>
          <w:rFonts w:ascii="Arial" w:eastAsia="Times" w:hAnsi="Arial" w:cs="Arial"/>
        </w:rPr>
        <w:t>BioRad</w:t>
      </w:r>
      <w:proofErr w:type="spellEnd"/>
      <w:r w:rsidRPr="00A00359">
        <w:rPr>
          <w:rFonts w:ascii="Arial" w:eastAsia="Times" w:hAnsi="Arial" w:cs="Arial"/>
        </w:rPr>
        <w:t xml:space="preserve"> C1000 Touch</w:t>
      </w:r>
      <w:r w:rsidRPr="00A00359">
        <w:rPr>
          <w:rFonts w:ascii="Arial" w:hAnsi="Arial" w:cs="Arial"/>
        </w:rPr>
        <w:sym w:font="Symbol" w:char="F0E4"/>
      </w:r>
      <w:r w:rsidRPr="00A00359">
        <w:rPr>
          <w:rFonts w:ascii="Arial" w:eastAsia="Times" w:hAnsi="Arial" w:cs="Arial"/>
        </w:rPr>
        <w:t xml:space="preserve"> Thermal Cycler (Applied Biosystems, Foster City, CA, USA) using the following conditions: initial denaturation (3min, 95˚C), and 39 cycles including further denaturation of (15s, 95˚C) and annealing (1m, 64˚C). Purified </w:t>
      </w:r>
      <w:proofErr w:type="spellStart"/>
      <w:r w:rsidRPr="00A00359">
        <w:rPr>
          <w:rFonts w:ascii="Arial" w:eastAsia="Times" w:hAnsi="Arial" w:cs="Arial"/>
        </w:rPr>
        <w:t>gBlocks</w:t>
      </w:r>
      <w:proofErr w:type="spellEnd"/>
      <w:r w:rsidRPr="00A00359">
        <w:rPr>
          <w:rFonts w:ascii="Arial" w:eastAsia="Times" w:hAnsi="Arial" w:cs="Arial"/>
        </w:rPr>
        <w:t xml:space="preserve"> (Integrated DNA Technologies, Illinois, </w:t>
      </w:r>
      <w:proofErr w:type="gramStart"/>
      <w:r w:rsidRPr="00A00359">
        <w:rPr>
          <w:rFonts w:ascii="Arial" w:eastAsia="Times" w:hAnsi="Arial" w:cs="Arial"/>
        </w:rPr>
        <w:t>USA</w:t>
      </w:r>
      <w:proofErr w:type="gramEnd"/>
      <w:r w:rsidRPr="00A00359">
        <w:rPr>
          <w:rFonts w:ascii="Arial" w:eastAsia="Times" w:hAnsi="Arial" w:cs="Arial"/>
        </w:rPr>
        <w:t>) were used to generate the standard curves for this assay.</w:t>
      </w:r>
    </w:p>
    <w:p w:rsidR="00A8457C" w:rsidRPr="00A00359" w:rsidRDefault="00A8457C" w:rsidP="00A8457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505"/>
        <w:gridCol w:w="2747"/>
        <w:gridCol w:w="3023"/>
      </w:tblGrid>
      <w:tr w:rsidR="00A8457C" w:rsidRPr="00A00359" w:rsidTr="00303B3A">
        <w:tc>
          <w:tcPr>
            <w:tcW w:w="1075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  <w:b/>
              </w:rPr>
            </w:pPr>
            <w:r w:rsidRPr="00A00359">
              <w:rPr>
                <w:rFonts w:ascii="Arial" w:hAnsi="Arial" w:cs="Arial"/>
                <w:b/>
              </w:rPr>
              <w:t>Gene</w:t>
            </w:r>
          </w:p>
        </w:tc>
        <w:tc>
          <w:tcPr>
            <w:tcW w:w="2505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  <w:b/>
              </w:rPr>
            </w:pPr>
            <w:r w:rsidRPr="00A00359">
              <w:rPr>
                <w:rFonts w:ascii="Arial" w:hAnsi="Arial" w:cs="Arial"/>
                <w:b/>
              </w:rPr>
              <w:t>Forward Primer</w:t>
            </w:r>
          </w:p>
        </w:tc>
        <w:tc>
          <w:tcPr>
            <w:tcW w:w="2747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  <w:b/>
              </w:rPr>
            </w:pPr>
            <w:r w:rsidRPr="00A00359">
              <w:rPr>
                <w:rFonts w:ascii="Arial" w:hAnsi="Arial" w:cs="Arial"/>
                <w:b/>
              </w:rPr>
              <w:t>Reverse Primer</w:t>
            </w:r>
          </w:p>
        </w:tc>
        <w:tc>
          <w:tcPr>
            <w:tcW w:w="3023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  <w:b/>
              </w:rPr>
            </w:pPr>
            <w:r w:rsidRPr="00A00359">
              <w:rPr>
                <w:rFonts w:ascii="Arial" w:hAnsi="Arial" w:cs="Arial"/>
                <w:b/>
              </w:rPr>
              <w:t>Probe</w:t>
            </w:r>
          </w:p>
        </w:tc>
      </w:tr>
      <w:tr w:rsidR="00A8457C" w:rsidRPr="00A00359" w:rsidTr="00303B3A">
        <w:tc>
          <w:tcPr>
            <w:tcW w:w="1075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Pr="00A00359">
              <w:rPr>
                <w:rFonts w:ascii="Arial" w:hAnsi="Arial" w:cs="Arial"/>
              </w:rPr>
              <w:t>ilE</w:t>
            </w:r>
            <w:proofErr w:type="spellEnd"/>
          </w:p>
        </w:tc>
        <w:tc>
          <w:tcPr>
            <w:tcW w:w="2505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</w:rPr>
            </w:pPr>
            <w:r w:rsidRPr="00A00359">
              <w:rPr>
                <w:rFonts w:ascii="Arial" w:hAnsi="Arial" w:cs="Arial"/>
              </w:rPr>
              <w:t>GCATCTTTGCTGGGCTTTG</w:t>
            </w:r>
          </w:p>
        </w:tc>
        <w:tc>
          <w:tcPr>
            <w:tcW w:w="2747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</w:rPr>
            </w:pPr>
            <w:r w:rsidRPr="00A00359">
              <w:rPr>
                <w:rFonts w:ascii="Arial" w:hAnsi="Arial" w:cs="Arial"/>
              </w:rPr>
              <w:t>AGGAGCCTGTGCATTGTT</w:t>
            </w:r>
          </w:p>
        </w:tc>
        <w:tc>
          <w:tcPr>
            <w:tcW w:w="3023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</w:rPr>
            </w:pPr>
            <w:r w:rsidRPr="00A00359">
              <w:rPr>
                <w:rFonts w:ascii="Arial" w:hAnsi="Arial" w:cs="Arial"/>
              </w:rPr>
              <w:t>CCTGGGCCACTGAAACCGTGAATA</w:t>
            </w:r>
          </w:p>
        </w:tc>
      </w:tr>
      <w:tr w:rsidR="00A8457C" w:rsidRPr="00A00359" w:rsidTr="00303B3A">
        <w:tc>
          <w:tcPr>
            <w:tcW w:w="1075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Pr="00A00359">
              <w:rPr>
                <w:rFonts w:ascii="Arial" w:hAnsi="Arial" w:cs="Arial"/>
              </w:rPr>
              <w:t>ilRS</w:t>
            </w:r>
            <w:proofErr w:type="spellEnd"/>
          </w:p>
        </w:tc>
        <w:tc>
          <w:tcPr>
            <w:tcW w:w="2505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</w:rPr>
            </w:pPr>
            <w:r w:rsidRPr="00A00359">
              <w:rPr>
                <w:rFonts w:ascii="Arial" w:hAnsi="Arial" w:cs="Arial"/>
              </w:rPr>
              <w:t>AGTCCTTTGACCCTGTGTTC</w:t>
            </w:r>
          </w:p>
        </w:tc>
        <w:tc>
          <w:tcPr>
            <w:tcW w:w="2747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</w:rPr>
            </w:pPr>
            <w:r w:rsidRPr="00A00359">
              <w:rPr>
                <w:rFonts w:ascii="Arial" w:hAnsi="Arial" w:cs="Arial"/>
              </w:rPr>
              <w:t>CTGATGTAAACGGCTGGGATA</w:t>
            </w:r>
          </w:p>
        </w:tc>
        <w:tc>
          <w:tcPr>
            <w:tcW w:w="3023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</w:rPr>
            </w:pPr>
            <w:r w:rsidRPr="00A00359">
              <w:rPr>
                <w:rFonts w:ascii="Arial" w:hAnsi="Arial" w:cs="Arial"/>
              </w:rPr>
              <w:t>CCAAGGGCCGTCAGCAGTAATACC</w:t>
            </w:r>
          </w:p>
        </w:tc>
      </w:tr>
      <w:tr w:rsidR="00A8457C" w:rsidRPr="00A00359" w:rsidTr="00303B3A">
        <w:tc>
          <w:tcPr>
            <w:tcW w:w="1075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Pr="00A00359">
              <w:rPr>
                <w:rFonts w:ascii="Arial" w:hAnsi="Arial" w:cs="Arial"/>
              </w:rPr>
              <w:t>ilP</w:t>
            </w:r>
            <w:proofErr w:type="spellEnd"/>
          </w:p>
        </w:tc>
        <w:tc>
          <w:tcPr>
            <w:tcW w:w="2505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</w:rPr>
            </w:pPr>
            <w:r w:rsidRPr="00A00359">
              <w:rPr>
                <w:rFonts w:ascii="Arial" w:hAnsi="Arial" w:cs="Arial"/>
              </w:rPr>
              <w:t>GTCAACGGGTTGTTATTGGTAATG</w:t>
            </w:r>
          </w:p>
        </w:tc>
        <w:tc>
          <w:tcPr>
            <w:tcW w:w="2747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</w:rPr>
            </w:pPr>
            <w:r w:rsidRPr="00A00359">
              <w:rPr>
                <w:rFonts w:ascii="Arial" w:hAnsi="Arial" w:cs="Arial"/>
              </w:rPr>
              <w:t>CATAGATAACGGTAGCGCCTTC</w:t>
            </w:r>
          </w:p>
        </w:tc>
        <w:tc>
          <w:tcPr>
            <w:tcW w:w="3023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</w:rPr>
            </w:pPr>
            <w:r w:rsidRPr="00A00359">
              <w:rPr>
                <w:rFonts w:ascii="Arial" w:hAnsi="Arial" w:cs="Arial"/>
              </w:rPr>
              <w:t>CGTTGCGGATACGTTGCGGATG</w:t>
            </w:r>
          </w:p>
        </w:tc>
      </w:tr>
      <w:tr w:rsidR="00A8457C" w:rsidRPr="00A00359" w:rsidTr="00303B3A">
        <w:tc>
          <w:tcPr>
            <w:tcW w:w="1075" w:type="dxa"/>
          </w:tcPr>
          <w:p w:rsidR="00A8457C" w:rsidRPr="00392323" w:rsidRDefault="00A8457C" w:rsidP="00303B3A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392323">
              <w:rPr>
                <w:rFonts w:ascii="Arial" w:hAnsi="Arial" w:cs="Arial"/>
              </w:rPr>
              <w:t>vanA</w:t>
            </w:r>
            <w:proofErr w:type="spellEnd"/>
            <w:r>
              <w:rPr>
                <w:rFonts w:ascii="Arial" w:hAnsi="Arial" w:cs="Arial"/>
                <w:vertAlign w:val="superscript"/>
              </w:rPr>
              <w:t>[</w:t>
            </w:r>
            <w:r w:rsidRPr="00392323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  <w:vertAlign w:val="superscript"/>
              </w:rPr>
              <w:t>]</w:t>
            </w:r>
          </w:p>
        </w:tc>
        <w:tc>
          <w:tcPr>
            <w:tcW w:w="2505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GAATCGGCAAGACAATATGA</w:t>
            </w:r>
          </w:p>
        </w:tc>
        <w:tc>
          <w:tcPr>
            <w:tcW w:w="2747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GGCACTGTTTCCCAATAC</w:t>
            </w:r>
          </w:p>
        </w:tc>
        <w:tc>
          <w:tcPr>
            <w:tcW w:w="3023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AATTGAGCAGGCTGTTTCGGGCTG</w:t>
            </w:r>
          </w:p>
        </w:tc>
      </w:tr>
      <w:tr w:rsidR="00A8457C" w:rsidRPr="00A00359" w:rsidTr="00303B3A">
        <w:tc>
          <w:tcPr>
            <w:tcW w:w="1075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tetK</w:t>
            </w:r>
            <w:proofErr w:type="spellEnd"/>
          </w:p>
        </w:tc>
        <w:tc>
          <w:tcPr>
            <w:tcW w:w="2505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TCTAGCTACAACCACCATAA</w:t>
            </w:r>
          </w:p>
        </w:tc>
        <w:tc>
          <w:tcPr>
            <w:tcW w:w="2747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GCTGTCTTGGTTCATTGAT</w:t>
            </w:r>
          </w:p>
        </w:tc>
        <w:tc>
          <w:tcPr>
            <w:tcW w:w="3023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AGTGAAGGGAATGCAGCAGATCCT</w:t>
            </w:r>
          </w:p>
        </w:tc>
      </w:tr>
      <w:tr w:rsidR="00A8457C" w:rsidRPr="00A00359" w:rsidTr="00303B3A">
        <w:tc>
          <w:tcPr>
            <w:tcW w:w="1075" w:type="dxa"/>
          </w:tcPr>
          <w:p w:rsidR="00A8457C" w:rsidRPr="00392323" w:rsidRDefault="00A8457C" w:rsidP="00303B3A">
            <w:pPr>
              <w:spacing w:line="480" w:lineRule="auto"/>
              <w:rPr>
                <w:rFonts w:ascii="Arial" w:hAnsi="Arial" w:cs="Arial"/>
                <w:vertAlign w:val="superscript"/>
              </w:rPr>
            </w:pPr>
            <w:proofErr w:type="spellStart"/>
            <w:r w:rsidRPr="00392323">
              <w:rPr>
                <w:rFonts w:ascii="Arial" w:hAnsi="Arial" w:cs="Arial"/>
              </w:rPr>
              <w:t>mecA</w:t>
            </w:r>
            <w:proofErr w:type="spellEnd"/>
            <w:r>
              <w:rPr>
                <w:rFonts w:ascii="Arial" w:hAnsi="Arial" w:cs="Arial"/>
                <w:vertAlign w:val="superscript"/>
              </w:rPr>
              <w:t>[</w:t>
            </w:r>
            <w:r w:rsidRPr="00392323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>]</w:t>
            </w:r>
          </w:p>
        </w:tc>
        <w:tc>
          <w:tcPr>
            <w:tcW w:w="2505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GGTATGTGGAAGTTAGATTGG</w:t>
            </w:r>
          </w:p>
        </w:tc>
        <w:tc>
          <w:tcPr>
            <w:tcW w:w="2747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TCATATGCTGTTCCTGTATTG</w:t>
            </w:r>
          </w:p>
        </w:tc>
        <w:tc>
          <w:tcPr>
            <w:tcW w:w="3023" w:type="dxa"/>
          </w:tcPr>
          <w:p w:rsidR="00A8457C" w:rsidRPr="00A00359" w:rsidRDefault="00A8457C" w:rsidP="00303B3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TCCAGGAATGCAGAAAGACCAAAGCA</w:t>
            </w:r>
          </w:p>
        </w:tc>
      </w:tr>
    </w:tbl>
    <w:p w:rsidR="00A8457C" w:rsidRPr="006C7CC4" w:rsidRDefault="00A8457C" w:rsidP="00A8457C">
      <w:pPr>
        <w:spacing w:line="480" w:lineRule="auto"/>
        <w:rPr>
          <w:rFonts w:ascii="Arial" w:hAnsi="Arial" w:cs="Arial"/>
        </w:rPr>
      </w:pPr>
      <w:r w:rsidRPr="006C7CC4">
        <w:rPr>
          <w:rFonts w:ascii="Arial" w:hAnsi="Arial" w:cs="Arial"/>
        </w:rPr>
        <w:t>Note:</w:t>
      </w:r>
      <w:r>
        <w:rPr>
          <w:rFonts w:ascii="Arial" w:hAnsi="Arial" w:cs="Arial"/>
        </w:rPr>
        <w:t xml:space="preserve"> All sequences are in 5’ to 3’ orientation. The </w:t>
      </w:r>
      <w:proofErr w:type="spellStart"/>
      <w:r>
        <w:rPr>
          <w:rFonts w:ascii="Arial" w:hAnsi="Arial" w:cs="Arial"/>
        </w:rPr>
        <w:t>silE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silRS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silP</w:t>
      </w:r>
      <w:proofErr w:type="spellEnd"/>
      <w:r>
        <w:rPr>
          <w:rFonts w:ascii="Arial" w:hAnsi="Arial" w:cs="Arial"/>
        </w:rPr>
        <w:t xml:space="preserve">, and </w:t>
      </w:r>
      <w:proofErr w:type="spellStart"/>
      <w:r>
        <w:rPr>
          <w:rFonts w:ascii="Arial" w:hAnsi="Arial" w:cs="Arial"/>
        </w:rPr>
        <w:t>tetK</w:t>
      </w:r>
      <w:proofErr w:type="spellEnd"/>
      <w:r>
        <w:rPr>
          <w:rFonts w:ascii="Arial" w:hAnsi="Arial" w:cs="Arial"/>
        </w:rPr>
        <w:t xml:space="preserve"> primers and probes were designed using sequences uploaded to </w:t>
      </w:r>
      <w:proofErr w:type="spellStart"/>
      <w:r>
        <w:rPr>
          <w:rFonts w:ascii="Arial" w:hAnsi="Arial" w:cs="Arial"/>
        </w:rPr>
        <w:t>GenBank</w:t>
      </w:r>
      <w:proofErr w:type="spellEnd"/>
      <w:r>
        <w:rPr>
          <w:rFonts w:ascii="Arial" w:hAnsi="Arial" w:cs="Arial"/>
        </w:rPr>
        <w:t xml:space="preserve">. References for the </w:t>
      </w:r>
      <w:proofErr w:type="spellStart"/>
      <w:r>
        <w:rPr>
          <w:rFonts w:ascii="Arial" w:hAnsi="Arial" w:cs="Arial"/>
        </w:rPr>
        <w:t>vanA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mecA</w:t>
      </w:r>
      <w:proofErr w:type="spellEnd"/>
      <w:r>
        <w:rPr>
          <w:rFonts w:ascii="Arial" w:hAnsi="Arial" w:cs="Arial"/>
        </w:rPr>
        <w:t xml:space="preserve"> primers and probes are shown below. </w:t>
      </w:r>
    </w:p>
    <w:p w:rsidR="00A8457C" w:rsidRDefault="00A8457C" w:rsidP="00A8457C">
      <w:pPr>
        <w:spacing w:line="480" w:lineRule="auto"/>
        <w:rPr>
          <w:rFonts w:ascii="Arial" w:hAnsi="Arial" w:cs="Arial"/>
          <w:b/>
        </w:rPr>
      </w:pPr>
    </w:p>
    <w:p w:rsidR="00A8457C" w:rsidRDefault="00A8457C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8457C" w:rsidRPr="00A8457C" w:rsidRDefault="00A8457C" w:rsidP="00A8457C">
      <w:pPr>
        <w:spacing w:line="480" w:lineRule="auto"/>
        <w:rPr>
          <w:rFonts w:ascii="Arial" w:hAnsi="Arial" w:cs="Arial"/>
          <w:b/>
        </w:rPr>
      </w:pPr>
      <w:bookmarkStart w:id="0" w:name="_GoBack"/>
      <w:bookmarkEnd w:id="0"/>
      <w:r w:rsidRPr="00A8457C">
        <w:rPr>
          <w:rFonts w:ascii="Arial" w:hAnsi="Arial" w:cs="Arial"/>
          <w:b/>
        </w:rPr>
        <w:lastRenderedPageBreak/>
        <w:t>References for primers and probes</w:t>
      </w:r>
    </w:p>
    <w:p w:rsidR="00A8457C" w:rsidRPr="00A8457C" w:rsidRDefault="00A8457C" w:rsidP="00A8457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A8457C">
        <w:rPr>
          <w:rFonts w:ascii="Arial" w:hAnsi="Arial" w:cs="Arial"/>
        </w:rPr>
        <w:t xml:space="preserve">Schwartz, T, </w:t>
      </w:r>
      <w:proofErr w:type="spellStart"/>
      <w:r w:rsidRPr="00A8457C">
        <w:rPr>
          <w:rFonts w:ascii="Arial" w:hAnsi="Arial" w:cs="Arial"/>
        </w:rPr>
        <w:t>Kohnen</w:t>
      </w:r>
      <w:proofErr w:type="spellEnd"/>
      <w:r w:rsidRPr="00A8457C">
        <w:rPr>
          <w:rFonts w:ascii="Arial" w:hAnsi="Arial" w:cs="Arial"/>
        </w:rPr>
        <w:t xml:space="preserve">, W, Jansen, B, </w:t>
      </w:r>
      <w:proofErr w:type="spellStart"/>
      <w:r w:rsidRPr="00A8457C">
        <w:rPr>
          <w:rFonts w:ascii="Arial" w:hAnsi="Arial" w:cs="Arial"/>
        </w:rPr>
        <w:t>Obst</w:t>
      </w:r>
      <w:proofErr w:type="spellEnd"/>
      <w:r w:rsidRPr="00A8457C">
        <w:rPr>
          <w:rFonts w:ascii="Arial" w:hAnsi="Arial" w:cs="Arial"/>
        </w:rPr>
        <w:t xml:space="preserve">, U: Detection of antibiotic-resistant bacteria and their resistance genes in wastewater, surface water, and drinking water biofilms. </w:t>
      </w:r>
      <w:r w:rsidRPr="00A8457C">
        <w:rPr>
          <w:rFonts w:ascii="Arial" w:hAnsi="Arial" w:cs="Arial"/>
          <w:i/>
        </w:rPr>
        <w:t xml:space="preserve">FEMS </w:t>
      </w:r>
      <w:proofErr w:type="spellStart"/>
      <w:r w:rsidRPr="00A8457C">
        <w:rPr>
          <w:rFonts w:ascii="Arial" w:hAnsi="Arial" w:cs="Arial"/>
          <w:i/>
        </w:rPr>
        <w:t>Microbiol</w:t>
      </w:r>
      <w:proofErr w:type="spellEnd"/>
      <w:r w:rsidRPr="00A8457C">
        <w:rPr>
          <w:rFonts w:ascii="Arial" w:hAnsi="Arial" w:cs="Arial"/>
          <w:i/>
        </w:rPr>
        <w:t xml:space="preserve"> </w:t>
      </w:r>
      <w:proofErr w:type="spellStart"/>
      <w:r w:rsidRPr="00A8457C">
        <w:rPr>
          <w:rFonts w:ascii="Arial" w:hAnsi="Arial" w:cs="Arial"/>
          <w:i/>
        </w:rPr>
        <w:t>Ecol</w:t>
      </w:r>
      <w:proofErr w:type="spellEnd"/>
      <w:r w:rsidRPr="00A8457C">
        <w:rPr>
          <w:rFonts w:ascii="Arial" w:hAnsi="Arial" w:cs="Arial"/>
          <w:i/>
        </w:rPr>
        <w:t xml:space="preserve"> </w:t>
      </w:r>
      <w:r w:rsidRPr="00A8457C">
        <w:rPr>
          <w:rFonts w:ascii="Arial" w:hAnsi="Arial" w:cs="Arial"/>
        </w:rPr>
        <w:t>2003; 43(3): 325-35.</w:t>
      </w:r>
    </w:p>
    <w:p w:rsidR="00A8457C" w:rsidRPr="00A8457C" w:rsidRDefault="00A8457C" w:rsidP="00A8457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A8457C">
        <w:rPr>
          <w:rFonts w:ascii="Arial" w:hAnsi="Arial" w:cs="Arial"/>
        </w:rPr>
        <w:t xml:space="preserve"> Murakami, K, </w:t>
      </w:r>
      <w:proofErr w:type="spellStart"/>
      <w:r w:rsidRPr="00A8457C">
        <w:rPr>
          <w:rFonts w:ascii="Arial" w:hAnsi="Arial" w:cs="Arial"/>
        </w:rPr>
        <w:t>Minamide</w:t>
      </w:r>
      <w:proofErr w:type="spellEnd"/>
      <w:r w:rsidRPr="00A8457C">
        <w:rPr>
          <w:rFonts w:ascii="Arial" w:hAnsi="Arial" w:cs="Arial"/>
        </w:rPr>
        <w:t xml:space="preserve">, W, Wada, K, Nakamura, E, </w:t>
      </w:r>
      <w:proofErr w:type="spellStart"/>
      <w:r w:rsidRPr="00A8457C">
        <w:rPr>
          <w:rFonts w:ascii="Arial" w:hAnsi="Arial" w:cs="Arial"/>
        </w:rPr>
        <w:t>Taraoka</w:t>
      </w:r>
      <w:proofErr w:type="spellEnd"/>
      <w:r w:rsidRPr="00A8457C">
        <w:rPr>
          <w:rFonts w:ascii="Arial" w:hAnsi="Arial" w:cs="Arial"/>
        </w:rPr>
        <w:t xml:space="preserve">, H, </w:t>
      </w:r>
      <w:proofErr w:type="spellStart"/>
      <w:r w:rsidRPr="00A8457C">
        <w:rPr>
          <w:rFonts w:ascii="Arial" w:hAnsi="Arial" w:cs="Arial"/>
        </w:rPr>
        <w:t>Wanatabe</w:t>
      </w:r>
      <w:proofErr w:type="spellEnd"/>
      <w:r w:rsidRPr="00A8457C">
        <w:rPr>
          <w:rFonts w:ascii="Arial" w:hAnsi="Arial" w:cs="Arial"/>
        </w:rPr>
        <w:t xml:space="preserve">, S: Identification of methicillin-resistant strains of staphylococci by polymerase chain reaction. </w:t>
      </w:r>
      <w:r w:rsidRPr="00A8457C">
        <w:rPr>
          <w:rFonts w:ascii="Arial" w:hAnsi="Arial" w:cs="Arial"/>
          <w:i/>
        </w:rPr>
        <w:t xml:space="preserve">J </w:t>
      </w:r>
      <w:proofErr w:type="spellStart"/>
      <w:r w:rsidRPr="00A8457C">
        <w:rPr>
          <w:rFonts w:ascii="Arial" w:hAnsi="Arial" w:cs="Arial"/>
          <w:i/>
        </w:rPr>
        <w:t>Clin</w:t>
      </w:r>
      <w:proofErr w:type="spellEnd"/>
      <w:r w:rsidRPr="00A8457C">
        <w:rPr>
          <w:rFonts w:ascii="Arial" w:hAnsi="Arial" w:cs="Arial"/>
          <w:i/>
        </w:rPr>
        <w:t xml:space="preserve"> </w:t>
      </w:r>
      <w:proofErr w:type="spellStart"/>
      <w:r w:rsidRPr="00A8457C">
        <w:rPr>
          <w:rFonts w:ascii="Arial" w:hAnsi="Arial" w:cs="Arial"/>
          <w:i/>
        </w:rPr>
        <w:t>Microbiol</w:t>
      </w:r>
      <w:proofErr w:type="spellEnd"/>
      <w:r w:rsidRPr="00A8457C">
        <w:rPr>
          <w:rFonts w:ascii="Arial" w:hAnsi="Arial" w:cs="Arial"/>
        </w:rPr>
        <w:t xml:space="preserve"> 1991; 29(10): 2240-4. </w:t>
      </w:r>
    </w:p>
    <w:p w:rsidR="00DA2C90" w:rsidRDefault="00A8457C"/>
    <w:sectPr w:rsidR="00DA2C90" w:rsidSect="00D5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14416"/>
    <w:multiLevelType w:val="hybridMultilevel"/>
    <w:tmpl w:val="BB7C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7C"/>
    <w:rsid w:val="00A66555"/>
    <w:rsid w:val="00A8457C"/>
    <w:rsid w:val="00D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8731F-F916-49F5-AF9B-07464247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7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5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Gunsch, Ph.D.</dc:creator>
  <cp:keywords/>
  <dc:description/>
  <cp:lastModifiedBy>Claudia Gunsch, Ph.D.</cp:lastModifiedBy>
  <cp:revision>1</cp:revision>
  <dcterms:created xsi:type="dcterms:W3CDTF">2019-07-31T17:50:00Z</dcterms:created>
  <dcterms:modified xsi:type="dcterms:W3CDTF">2019-07-31T17:51:00Z</dcterms:modified>
</cp:coreProperties>
</file>