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86" w:rsidRPr="00AE146F" w:rsidRDefault="00D14B86" w:rsidP="00D14B86">
      <w:pPr>
        <w:shd w:val="clear" w:color="auto" w:fill="FFFFFF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rtl/>
          <w:lang w:eastAsia="he-IL"/>
        </w:rPr>
      </w:pPr>
      <w:bookmarkStart w:id="0" w:name="_Hlk535074588"/>
      <w:r w:rsidRPr="00AE146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Appendix </w:t>
      </w:r>
    </w:p>
    <w:p w:rsidR="00D14B86" w:rsidRPr="00AE146F" w:rsidRDefault="00D14B86" w:rsidP="00D14B86">
      <w:pPr>
        <w:tabs>
          <w:tab w:val="left" w:pos="4919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AE1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Multidrug-resistant organisms (MDRO):</w:t>
      </w:r>
      <w:r w:rsidRPr="00AE1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Carbapenem Resistant Enterobacteriaceae </w:t>
      </w:r>
      <w:proofErr w:type="spellStart"/>
      <w:r w:rsidRPr="00AE146F">
        <w:rPr>
          <w:rFonts w:ascii="Times New Roman" w:hAnsi="Times New Roman" w:cs="Times New Roman"/>
          <w:color w:val="000000" w:themeColor="text1"/>
          <w:sz w:val="24"/>
          <w:szCs w:val="24"/>
        </w:rPr>
        <w:t>Carbapenemaz</w:t>
      </w:r>
      <w:proofErr w:type="spellEnd"/>
      <w:r w:rsidRPr="00AE1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Producer Enterobacteriaceae (yes/no) 2. Vancomycin Resistant </w:t>
      </w:r>
      <w:proofErr w:type="spellStart"/>
      <w:r w:rsidRPr="00AE146F">
        <w:rPr>
          <w:rFonts w:ascii="Times New Roman" w:hAnsi="Times New Roman" w:cs="Times New Roman"/>
          <w:color w:val="000000" w:themeColor="text1"/>
          <w:sz w:val="24"/>
          <w:szCs w:val="24"/>
        </w:rPr>
        <w:t>Enterococccus</w:t>
      </w:r>
      <w:proofErr w:type="spellEnd"/>
      <w:r w:rsidRPr="00AE1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Methicillin Resistant Staph. Aureus 4. Multi Drug Resistant Acinetobacter/ Pseudomonas 5. Extended-spectrum beta-lactamase bacteria 6. Clostridium difficile.</w:t>
      </w:r>
    </w:p>
    <w:p w:rsidR="00D14B86" w:rsidRPr="00AE146F" w:rsidRDefault="00D14B86" w:rsidP="00D14B86">
      <w:pPr>
        <w:shd w:val="clear" w:color="auto" w:fill="FFFFFF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1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Knowledge: 1. According to the Terminally Ill Patients Law, physician can withhold antibiotics in the last two weeks of EOL patients; 2. Whether antibiotics use at the EOL increases ARB infections </w:t>
      </w:r>
    </w:p>
    <w:p w:rsidR="00D14B86" w:rsidRPr="00AE146F" w:rsidRDefault="00D14B86" w:rsidP="00D14B86">
      <w:pPr>
        <w:shd w:val="clear" w:color="auto" w:fill="FFFFFF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1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Maslach Burnout Inventory (MBI) questionnaire</w:t>
      </w:r>
      <w:r w:rsidRPr="00AE146F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Pr="00AE14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for the present study we used two out of its three dimensions: Emotional exhaustion (EE) and Depersonalization. In the standard scoring for physicians, respondents with ≥27 on the EE, and ≥10 on the Depersonalization subscales are considered to have a high degree of burnout. All items are scored using a 7-level frequency scale from "never" to "daily. The Cronbach alpha score for this section was EE- 0.82 Depersonalization - 0.90</w:t>
      </w:r>
    </w:p>
    <w:p w:rsidR="00544435" w:rsidRDefault="00D14B86">
      <w:bookmarkStart w:id="1" w:name="_GoBack"/>
      <w:bookmarkEnd w:id="0"/>
      <w:bookmarkEnd w:id="1"/>
    </w:p>
    <w:sectPr w:rsidR="0054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6"/>
    <w:rsid w:val="000B4C55"/>
    <w:rsid w:val="00161ACC"/>
    <w:rsid w:val="004C5E1D"/>
    <w:rsid w:val="00507E20"/>
    <w:rsid w:val="00525E62"/>
    <w:rsid w:val="00584106"/>
    <w:rsid w:val="006A23B9"/>
    <w:rsid w:val="008D2A65"/>
    <w:rsid w:val="00C85C03"/>
    <w:rsid w:val="00D14B86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C2905-3685-4106-93EE-E823E958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86"/>
    <w:pPr>
      <w:spacing w:line="48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nm-edits</dc:creator>
  <cp:keywords/>
  <dc:description/>
  <cp:lastModifiedBy>nm-edits</cp:lastModifiedBy>
  <cp:revision>1</cp:revision>
  <dcterms:created xsi:type="dcterms:W3CDTF">2019-07-10T18:07:00Z</dcterms:created>
  <dcterms:modified xsi:type="dcterms:W3CDTF">2019-07-10T18:07:00Z</dcterms:modified>
</cp:coreProperties>
</file>