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F1F28" w14:textId="77777777" w:rsidR="00664A97" w:rsidRDefault="00664A97" w:rsidP="00BF4EF8">
      <w:pPr>
        <w:spacing w:after="0" w:line="480" w:lineRule="auto"/>
        <w:jc w:val="center"/>
        <w:rPr>
          <w:rFonts w:ascii="Times New Roman" w:hAnsi="Times New Roman" w:cs="Times New Roman"/>
          <w:sz w:val="24"/>
          <w:szCs w:val="24"/>
        </w:rPr>
      </w:pPr>
    </w:p>
    <w:p w14:paraId="5E3B2F4D" w14:textId="77777777" w:rsidR="00664A97" w:rsidRDefault="00664A97" w:rsidP="00BF4EF8">
      <w:pPr>
        <w:spacing w:after="0" w:line="480" w:lineRule="auto"/>
        <w:jc w:val="center"/>
        <w:rPr>
          <w:rFonts w:ascii="Times New Roman" w:hAnsi="Times New Roman" w:cs="Times New Roman"/>
          <w:sz w:val="24"/>
          <w:szCs w:val="24"/>
        </w:rPr>
      </w:pPr>
    </w:p>
    <w:p w14:paraId="1F927AC9" w14:textId="77777777" w:rsidR="00664A97" w:rsidRDefault="00664A97" w:rsidP="00BF4EF8">
      <w:pPr>
        <w:spacing w:after="0" w:line="480" w:lineRule="auto"/>
        <w:jc w:val="center"/>
        <w:rPr>
          <w:rFonts w:ascii="Times New Roman" w:hAnsi="Times New Roman" w:cs="Times New Roman"/>
          <w:sz w:val="24"/>
          <w:szCs w:val="24"/>
        </w:rPr>
      </w:pPr>
    </w:p>
    <w:p w14:paraId="139FEC58" w14:textId="77777777" w:rsidR="00544A42" w:rsidRPr="00E24E9F" w:rsidRDefault="00A814D4" w:rsidP="00BF4EF8">
      <w:pPr>
        <w:spacing w:after="0" w:line="480" w:lineRule="auto"/>
        <w:jc w:val="center"/>
        <w:rPr>
          <w:rFonts w:ascii="Times New Roman" w:hAnsi="Times New Roman" w:cs="Times New Roman"/>
          <w:sz w:val="24"/>
          <w:szCs w:val="24"/>
        </w:rPr>
      </w:pPr>
      <w:r w:rsidRPr="00E24E9F">
        <w:rPr>
          <w:rFonts w:ascii="Times New Roman" w:hAnsi="Times New Roman" w:cs="Times New Roman"/>
          <w:sz w:val="24"/>
          <w:szCs w:val="24"/>
        </w:rPr>
        <w:t>Impact of an Automated Antibiotic Time-Out Alert on the De-Escalation of Broad-Spectrum Antibiotics at a Large Community Teaching Hospital</w:t>
      </w:r>
    </w:p>
    <w:p w14:paraId="793A9686" w14:textId="77777777" w:rsidR="00A814D4" w:rsidRPr="00E24E9F" w:rsidRDefault="00A814D4" w:rsidP="00BF4EF8">
      <w:pPr>
        <w:spacing w:after="0" w:line="480" w:lineRule="auto"/>
        <w:jc w:val="center"/>
        <w:rPr>
          <w:rFonts w:ascii="Times New Roman" w:hAnsi="Times New Roman" w:cs="Times New Roman"/>
          <w:sz w:val="24"/>
          <w:szCs w:val="24"/>
        </w:rPr>
      </w:pPr>
    </w:p>
    <w:p w14:paraId="57AD9979" w14:textId="77777777" w:rsidR="00A814D4" w:rsidRDefault="00A814D4" w:rsidP="00BF4EF8">
      <w:pPr>
        <w:spacing w:after="0" w:line="480" w:lineRule="auto"/>
        <w:jc w:val="center"/>
        <w:rPr>
          <w:rFonts w:ascii="Times New Roman" w:hAnsi="Times New Roman" w:cs="Times New Roman"/>
          <w:sz w:val="24"/>
          <w:szCs w:val="24"/>
        </w:rPr>
      </w:pPr>
    </w:p>
    <w:p w14:paraId="517D3461" w14:textId="77777777" w:rsidR="00664A97" w:rsidRDefault="00664A97" w:rsidP="00BF4EF8">
      <w:pPr>
        <w:spacing w:after="0" w:line="480" w:lineRule="auto"/>
        <w:jc w:val="center"/>
        <w:rPr>
          <w:rFonts w:ascii="Times New Roman" w:hAnsi="Times New Roman" w:cs="Times New Roman"/>
          <w:sz w:val="24"/>
          <w:szCs w:val="24"/>
        </w:rPr>
      </w:pPr>
    </w:p>
    <w:p w14:paraId="4B4F5264" w14:textId="77777777" w:rsidR="00664A97" w:rsidRDefault="00664A97" w:rsidP="00BF4EF8">
      <w:pPr>
        <w:spacing w:after="0" w:line="480" w:lineRule="auto"/>
        <w:jc w:val="center"/>
        <w:rPr>
          <w:rFonts w:ascii="Times New Roman" w:hAnsi="Times New Roman" w:cs="Times New Roman"/>
          <w:sz w:val="24"/>
          <w:szCs w:val="24"/>
        </w:rPr>
      </w:pPr>
    </w:p>
    <w:p w14:paraId="3D18A869" w14:textId="77777777" w:rsidR="00664A97" w:rsidRPr="00E24E9F" w:rsidRDefault="00664A97" w:rsidP="00BF4EF8">
      <w:pPr>
        <w:spacing w:after="0" w:line="480" w:lineRule="auto"/>
        <w:jc w:val="center"/>
        <w:rPr>
          <w:rFonts w:ascii="Times New Roman" w:hAnsi="Times New Roman" w:cs="Times New Roman"/>
          <w:sz w:val="24"/>
          <w:szCs w:val="24"/>
        </w:rPr>
      </w:pPr>
    </w:p>
    <w:p w14:paraId="39E5AE78" w14:textId="77777777" w:rsidR="00A814D4" w:rsidRPr="00E24E9F" w:rsidRDefault="00A814D4" w:rsidP="00BF4EF8">
      <w:pPr>
        <w:spacing w:after="0" w:line="480" w:lineRule="auto"/>
        <w:jc w:val="center"/>
        <w:rPr>
          <w:rFonts w:ascii="Times New Roman" w:hAnsi="Times New Roman" w:cs="Times New Roman"/>
          <w:sz w:val="24"/>
          <w:szCs w:val="24"/>
        </w:rPr>
      </w:pPr>
      <w:r w:rsidRPr="00E24E9F">
        <w:rPr>
          <w:rFonts w:ascii="Times New Roman" w:hAnsi="Times New Roman" w:cs="Times New Roman"/>
          <w:sz w:val="24"/>
          <w:szCs w:val="24"/>
        </w:rPr>
        <w:t>Supplementary Material</w:t>
      </w:r>
    </w:p>
    <w:p w14:paraId="3B630092" w14:textId="77777777" w:rsidR="00A814D4" w:rsidRPr="00E24E9F" w:rsidRDefault="00A814D4" w:rsidP="00BF4EF8">
      <w:pPr>
        <w:spacing w:after="0" w:line="480" w:lineRule="auto"/>
        <w:jc w:val="center"/>
        <w:rPr>
          <w:rFonts w:ascii="Times New Roman" w:hAnsi="Times New Roman" w:cs="Times New Roman"/>
          <w:sz w:val="24"/>
          <w:szCs w:val="24"/>
        </w:rPr>
      </w:pPr>
    </w:p>
    <w:p w14:paraId="6019A5BF" w14:textId="77777777" w:rsidR="00A814D4" w:rsidRPr="00E24E9F" w:rsidRDefault="00A814D4" w:rsidP="00BF4EF8">
      <w:pPr>
        <w:spacing w:after="0" w:line="480" w:lineRule="auto"/>
        <w:jc w:val="center"/>
        <w:rPr>
          <w:rFonts w:ascii="Times New Roman" w:hAnsi="Times New Roman" w:cs="Times New Roman"/>
          <w:sz w:val="24"/>
          <w:szCs w:val="24"/>
        </w:rPr>
      </w:pPr>
    </w:p>
    <w:p w14:paraId="52F87FE1" w14:textId="77777777" w:rsidR="00A814D4" w:rsidRPr="00E24E9F" w:rsidRDefault="00A814D4" w:rsidP="00BF4EF8">
      <w:pPr>
        <w:spacing w:after="0" w:line="480" w:lineRule="auto"/>
        <w:jc w:val="center"/>
        <w:rPr>
          <w:rFonts w:ascii="Times New Roman" w:hAnsi="Times New Roman" w:cs="Times New Roman"/>
          <w:sz w:val="24"/>
          <w:szCs w:val="24"/>
        </w:rPr>
      </w:pPr>
    </w:p>
    <w:p w14:paraId="224EBF5E" w14:textId="77777777" w:rsidR="00A814D4" w:rsidRPr="00E24E9F" w:rsidRDefault="00A814D4" w:rsidP="00BF4EF8">
      <w:pPr>
        <w:spacing w:after="0" w:line="480" w:lineRule="auto"/>
        <w:jc w:val="center"/>
        <w:rPr>
          <w:rFonts w:ascii="Times New Roman" w:hAnsi="Times New Roman" w:cs="Times New Roman"/>
          <w:sz w:val="24"/>
          <w:szCs w:val="24"/>
        </w:rPr>
      </w:pPr>
    </w:p>
    <w:p w14:paraId="421050D1" w14:textId="77777777" w:rsidR="00A814D4" w:rsidRPr="00E24E9F" w:rsidRDefault="00A814D4" w:rsidP="00BF4EF8">
      <w:pPr>
        <w:spacing w:after="0" w:line="480" w:lineRule="auto"/>
        <w:jc w:val="center"/>
        <w:rPr>
          <w:rFonts w:ascii="Times New Roman" w:hAnsi="Times New Roman" w:cs="Times New Roman"/>
          <w:sz w:val="24"/>
          <w:szCs w:val="24"/>
        </w:rPr>
      </w:pPr>
    </w:p>
    <w:p w14:paraId="06F92956" w14:textId="77777777" w:rsidR="00A814D4" w:rsidRPr="00E24E9F" w:rsidRDefault="00A814D4" w:rsidP="00BF4EF8">
      <w:pPr>
        <w:spacing w:after="0" w:line="480" w:lineRule="auto"/>
        <w:jc w:val="center"/>
        <w:rPr>
          <w:rFonts w:ascii="Times New Roman" w:hAnsi="Times New Roman" w:cs="Times New Roman"/>
          <w:sz w:val="24"/>
          <w:szCs w:val="24"/>
        </w:rPr>
      </w:pPr>
    </w:p>
    <w:p w14:paraId="1FB37FB1" w14:textId="77777777" w:rsidR="00A814D4" w:rsidRPr="00E24E9F" w:rsidRDefault="00A814D4" w:rsidP="00BF4EF8">
      <w:pPr>
        <w:spacing w:after="0" w:line="480" w:lineRule="auto"/>
        <w:jc w:val="center"/>
        <w:rPr>
          <w:rFonts w:ascii="Times New Roman" w:hAnsi="Times New Roman" w:cs="Times New Roman"/>
          <w:sz w:val="24"/>
          <w:szCs w:val="24"/>
        </w:rPr>
      </w:pPr>
    </w:p>
    <w:p w14:paraId="44366CA9" w14:textId="77777777" w:rsidR="00A814D4" w:rsidRPr="00E24E9F" w:rsidRDefault="00A814D4" w:rsidP="00BF4EF8">
      <w:pPr>
        <w:spacing w:after="0" w:line="480" w:lineRule="auto"/>
        <w:jc w:val="center"/>
        <w:rPr>
          <w:rFonts w:ascii="Times New Roman" w:hAnsi="Times New Roman" w:cs="Times New Roman"/>
          <w:sz w:val="24"/>
          <w:szCs w:val="24"/>
        </w:rPr>
      </w:pPr>
    </w:p>
    <w:p w14:paraId="76F3748B" w14:textId="77777777" w:rsidR="00A814D4" w:rsidRPr="00E24E9F" w:rsidRDefault="00A814D4" w:rsidP="00BF4EF8">
      <w:pPr>
        <w:spacing w:after="0" w:line="480" w:lineRule="auto"/>
        <w:jc w:val="center"/>
        <w:rPr>
          <w:rFonts w:ascii="Times New Roman" w:hAnsi="Times New Roman" w:cs="Times New Roman"/>
          <w:sz w:val="24"/>
          <w:szCs w:val="24"/>
        </w:rPr>
      </w:pPr>
    </w:p>
    <w:p w14:paraId="74CB00F0" w14:textId="77777777" w:rsidR="00A814D4" w:rsidRPr="00E24E9F" w:rsidRDefault="00A814D4" w:rsidP="00BF4EF8">
      <w:pPr>
        <w:spacing w:after="0" w:line="480" w:lineRule="auto"/>
        <w:jc w:val="center"/>
        <w:rPr>
          <w:rFonts w:ascii="Times New Roman" w:hAnsi="Times New Roman" w:cs="Times New Roman"/>
          <w:sz w:val="24"/>
          <w:szCs w:val="24"/>
        </w:rPr>
      </w:pPr>
    </w:p>
    <w:p w14:paraId="15DAAFE2" w14:textId="019A2508" w:rsidR="00D367B7" w:rsidRDefault="00664A97" w:rsidP="00BF4EF8">
      <w:pPr>
        <w:jc w:val="center"/>
        <w:rPr>
          <w:rFonts w:ascii="Times New Roman" w:hAnsi="Times New Roman" w:cs="Times New Roman"/>
          <w:b/>
          <w:sz w:val="24"/>
          <w:szCs w:val="24"/>
        </w:rPr>
      </w:pPr>
      <w:r>
        <w:rPr>
          <w:rFonts w:ascii="Times New Roman" w:hAnsi="Times New Roman" w:cs="Times New Roman"/>
          <w:b/>
          <w:sz w:val="24"/>
          <w:szCs w:val="24"/>
        </w:rPr>
        <w:br w:type="page"/>
      </w:r>
    </w:p>
    <w:p w14:paraId="1F7F568F" w14:textId="732871A1" w:rsidR="00D367B7" w:rsidRPr="00D367B7" w:rsidRDefault="00D367B7" w:rsidP="00BF4EF8">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0F2475F7" w14:textId="77777777" w:rsidR="00D367B7" w:rsidRDefault="00D367B7" w:rsidP="003B033A">
      <w:pPr>
        <w:rPr>
          <w:rFonts w:ascii="Times New Roman" w:hAnsi="Times New Roman" w:cs="Times New Roman"/>
          <w:sz w:val="24"/>
          <w:szCs w:val="24"/>
        </w:rPr>
      </w:pPr>
    </w:p>
    <w:p w14:paraId="74897F35" w14:textId="3ADDFD1D" w:rsidR="00D367B7" w:rsidRDefault="00D367B7" w:rsidP="003B033A">
      <w:pPr>
        <w:rPr>
          <w:rFonts w:ascii="Times New Roman" w:hAnsi="Times New Roman" w:cs="Times New Roman"/>
          <w:sz w:val="24"/>
          <w:szCs w:val="24"/>
        </w:rPr>
      </w:pPr>
      <w:r w:rsidRPr="00D367B7">
        <w:rPr>
          <w:rFonts w:ascii="Times New Roman" w:hAnsi="Times New Roman" w:cs="Times New Roman"/>
          <w:sz w:val="24"/>
          <w:szCs w:val="24"/>
        </w:rPr>
        <w:t>Automated Antibiotic Time-Out Alert</w:t>
      </w:r>
      <w:r>
        <w:rPr>
          <w:rFonts w:ascii="Times New Roman" w:hAnsi="Times New Roman" w:cs="Times New Roman"/>
          <w:sz w:val="24"/>
          <w:szCs w:val="24"/>
        </w:rPr>
        <w:t>…………………………………………………………</w:t>
      </w:r>
      <w:r w:rsidR="00744FDB">
        <w:rPr>
          <w:rFonts w:ascii="Times New Roman" w:hAnsi="Times New Roman" w:cs="Times New Roman"/>
          <w:sz w:val="24"/>
          <w:szCs w:val="24"/>
        </w:rPr>
        <w:t>.</w:t>
      </w:r>
      <w:r>
        <w:rPr>
          <w:rFonts w:ascii="Times New Roman" w:hAnsi="Times New Roman" w:cs="Times New Roman"/>
          <w:sz w:val="24"/>
          <w:szCs w:val="24"/>
        </w:rPr>
        <w:t>…</w:t>
      </w:r>
      <w:r w:rsidR="0005335E">
        <w:rPr>
          <w:rFonts w:ascii="Times New Roman" w:hAnsi="Times New Roman" w:cs="Times New Roman"/>
          <w:sz w:val="24"/>
          <w:szCs w:val="24"/>
        </w:rPr>
        <w:t>3</w:t>
      </w:r>
    </w:p>
    <w:p w14:paraId="719C2AD7" w14:textId="77777777" w:rsidR="00D367B7" w:rsidRPr="00D367B7" w:rsidRDefault="00D367B7" w:rsidP="003B033A">
      <w:pPr>
        <w:rPr>
          <w:rFonts w:ascii="Times New Roman" w:hAnsi="Times New Roman" w:cs="Times New Roman"/>
          <w:sz w:val="24"/>
          <w:szCs w:val="24"/>
        </w:rPr>
      </w:pPr>
    </w:p>
    <w:p w14:paraId="35A7CE2D" w14:textId="52BEE046" w:rsidR="0005335E" w:rsidRDefault="00D367B7" w:rsidP="003B033A">
      <w:pPr>
        <w:spacing w:after="0" w:line="480" w:lineRule="auto"/>
        <w:rPr>
          <w:rFonts w:ascii="Times New Roman" w:hAnsi="Times New Roman" w:cs="Times New Roman"/>
          <w:sz w:val="24"/>
          <w:szCs w:val="24"/>
        </w:rPr>
      </w:pPr>
      <w:r w:rsidRPr="00D367B7">
        <w:rPr>
          <w:rFonts w:ascii="Times New Roman" w:hAnsi="Times New Roman" w:cs="Times New Roman"/>
          <w:sz w:val="24"/>
          <w:szCs w:val="24"/>
        </w:rPr>
        <w:t>Mercy Hospital – St. Louis Antimicrobial Stewardship Program</w:t>
      </w:r>
      <w:r>
        <w:rPr>
          <w:rFonts w:ascii="Times New Roman" w:hAnsi="Times New Roman" w:cs="Times New Roman"/>
          <w:sz w:val="24"/>
          <w:szCs w:val="24"/>
        </w:rPr>
        <w:t>………………………………...</w:t>
      </w:r>
      <w:r w:rsidR="0005335E">
        <w:rPr>
          <w:rFonts w:ascii="Times New Roman" w:hAnsi="Times New Roman" w:cs="Times New Roman"/>
          <w:sz w:val="24"/>
          <w:szCs w:val="24"/>
        </w:rPr>
        <w:t>5</w:t>
      </w:r>
    </w:p>
    <w:p w14:paraId="312C7FC3" w14:textId="77777777" w:rsidR="00BF4EF8" w:rsidRDefault="00BF4EF8" w:rsidP="003B033A">
      <w:pPr>
        <w:spacing w:after="0" w:line="480" w:lineRule="auto"/>
        <w:rPr>
          <w:rFonts w:ascii="Times New Roman" w:hAnsi="Times New Roman" w:cs="Times New Roman"/>
          <w:sz w:val="24"/>
          <w:szCs w:val="24"/>
        </w:rPr>
      </w:pPr>
    </w:p>
    <w:p w14:paraId="132E1B02" w14:textId="3A4F2FD4" w:rsidR="00BF4EF8" w:rsidRDefault="00BF4EF8" w:rsidP="003B03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Supplementary </w:t>
      </w:r>
      <w:r w:rsidR="00C22C2F">
        <w:rPr>
          <w:rFonts w:ascii="Times New Roman" w:hAnsi="Times New Roman" w:cs="Times New Roman"/>
          <w:sz w:val="24"/>
          <w:szCs w:val="24"/>
        </w:rPr>
        <w:t>Figures and Tables</w:t>
      </w:r>
      <w:r>
        <w:rPr>
          <w:rFonts w:ascii="Times New Roman" w:hAnsi="Times New Roman" w:cs="Times New Roman"/>
          <w:sz w:val="24"/>
          <w:szCs w:val="24"/>
        </w:rPr>
        <w:t>………………………………………</w:t>
      </w:r>
      <w:r w:rsidR="003B033A">
        <w:rPr>
          <w:rFonts w:ascii="Times New Roman" w:hAnsi="Times New Roman" w:cs="Times New Roman"/>
          <w:sz w:val="24"/>
          <w:szCs w:val="24"/>
        </w:rPr>
        <w:t>..</w:t>
      </w:r>
      <w:r>
        <w:rPr>
          <w:rFonts w:ascii="Times New Roman" w:hAnsi="Times New Roman" w:cs="Times New Roman"/>
          <w:sz w:val="24"/>
          <w:szCs w:val="24"/>
        </w:rPr>
        <w:t>………………………6</w:t>
      </w:r>
    </w:p>
    <w:p w14:paraId="314DCEF7" w14:textId="77777777" w:rsidR="00C22C2F" w:rsidRDefault="00C22C2F" w:rsidP="003B033A">
      <w:pPr>
        <w:spacing w:after="0" w:line="480" w:lineRule="auto"/>
        <w:rPr>
          <w:rFonts w:ascii="Times New Roman" w:hAnsi="Times New Roman" w:cs="Times New Roman"/>
          <w:sz w:val="24"/>
          <w:szCs w:val="24"/>
        </w:rPr>
      </w:pPr>
    </w:p>
    <w:p w14:paraId="7FAEBFCF" w14:textId="63F2ECA1" w:rsidR="0005335E" w:rsidRPr="00D367B7" w:rsidRDefault="0005335E" w:rsidP="003B033A">
      <w:pPr>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sidR="003B033A">
        <w:rPr>
          <w:rFonts w:ascii="Times New Roman" w:hAnsi="Times New Roman" w:cs="Times New Roman"/>
          <w:sz w:val="24"/>
          <w:szCs w:val="24"/>
        </w:rPr>
        <w:t>…………………………………………………………………………………7</w:t>
      </w:r>
    </w:p>
    <w:p w14:paraId="4E2291CA" w14:textId="77777777" w:rsidR="00D367B7" w:rsidRPr="007B2814" w:rsidRDefault="00D367B7" w:rsidP="00BF4EF8">
      <w:pPr>
        <w:jc w:val="center"/>
        <w:rPr>
          <w:rFonts w:ascii="Times New Roman" w:hAnsi="Times New Roman" w:cs="Times New Roman"/>
          <w:b/>
          <w:sz w:val="24"/>
          <w:szCs w:val="24"/>
        </w:rPr>
      </w:pPr>
    </w:p>
    <w:p w14:paraId="118B52AA" w14:textId="77777777" w:rsidR="00D367B7" w:rsidRDefault="00D367B7" w:rsidP="00BF4EF8">
      <w:pPr>
        <w:jc w:val="center"/>
        <w:rPr>
          <w:rFonts w:ascii="Times New Roman" w:hAnsi="Times New Roman" w:cs="Times New Roman"/>
          <w:b/>
          <w:sz w:val="24"/>
          <w:szCs w:val="24"/>
        </w:rPr>
      </w:pPr>
    </w:p>
    <w:p w14:paraId="62BD9EBB" w14:textId="77777777" w:rsidR="00D367B7" w:rsidRDefault="00D367B7" w:rsidP="00BF4EF8">
      <w:pPr>
        <w:jc w:val="center"/>
        <w:rPr>
          <w:rFonts w:ascii="Times New Roman" w:hAnsi="Times New Roman" w:cs="Times New Roman"/>
          <w:b/>
          <w:sz w:val="24"/>
          <w:szCs w:val="24"/>
        </w:rPr>
      </w:pPr>
      <w:r>
        <w:rPr>
          <w:rFonts w:ascii="Times New Roman" w:hAnsi="Times New Roman" w:cs="Times New Roman"/>
          <w:b/>
          <w:sz w:val="24"/>
          <w:szCs w:val="24"/>
        </w:rPr>
        <w:br w:type="page"/>
      </w:r>
    </w:p>
    <w:p w14:paraId="19382AD6" w14:textId="6C17A90F" w:rsidR="00E24E9F" w:rsidRPr="007B2814" w:rsidRDefault="00E24E9F" w:rsidP="00BF4EF8">
      <w:pPr>
        <w:jc w:val="center"/>
        <w:rPr>
          <w:rFonts w:ascii="Times New Roman" w:hAnsi="Times New Roman" w:cs="Times New Roman"/>
          <w:b/>
          <w:sz w:val="24"/>
          <w:szCs w:val="24"/>
        </w:rPr>
      </w:pPr>
      <w:r w:rsidRPr="007B2814">
        <w:rPr>
          <w:rFonts w:ascii="Times New Roman" w:hAnsi="Times New Roman" w:cs="Times New Roman"/>
          <w:b/>
          <w:sz w:val="24"/>
          <w:szCs w:val="24"/>
        </w:rPr>
        <w:lastRenderedPageBreak/>
        <w:t>Automated Antibiotic Time-Out Alert</w:t>
      </w:r>
    </w:p>
    <w:p w14:paraId="14917467" w14:textId="2E9F30A8" w:rsidR="00FD67C6" w:rsidRDefault="00232B07" w:rsidP="003B033A">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January 2017, the Mercy Health System </w:t>
      </w:r>
      <w:r w:rsidR="00FD67C6">
        <w:rPr>
          <w:rFonts w:ascii="Times New Roman" w:hAnsi="Times New Roman" w:cs="Times New Roman"/>
          <w:sz w:val="24"/>
          <w:szCs w:val="24"/>
          <w:shd w:val="clear" w:color="auto" w:fill="FFFFFF"/>
        </w:rPr>
        <w:t>Antimicrobial Stewardship Program</w:t>
      </w:r>
      <w:r w:rsidR="0002565F">
        <w:rPr>
          <w:rFonts w:ascii="Times New Roman" w:hAnsi="Times New Roman" w:cs="Times New Roman"/>
          <w:sz w:val="24"/>
          <w:szCs w:val="24"/>
          <w:shd w:val="clear" w:color="auto" w:fill="FFFFFF"/>
        </w:rPr>
        <w:t xml:space="preserve"> instituted an Automated Antibiotic Time-Out Alert in </w:t>
      </w:r>
      <w:r w:rsidR="008D6DB4">
        <w:rPr>
          <w:rFonts w:ascii="Times New Roman" w:hAnsi="Times New Roman" w:cs="Times New Roman"/>
          <w:sz w:val="24"/>
          <w:szCs w:val="24"/>
          <w:shd w:val="clear" w:color="auto" w:fill="FFFFFF"/>
        </w:rPr>
        <w:t xml:space="preserve">its electronic medical </w:t>
      </w:r>
      <w:r w:rsidR="00F82F95">
        <w:rPr>
          <w:rFonts w:ascii="Times New Roman" w:hAnsi="Times New Roman" w:cs="Times New Roman"/>
          <w:sz w:val="24"/>
          <w:szCs w:val="24"/>
          <w:shd w:val="clear" w:color="auto" w:fill="FFFFFF"/>
        </w:rPr>
        <w:t>record.  This</w:t>
      </w:r>
      <w:r>
        <w:rPr>
          <w:rFonts w:ascii="Times New Roman" w:hAnsi="Times New Roman" w:cs="Times New Roman"/>
          <w:sz w:val="24"/>
          <w:szCs w:val="24"/>
          <w:shd w:val="clear" w:color="auto" w:fill="FFFFFF"/>
        </w:rPr>
        <w:t xml:space="preserve"> effort </w:t>
      </w:r>
      <w:r w:rsidR="00F82F95">
        <w:rPr>
          <w:rFonts w:ascii="Times New Roman" w:hAnsi="Times New Roman" w:cs="Times New Roman"/>
          <w:sz w:val="24"/>
          <w:szCs w:val="24"/>
          <w:shd w:val="clear" w:color="auto" w:fill="FFFFFF"/>
        </w:rPr>
        <w:t xml:space="preserve">was </w:t>
      </w:r>
      <w:r>
        <w:rPr>
          <w:rFonts w:ascii="Times New Roman" w:hAnsi="Times New Roman" w:cs="Times New Roman"/>
          <w:sz w:val="24"/>
          <w:szCs w:val="24"/>
          <w:shd w:val="clear" w:color="auto" w:fill="FFFFFF"/>
        </w:rPr>
        <w:t>independent of the current research study</w:t>
      </w:r>
      <w:r w:rsidR="008D6DB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alert </w:t>
      </w:r>
      <w:r w:rsidR="008D6DB4">
        <w:rPr>
          <w:rFonts w:ascii="Times New Roman" w:hAnsi="Times New Roman" w:cs="Times New Roman"/>
          <w:sz w:val="24"/>
          <w:szCs w:val="24"/>
          <w:shd w:val="clear" w:color="auto" w:fill="FFFFFF"/>
        </w:rPr>
        <w:t xml:space="preserve">was designed in </w:t>
      </w:r>
      <w:r w:rsidR="009A7B43">
        <w:rPr>
          <w:rFonts w:ascii="Times New Roman" w:hAnsi="Times New Roman" w:cs="Times New Roman"/>
          <w:sz w:val="24"/>
          <w:szCs w:val="24"/>
          <w:shd w:val="clear" w:color="auto" w:fill="FFFFFF"/>
        </w:rPr>
        <w:t>the electronic medical record, Epic</w:t>
      </w:r>
      <w:r w:rsidR="004223F6">
        <w:rPr>
          <w:rFonts w:ascii="Times New Roman" w:hAnsi="Times New Roman" w:cs="Times New Roman"/>
          <w:sz w:val="24"/>
          <w:szCs w:val="24"/>
          <w:shd w:val="clear" w:color="auto" w:fill="FFFFFF"/>
        </w:rPr>
        <w:t>®</w:t>
      </w:r>
      <w:r w:rsidR="009A7B43">
        <w:rPr>
          <w:rFonts w:ascii="Times New Roman" w:hAnsi="Times New Roman" w:cs="Times New Roman"/>
          <w:sz w:val="24"/>
          <w:szCs w:val="24"/>
          <w:shd w:val="clear" w:color="auto" w:fill="FFFFFF"/>
        </w:rPr>
        <w:t>,</w:t>
      </w:r>
      <w:r w:rsidR="008D6DB4">
        <w:rPr>
          <w:rFonts w:ascii="Times New Roman" w:hAnsi="Times New Roman" w:cs="Times New Roman"/>
          <w:sz w:val="24"/>
          <w:szCs w:val="24"/>
          <w:shd w:val="clear" w:color="auto" w:fill="FFFFFF"/>
        </w:rPr>
        <w:t xml:space="preserve"> to fire for any patient receiving broad-spectr</w:t>
      </w:r>
      <w:r w:rsidR="00FD67C6">
        <w:rPr>
          <w:rFonts w:ascii="Times New Roman" w:hAnsi="Times New Roman" w:cs="Times New Roman"/>
          <w:sz w:val="24"/>
          <w:szCs w:val="24"/>
          <w:shd w:val="clear" w:color="auto" w:fill="FFFFFF"/>
        </w:rPr>
        <w:t>um antimicrobial</w:t>
      </w:r>
      <w:r>
        <w:rPr>
          <w:rFonts w:ascii="Times New Roman" w:hAnsi="Times New Roman" w:cs="Times New Roman"/>
          <w:sz w:val="24"/>
          <w:szCs w:val="24"/>
          <w:shd w:val="clear" w:color="auto" w:fill="FFFFFF"/>
        </w:rPr>
        <w:t>s for 72-hours.  It</w:t>
      </w:r>
      <w:r w:rsidR="009A7B43">
        <w:rPr>
          <w:rFonts w:ascii="Times New Roman" w:hAnsi="Times New Roman" w:cs="Times New Roman"/>
          <w:sz w:val="24"/>
          <w:szCs w:val="24"/>
          <w:shd w:val="clear" w:color="auto" w:fill="FFFFFF"/>
        </w:rPr>
        <w:t xml:space="preserve"> </w:t>
      </w:r>
      <w:r w:rsidR="00FD67C6">
        <w:rPr>
          <w:rFonts w:ascii="Times New Roman" w:hAnsi="Times New Roman" w:cs="Times New Roman"/>
          <w:sz w:val="24"/>
          <w:szCs w:val="24"/>
          <w:shd w:val="clear" w:color="auto" w:fill="FFFFFF"/>
        </w:rPr>
        <w:t>reads as follows:</w:t>
      </w:r>
    </w:p>
    <w:p w14:paraId="2E3D6356" w14:textId="5755485F" w:rsidR="00B33E24" w:rsidRDefault="00B33E24" w:rsidP="00BF4EF8">
      <w:pPr>
        <w:spacing w:after="0" w:line="480" w:lineRule="auto"/>
        <w:ind w:firstLine="720"/>
        <w:jc w:val="center"/>
        <w:rPr>
          <w:rFonts w:ascii="Times New Roman" w:hAnsi="Times New Roman" w:cs="Times New Roman"/>
          <w:sz w:val="24"/>
          <w:szCs w:val="24"/>
          <w:shd w:val="clear" w:color="auto" w:fill="FFFFFF"/>
        </w:rPr>
      </w:pPr>
      <w:r w:rsidRPr="00B33E24">
        <w:rPr>
          <w:rFonts w:ascii="Times New Roman" w:hAnsi="Times New Roman" w:cs="Times New Roman"/>
          <w:noProof/>
          <w:sz w:val="24"/>
          <w:szCs w:val="24"/>
          <w:shd w:val="clear" w:color="auto" w:fill="FFFFFF"/>
        </w:rPr>
        <w:drawing>
          <wp:inline distT="0" distB="0" distL="0" distR="0" wp14:anchorId="210F6880" wp14:editId="1008C3AC">
            <wp:extent cx="5943600" cy="2323540"/>
            <wp:effectExtent l="0" t="0" r="0" b="635"/>
            <wp:docPr id="1" name="Picture 1" descr="C:\Users\Jenna Wolfe\AppData\Local\Packages\Microsoft.MicrosoftEdge_8wekyb3d8bbwe\TempState\Downloads\TIMEOUT_DAY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 Wolfe\AppData\Local\Packages\Microsoft.MicrosoftEdge_8wekyb3d8bbwe\TempState\Downloads\TIMEOUT_DAY_3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23540"/>
                    </a:xfrm>
                    <a:prstGeom prst="rect">
                      <a:avLst/>
                    </a:prstGeom>
                    <a:noFill/>
                    <a:ln>
                      <a:noFill/>
                    </a:ln>
                  </pic:spPr>
                </pic:pic>
              </a:graphicData>
            </a:graphic>
          </wp:inline>
        </w:drawing>
      </w:r>
    </w:p>
    <w:p w14:paraId="1ABE55BC" w14:textId="07BAFD90" w:rsidR="004223F6" w:rsidRDefault="00FD67C6" w:rsidP="003B033A">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alert was built to fire </w:t>
      </w:r>
      <w:r w:rsidR="009A7B43">
        <w:rPr>
          <w:rFonts w:ascii="Times New Roman" w:hAnsi="Times New Roman" w:cs="Times New Roman"/>
          <w:sz w:val="24"/>
          <w:szCs w:val="24"/>
          <w:shd w:val="clear" w:color="auto" w:fill="FFFFFF"/>
        </w:rPr>
        <w:t>for all</w:t>
      </w:r>
      <w:r>
        <w:rPr>
          <w:rFonts w:ascii="Times New Roman" w:hAnsi="Times New Roman" w:cs="Times New Roman"/>
          <w:sz w:val="24"/>
          <w:szCs w:val="24"/>
          <w:shd w:val="clear" w:color="auto" w:fill="FFFFFF"/>
        </w:rPr>
        <w:t xml:space="preserve"> medical providers (physicians, physician assi</w:t>
      </w:r>
      <w:r w:rsidR="009A7B43">
        <w:rPr>
          <w:rFonts w:ascii="Times New Roman" w:hAnsi="Times New Roman" w:cs="Times New Roman"/>
          <w:sz w:val="24"/>
          <w:szCs w:val="24"/>
          <w:shd w:val="clear" w:color="auto" w:fill="FFFFFF"/>
        </w:rPr>
        <w:t>stants, and nurse practitioners) caring for a patient</w:t>
      </w:r>
      <w:r>
        <w:rPr>
          <w:rFonts w:ascii="Times New Roman" w:hAnsi="Times New Roman" w:cs="Times New Roman"/>
          <w:sz w:val="24"/>
          <w:szCs w:val="24"/>
          <w:shd w:val="clear" w:color="auto" w:fill="FFFFFF"/>
        </w:rPr>
        <w:t xml:space="preserve">, </w:t>
      </w:r>
      <w:r w:rsidR="009A7B43">
        <w:rPr>
          <w:rFonts w:ascii="Times New Roman" w:hAnsi="Times New Roman" w:cs="Times New Roman"/>
          <w:sz w:val="24"/>
          <w:szCs w:val="24"/>
          <w:shd w:val="clear" w:color="auto" w:fill="FFFFFF"/>
        </w:rPr>
        <w:t>alerting them of</w:t>
      </w:r>
      <w:r w:rsidR="00664A97">
        <w:rPr>
          <w:rFonts w:ascii="Times New Roman" w:hAnsi="Times New Roman" w:cs="Times New Roman"/>
          <w:sz w:val="24"/>
          <w:szCs w:val="24"/>
          <w:shd w:val="clear" w:color="auto" w:fill="FFFFFF"/>
        </w:rPr>
        <w:t xml:space="preserve"> their patient’s prolonged broad-spectrum antimicrobial use and </w:t>
      </w:r>
      <w:r>
        <w:rPr>
          <w:rFonts w:ascii="Times New Roman" w:hAnsi="Times New Roman" w:cs="Times New Roman"/>
          <w:sz w:val="24"/>
          <w:szCs w:val="24"/>
          <w:shd w:val="clear" w:color="auto" w:fill="FFFFFF"/>
        </w:rPr>
        <w:t xml:space="preserve">encouraging them to consider </w:t>
      </w:r>
      <w:r w:rsidR="00664A97">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-escalation.  As a “hard-stop” function, providers were required to select from one of the above choices before they were able to move f</w:t>
      </w:r>
      <w:r w:rsidR="00664A97">
        <w:rPr>
          <w:rFonts w:ascii="Times New Roman" w:hAnsi="Times New Roman" w:cs="Times New Roman"/>
          <w:sz w:val="24"/>
          <w:szCs w:val="24"/>
          <w:shd w:val="clear" w:color="auto" w:fill="FFFFFF"/>
        </w:rPr>
        <w:t>orward with their work</w:t>
      </w:r>
      <w:r>
        <w:rPr>
          <w:rFonts w:ascii="Times New Roman" w:hAnsi="Times New Roman" w:cs="Times New Roman"/>
          <w:sz w:val="24"/>
          <w:szCs w:val="24"/>
          <w:shd w:val="clear" w:color="auto" w:fill="FFFFFF"/>
        </w:rPr>
        <w:t>flows</w:t>
      </w:r>
      <w:r w:rsidR="00FC1198">
        <w:rPr>
          <w:rFonts w:ascii="Times New Roman" w:hAnsi="Times New Roman" w:cs="Times New Roman"/>
          <w:sz w:val="24"/>
          <w:szCs w:val="24"/>
          <w:shd w:val="clear" w:color="auto" w:fill="FFFFFF"/>
        </w:rPr>
        <w:t xml:space="preserve">.  Providers would then be </w:t>
      </w:r>
      <w:r w:rsidR="00664A97">
        <w:rPr>
          <w:rFonts w:ascii="Times New Roman" w:hAnsi="Times New Roman" w:cs="Times New Roman"/>
          <w:sz w:val="24"/>
          <w:szCs w:val="24"/>
          <w:shd w:val="clear" w:color="auto" w:fill="FFFFFF"/>
        </w:rPr>
        <w:t xml:space="preserve">responsible for independently carrying-out the actions they indicated, with no orders automatically placed by the prompt. </w:t>
      </w:r>
      <w:r w:rsidR="009A7B43">
        <w:rPr>
          <w:rFonts w:ascii="Times New Roman" w:hAnsi="Times New Roman" w:cs="Times New Roman"/>
          <w:sz w:val="24"/>
          <w:szCs w:val="24"/>
          <w:shd w:val="clear" w:color="auto" w:fill="FFFFFF"/>
        </w:rPr>
        <w:t>To minimize alert fatigue and maximize efficiency of provider alerting, the alert was built to never fire for the same provider twice, to not fire for any subsequent providers if anyone selected “de-escalate antimicrobial(s) today,” and to only fire during day-time hours.</w:t>
      </w:r>
    </w:p>
    <w:p w14:paraId="317C8FE6" w14:textId="5874A4C5" w:rsidR="008D6DB4" w:rsidRPr="00FD67C6" w:rsidRDefault="008D6DB4" w:rsidP="003B033A">
      <w:pPr>
        <w:spacing w:after="0" w:line="480" w:lineRule="auto"/>
        <w:ind w:firstLine="720"/>
        <w:jc w:val="both"/>
        <w:rPr>
          <w:rFonts w:ascii="Times New Roman" w:hAnsi="Times New Roman" w:cs="Times New Roman"/>
          <w:sz w:val="24"/>
          <w:szCs w:val="24"/>
          <w:shd w:val="clear" w:color="auto" w:fill="FFFFFF"/>
        </w:rPr>
        <w:sectPr w:rsidR="008D6DB4" w:rsidRPr="00FD67C6">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shd w:val="clear" w:color="auto" w:fill="FFFFFF"/>
        </w:rPr>
        <w:t>Broad-spectrum antimicrobials for which the alert was built</w:t>
      </w:r>
      <w:r w:rsidR="00FD67C6">
        <w:rPr>
          <w:rFonts w:ascii="Times New Roman" w:hAnsi="Times New Roman" w:cs="Times New Roman"/>
          <w:sz w:val="24"/>
          <w:szCs w:val="24"/>
          <w:shd w:val="clear" w:color="auto" w:fill="FFFFFF"/>
        </w:rPr>
        <w:t xml:space="preserve"> to fire included the following.  Only the intravenous formulations of each drug were included, aside from linezolid (in which both </w:t>
      </w:r>
      <w:r w:rsidR="00FD67C6">
        <w:rPr>
          <w:rFonts w:ascii="Times New Roman" w:hAnsi="Times New Roman" w:cs="Times New Roman"/>
          <w:sz w:val="24"/>
          <w:szCs w:val="24"/>
          <w:shd w:val="clear" w:color="auto" w:fill="FFFFFF"/>
        </w:rPr>
        <w:lastRenderedPageBreak/>
        <w:t xml:space="preserve">intravenous and oral formulations </w:t>
      </w:r>
      <w:r w:rsidR="009A7B43">
        <w:rPr>
          <w:rFonts w:ascii="Times New Roman" w:hAnsi="Times New Roman" w:cs="Times New Roman"/>
          <w:sz w:val="24"/>
          <w:szCs w:val="24"/>
          <w:shd w:val="clear" w:color="auto" w:fill="FFFFFF"/>
        </w:rPr>
        <w:t>were included</w:t>
      </w:r>
      <w:r w:rsidR="00FD67C6">
        <w:rPr>
          <w:rFonts w:ascii="Times New Roman" w:hAnsi="Times New Roman" w:cs="Times New Roman"/>
          <w:sz w:val="24"/>
          <w:szCs w:val="24"/>
          <w:shd w:val="clear" w:color="auto" w:fill="FFFFFF"/>
        </w:rPr>
        <w:t xml:space="preserve">). </w:t>
      </w:r>
      <w:r w:rsidR="00D136CD">
        <w:rPr>
          <w:rFonts w:ascii="Times New Roman" w:hAnsi="Times New Roman" w:cs="Times New Roman"/>
          <w:sz w:val="24"/>
          <w:szCs w:val="24"/>
          <w:shd w:val="clear" w:color="auto" w:fill="FFFFFF"/>
        </w:rPr>
        <w:t xml:space="preserve">  As the scope of this study was the de-escalation of antibiotics, the few anti-fungal agents included below were not considered in the current research efforts. </w:t>
      </w:r>
    </w:p>
    <w:p w14:paraId="01F9C78A" w14:textId="465E7A09"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sidRPr="008D6DB4">
        <w:rPr>
          <w:rFonts w:ascii="Times New Roman" w:hAnsi="Times New Roman" w:cs="Times New Roman"/>
          <w:sz w:val="24"/>
          <w:szCs w:val="24"/>
          <w:shd w:val="clear" w:color="auto" w:fill="FFFFFF"/>
        </w:rPr>
        <w:t>Amikacin</w:t>
      </w:r>
    </w:p>
    <w:p w14:paraId="72D5A839" w14:textId="64531A4A"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Amphotericin B</w:t>
      </w:r>
    </w:p>
    <w:p w14:paraId="09A399E2" w14:textId="05E94503"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Aztreonam</w:t>
      </w:r>
    </w:p>
    <w:p w14:paraId="632462A5" w14:textId="3A326103"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Cefepime</w:t>
      </w:r>
    </w:p>
    <w:p w14:paraId="61093B3C" w14:textId="28E2F35F"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Ceftaroline</w:t>
      </w:r>
    </w:p>
    <w:p w14:paraId="39C07F5D" w14:textId="68D3B0A8"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Ceftazidime</w:t>
      </w:r>
    </w:p>
    <w:p w14:paraId="259F3C29" w14:textId="6792782F" w:rsidR="008D6DB4" w:rsidRDefault="00B16AF0"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Ceftazidime/a</w:t>
      </w:r>
      <w:r w:rsidR="008D6DB4">
        <w:rPr>
          <w:rFonts w:ascii="Times New Roman" w:hAnsi="Times New Roman" w:cs="Times New Roman"/>
          <w:sz w:val="24"/>
          <w:szCs w:val="24"/>
          <w:shd w:val="clear" w:color="auto" w:fill="FFFFFF"/>
        </w:rPr>
        <w:t>vibactam</w:t>
      </w:r>
    </w:p>
    <w:p w14:paraId="1C2D0CFA" w14:textId="63583D7A" w:rsidR="008D6DB4" w:rsidRDefault="00B16AF0"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Ceftolozane/t</w:t>
      </w:r>
      <w:r w:rsidR="008D6DB4">
        <w:rPr>
          <w:rFonts w:ascii="Times New Roman" w:hAnsi="Times New Roman" w:cs="Times New Roman"/>
          <w:sz w:val="24"/>
          <w:szCs w:val="24"/>
          <w:shd w:val="clear" w:color="auto" w:fill="FFFFFF"/>
        </w:rPr>
        <w:t>azobactam</w:t>
      </w:r>
    </w:p>
    <w:p w14:paraId="45EA0AB6" w14:textId="0F15C19D"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Ciprofloxacin</w:t>
      </w:r>
    </w:p>
    <w:p w14:paraId="50B15EDA" w14:textId="2F5F8304"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Colistin</w:t>
      </w:r>
    </w:p>
    <w:p w14:paraId="3F90C197" w14:textId="5EC4E7CF"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Daptomycin</w:t>
      </w:r>
    </w:p>
    <w:p w14:paraId="7E31FD07" w14:textId="1D42730C"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Ertapenem</w:t>
      </w:r>
    </w:p>
    <w:p w14:paraId="42FDCA30" w14:textId="6FD09E33"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Gentamicin</w:t>
      </w:r>
    </w:p>
    <w:p w14:paraId="19446482" w14:textId="40CA0702" w:rsidR="008D6DB4" w:rsidRDefault="00B16AF0"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Imipenem/c</w:t>
      </w:r>
      <w:r w:rsidR="008D6DB4">
        <w:rPr>
          <w:rFonts w:ascii="Times New Roman" w:hAnsi="Times New Roman" w:cs="Times New Roman"/>
          <w:sz w:val="24"/>
          <w:szCs w:val="24"/>
          <w:shd w:val="clear" w:color="auto" w:fill="FFFFFF"/>
        </w:rPr>
        <w:t>ilast</w:t>
      </w:r>
      <w:r w:rsidR="007B2814">
        <w:rPr>
          <w:rFonts w:ascii="Times New Roman" w:hAnsi="Times New Roman" w:cs="Times New Roman"/>
          <w:sz w:val="24"/>
          <w:szCs w:val="24"/>
          <w:shd w:val="clear" w:color="auto" w:fill="FFFFFF"/>
        </w:rPr>
        <w:t>at</w:t>
      </w:r>
      <w:r w:rsidR="008D6DB4">
        <w:rPr>
          <w:rFonts w:ascii="Times New Roman" w:hAnsi="Times New Roman" w:cs="Times New Roman"/>
          <w:sz w:val="24"/>
          <w:szCs w:val="24"/>
          <w:shd w:val="clear" w:color="auto" w:fill="FFFFFF"/>
        </w:rPr>
        <w:t>in</w:t>
      </w:r>
    </w:p>
    <w:p w14:paraId="3151F59A" w14:textId="599F6083"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Isavuconazonium</w:t>
      </w:r>
    </w:p>
    <w:p w14:paraId="4D8099F6" w14:textId="703F9BDB"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Levofloxacin</w:t>
      </w:r>
    </w:p>
    <w:p w14:paraId="52465BE1" w14:textId="006ED60B"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Linezolid</w:t>
      </w:r>
    </w:p>
    <w:p w14:paraId="534B0796" w14:textId="67135D2B"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Meropenem</w:t>
      </w:r>
    </w:p>
    <w:p w14:paraId="37162197" w14:textId="6FA3508C"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Micafungin</w:t>
      </w:r>
    </w:p>
    <w:p w14:paraId="6CEA3294" w14:textId="23298466" w:rsidR="008D6DB4" w:rsidRDefault="00B16AF0"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Piperacillin/t</w:t>
      </w:r>
      <w:r w:rsidR="008D6DB4">
        <w:rPr>
          <w:rFonts w:ascii="Times New Roman" w:hAnsi="Times New Roman" w:cs="Times New Roman"/>
          <w:sz w:val="24"/>
          <w:szCs w:val="24"/>
          <w:shd w:val="clear" w:color="auto" w:fill="FFFFFF"/>
        </w:rPr>
        <w:t>azobactam</w:t>
      </w:r>
    </w:p>
    <w:p w14:paraId="67560391" w14:textId="16270888"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Posaconazole</w:t>
      </w:r>
    </w:p>
    <w:p w14:paraId="7BFF8F3D" w14:textId="0BB5876B"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Tigecycline</w:t>
      </w:r>
    </w:p>
    <w:p w14:paraId="727EF623" w14:textId="25AA89C4"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Tobramycin</w:t>
      </w:r>
    </w:p>
    <w:p w14:paraId="4E18BA29" w14:textId="6E4A84A6" w:rsid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Vancomycin</w:t>
      </w:r>
    </w:p>
    <w:p w14:paraId="1A73FA00" w14:textId="3BCFCC6A" w:rsidR="008D6DB4" w:rsidRPr="008D6DB4" w:rsidRDefault="008D6DB4" w:rsidP="00C22C2F">
      <w:pPr>
        <w:pStyle w:val="ListParagraph"/>
        <w:numPr>
          <w:ilvl w:val="1"/>
          <w:numId w:val="1"/>
        </w:numPr>
        <w:spacing w:after="0" w:line="240" w:lineRule="auto"/>
        <w:ind w:left="1710" w:hanging="4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Voriconazole</w:t>
      </w:r>
    </w:p>
    <w:p w14:paraId="025E4C1E" w14:textId="77777777" w:rsidR="008D6DB4" w:rsidRDefault="008D6DB4" w:rsidP="00C22C2F">
      <w:pPr>
        <w:spacing w:after="0" w:line="480" w:lineRule="auto"/>
        <w:ind w:left="1710" w:hanging="450"/>
        <w:rPr>
          <w:rFonts w:ascii="Times New Roman" w:hAnsi="Times New Roman" w:cs="Times New Roman"/>
          <w:sz w:val="24"/>
          <w:szCs w:val="24"/>
          <w:shd w:val="clear" w:color="auto" w:fill="FFFFFF"/>
        </w:rPr>
        <w:sectPr w:rsidR="008D6DB4" w:rsidSect="008D6DB4">
          <w:type w:val="continuous"/>
          <w:pgSz w:w="12240" w:h="15840"/>
          <w:pgMar w:top="1440" w:right="1440" w:bottom="1440" w:left="1440" w:header="720" w:footer="720" w:gutter="0"/>
          <w:cols w:num="2" w:space="720"/>
          <w:docGrid w:linePitch="360"/>
        </w:sectPr>
      </w:pPr>
    </w:p>
    <w:p w14:paraId="19FB0A90" w14:textId="77777777" w:rsidR="00232B07" w:rsidRDefault="00232B07" w:rsidP="00BF4EF8">
      <w:pPr>
        <w:spacing w:after="0" w:line="480" w:lineRule="auto"/>
        <w:jc w:val="center"/>
        <w:rPr>
          <w:rFonts w:ascii="Times New Roman" w:hAnsi="Times New Roman" w:cs="Times New Roman"/>
          <w:sz w:val="24"/>
          <w:szCs w:val="24"/>
          <w:shd w:val="clear" w:color="auto" w:fill="FFFFFF"/>
        </w:rPr>
      </w:pPr>
    </w:p>
    <w:p w14:paraId="231D09E5" w14:textId="6DF3905D" w:rsidR="00FD67C6" w:rsidRDefault="00232B07" w:rsidP="003B03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Automated Antibiotic Time-Out Alert was implemented throughout the Mercy Health System, which includes 45 acute care and specialty hospitals throughout Missouri, Arkansas, Kansas, and Oklahoma.  </w:t>
      </w:r>
      <w:r>
        <w:rPr>
          <w:rFonts w:ascii="Times New Roman" w:hAnsi="Times New Roman" w:cs="Times New Roman"/>
          <w:sz w:val="24"/>
          <w:szCs w:val="24"/>
        </w:rPr>
        <w:t xml:space="preserve">Prior </w:t>
      </w:r>
      <w:r w:rsidR="00F82F95">
        <w:rPr>
          <w:rFonts w:ascii="Times New Roman" w:hAnsi="Times New Roman" w:cs="Times New Roman"/>
          <w:sz w:val="24"/>
          <w:szCs w:val="24"/>
        </w:rPr>
        <w:t>to the alert’</w:t>
      </w:r>
      <w:r>
        <w:rPr>
          <w:rFonts w:ascii="Times New Roman" w:hAnsi="Times New Roman" w:cs="Times New Roman"/>
          <w:sz w:val="24"/>
          <w:szCs w:val="24"/>
        </w:rPr>
        <w:t xml:space="preserve">s execution, all providers </w:t>
      </w:r>
      <w:r w:rsidR="006803AE">
        <w:rPr>
          <w:rFonts w:ascii="Times New Roman" w:hAnsi="Times New Roman" w:cs="Times New Roman"/>
          <w:sz w:val="24"/>
          <w:szCs w:val="24"/>
        </w:rPr>
        <w:t xml:space="preserve">were </w:t>
      </w:r>
      <w:r>
        <w:rPr>
          <w:rFonts w:ascii="Times New Roman" w:hAnsi="Times New Roman" w:cs="Times New Roman"/>
          <w:sz w:val="24"/>
          <w:szCs w:val="24"/>
        </w:rPr>
        <w:t>notified of its purpose and functionality via an e-mail notification as well as verbal communication at provider meetings.</w:t>
      </w:r>
      <w:r w:rsidR="006803AE">
        <w:rPr>
          <w:rFonts w:ascii="Times New Roman" w:hAnsi="Times New Roman" w:cs="Times New Roman"/>
          <w:sz w:val="24"/>
          <w:szCs w:val="24"/>
        </w:rPr>
        <w:t xml:space="preserve">  The current research study was designed to be a real-world analysis of this alert’s impact on antibiotic de-escalation specifically within the Mercy Hospital – St. Louis location, the flagship of the </w:t>
      </w:r>
      <w:r w:rsidR="00F82F95">
        <w:rPr>
          <w:rFonts w:ascii="Times New Roman" w:hAnsi="Times New Roman" w:cs="Times New Roman"/>
          <w:sz w:val="24"/>
          <w:szCs w:val="24"/>
        </w:rPr>
        <w:t>Mercy Health System.</w:t>
      </w:r>
    </w:p>
    <w:p w14:paraId="0971C4CD" w14:textId="77777777" w:rsidR="00452EAD" w:rsidRDefault="00452EAD" w:rsidP="00BF4EF8">
      <w:pPr>
        <w:spacing w:after="0" w:line="480" w:lineRule="auto"/>
        <w:ind w:firstLine="720"/>
        <w:jc w:val="center"/>
        <w:rPr>
          <w:rFonts w:ascii="Times New Roman" w:hAnsi="Times New Roman" w:cs="Times New Roman"/>
          <w:sz w:val="24"/>
          <w:szCs w:val="24"/>
        </w:rPr>
      </w:pPr>
    </w:p>
    <w:p w14:paraId="0E2E25C4" w14:textId="77777777" w:rsidR="00452EAD" w:rsidRDefault="00452EAD" w:rsidP="00BF4EF8">
      <w:pPr>
        <w:spacing w:after="0" w:line="480" w:lineRule="auto"/>
        <w:ind w:firstLine="720"/>
        <w:jc w:val="center"/>
        <w:rPr>
          <w:rFonts w:ascii="Times New Roman" w:hAnsi="Times New Roman" w:cs="Times New Roman"/>
          <w:sz w:val="24"/>
          <w:szCs w:val="24"/>
        </w:rPr>
      </w:pPr>
    </w:p>
    <w:p w14:paraId="1B6B99DC" w14:textId="77777777" w:rsidR="00452EAD" w:rsidRDefault="00452EAD" w:rsidP="00BF4EF8">
      <w:pPr>
        <w:spacing w:after="0" w:line="480" w:lineRule="auto"/>
        <w:ind w:firstLine="720"/>
        <w:jc w:val="center"/>
        <w:rPr>
          <w:rFonts w:ascii="Times New Roman" w:hAnsi="Times New Roman" w:cs="Times New Roman"/>
          <w:sz w:val="24"/>
          <w:szCs w:val="24"/>
        </w:rPr>
      </w:pPr>
    </w:p>
    <w:p w14:paraId="09FA559B" w14:textId="77777777" w:rsidR="00452EAD" w:rsidRDefault="00452EAD" w:rsidP="00BF4EF8">
      <w:pPr>
        <w:spacing w:after="0" w:line="480" w:lineRule="auto"/>
        <w:ind w:firstLine="720"/>
        <w:jc w:val="center"/>
        <w:rPr>
          <w:rFonts w:ascii="Times New Roman" w:hAnsi="Times New Roman" w:cs="Times New Roman"/>
          <w:sz w:val="24"/>
          <w:szCs w:val="24"/>
        </w:rPr>
      </w:pPr>
    </w:p>
    <w:p w14:paraId="63B2D620" w14:textId="77777777" w:rsidR="00452EAD" w:rsidRDefault="00452EAD" w:rsidP="00BF4EF8">
      <w:pPr>
        <w:spacing w:after="0" w:line="480" w:lineRule="auto"/>
        <w:ind w:firstLine="720"/>
        <w:jc w:val="center"/>
        <w:rPr>
          <w:rFonts w:ascii="Times New Roman" w:hAnsi="Times New Roman" w:cs="Times New Roman"/>
          <w:sz w:val="24"/>
          <w:szCs w:val="24"/>
        </w:rPr>
      </w:pPr>
    </w:p>
    <w:p w14:paraId="5ECD7A04" w14:textId="77777777" w:rsidR="00452EAD" w:rsidRDefault="00452EAD" w:rsidP="00BF4EF8">
      <w:pPr>
        <w:spacing w:after="0" w:line="480" w:lineRule="auto"/>
        <w:ind w:firstLine="720"/>
        <w:jc w:val="center"/>
        <w:rPr>
          <w:rFonts w:ascii="Times New Roman" w:hAnsi="Times New Roman" w:cs="Times New Roman"/>
          <w:sz w:val="24"/>
          <w:szCs w:val="24"/>
        </w:rPr>
      </w:pPr>
    </w:p>
    <w:p w14:paraId="191A0166" w14:textId="06EB5D5D" w:rsidR="00452EAD" w:rsidRDefault="00452EAD" w:rsidP="00BF4E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Mercy Hospital – St. Louis Antimicrobial Stewardship Program</w:t>
      </w:r>
    </w:p>
    <w:p w14:paraId="0E696106" w14:textId="07697106" w:rsidR="00452EAD" w:rsidRDefault="00452EAD" w:rsidP="003B03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Mercy Hospital – St. Louis Antimicrobial Stewardship program includes each of the components of the Center for Disease Control</w:t>
      </w:r>
      <w:r w:rsidR="00F82F95">
        <w:rPr>
          <w:rFonts w:ascii="Times New Roman" w:hAnsi="Times New Roman" w:cs="Times New Roman"/>
          <w:sz w:val="24"/>
          <w:szCs w:val="24"/>
        </w:rPr>
        <w:t xml:space="preserve"> and Prevention’s</w:t>
      </w:r>
      <w:r w:rsidR="0005335E">
        <w:rPr>
          <w:rFonts w:ascii="Times New Roman" w:hAnsi="Times New Roman" w:cs="Times New Roman"/>
          <w:sz w:val="24"/>
          <w:szCs w:val="24"/>
        </w:rPr>
        <w:t xml:space="preserve"> Core E</w:t>
      </w:r>
      <w:r>
        <w:rPr>
          <w:rFonts w:ascii="Times New Roman" w:hAnsi="Times New Roman" w:cs="Times New Roman"/>
          <w:sz w:val="24"/>
          <w:szCs w:val="24"/>
        </w:rPr>
        <w:t xml:space="preserve">lements </w:t>
      </w:r>
      <w:r w:rsidR="0005335E">
        <w:rPr>
          <w:rFonts w:ascii="Times New Roman" w:hAnsi="Times New Roman" w:cs="Times New Roman"/>
          <w:sz w:val="24"/>
          <w:szCs w:val="24"/>
        </w:rPr>
        <w:t xml:space="preserve">for hospital antibiotic stewardship programs </w:t>
      </w:r>
      <w:r>
        <w:rPr>
          <w:rFonts w:ascii="Times New Roman" w:hAnsi="Times New Roman" w:cs="Times New Roman"/>
          <w:sz w:val="24"/>
          <w:szCs w:val="24"/>
        </w:rPr>
        <w:t>and meets or exceeds the standards set forth by the Joint Commission.</w:t>
      </w:r>
      <w:r w:rsidR="0005335E" w:rsidRPr="0005335E">
        <w:rPr>
          <w:rFonts w:ascii="Times New Roman" w:hAnsi="Times New Roman" w:cs="Times New Roman"/>
          <w:sz w:val="24"/>
          <w:szCs w:val="24"/>
          <w:vertAlign w:val="superscript"/>
        </w:rPr>
        <w:t>1</w:t>
      </w:r>
      <w:proofErr w:type="gramStart"/>
      <w:r w:rsidR="0005335E" w:rsidRPr="0005335E">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00EC358D">
        <w:rPr>
          <w:rFonts w:ascii="Times New Roman" w:hAnsi="Times New Roman" w:cs="Times New Roman"/>
          <w:sz w:val="24"/>
          <w:szCs w:val="24"/>
        </w:rPr>
        <w:t xml:space="preserve"> Despite this robust program,</w:t>
      </w:r>
      <w:r w:rsidR="0005335E">
        <w:rPr>
          <w:rFonts w:ascii="Times New Roman" w:hAnsi="Times New Roman" w:cs="Times New Roman"/>
          <w:sz w:val="24"/>
          <w:szCs w:val="24"/>
        </w:rPr>
        <w:t xml:space="preserve"> the hospital </w:t>
      </w:r>
      <w:r w:rsidR="00EC358D">
        <w:rPr>
          <w:rFonts w:ascii="Times New Roman" w:hAnsi="Times New Roman" w:cs="Times New Roman"/>
          <w:sz w:val="24"/>
          <w:szCs w:val="24"/>
        </w:rPr>
        <w:t xml:space="preserve">employs only one dedicated Infectious Disease Clinical Pharmacist and one Infectious Disease Physician dedicated to its stewardship efforts.  </w:t>
      </w:r>
      <w:r>
        <w:rPr>
          <w:rFonts w:ascii="Times New Roman" w:hAnsi="Times New Roman" w:cs="Times New Roman"/>
          <w:sz w:val="24"/>
          <w:szCs w:val="24"/>
        </w:rPr>
        <w:t xml:space="preserve">The </w:t>
      </w:r>
      <w:r w:rsidR="00EC358D">
        <w:rPr>
          <w:rFonts w:ascii="Times New Roman" w:hAnsi="Times New Roman" w:cs="Times New Roman"/>
          <w:sz w:val="24"/>
          <w:szCs w:val="24"/>
        </w:rPr>
        <w:t>Automated Antibiotic Time-Out A</w:t>
      </w:r>
      <w:r>
        <w:rPr>
          <w:rFonts w:ascii="Times New Roman" w:hAnsi="Times New Roman" w:cs="Times New Roman"/>
          <w:sz w:val="24"/>
          <w:szCs w:val="24"/>
        </w:rPr>
        <w:t>lert was developed in order to further strengthen the reach and consiste</w:t>
      </w:r>
      <w:r w:rsidR="0005335E">
        <w:rPr>
          <w:rFonts w:ascii="Times New Roman" w:hAnsi="Times New Roman" w:cs="Times New Roman"/>
          <w:sz w:val="24"/>
          <w:szCs w:val="24"/>
        </w:rPr>
        <w:t>ncy of the</w:t>
      </w:r>
      <w:r w:rsidR="00EC358D">
        <w:rPr>
          <w:rFonts w:ascii="Times New Roman" w:hAnsi="Times New Roman" w:cs="Times New Roman"/>
          <w:sz w:val="24"/>
          <w:szCs w:val="24"/>
        </w:rPr>
        <w:t xml:space="preserve"> stewardship program through automated interventions.</w:t>
      </w:r>
    </w:p>
    <w:p w14:paraId="5D5A0721" w14:textId="77777777" w:rsidR="00F82F95" w:rsidRDefault="00F82F95" w:rsidP="00BF4EF8">
      <w:pPr>
        <w:spacing w:after="0" w:line="480" w:lineRule="auto"/>
        <w:jc w:val="center"/>
        <w:rPr>
          <w:rFonts w:ascii="Times New Roman" w:hAnsi="Times New Roman" w:cs="Times New Roman"/>
          <w:sz w:val="24"/>
          <w:szCs w:val="24"/>
          <w:shd w:val="clear" w:color="auto" w:fill="FFFFFF"/>
        </w:rPr>
      </w:pPr>
    </w:p>
    <w:p w14:paraId="61D05387" w14:textId="77777777" w:rsidR="00F82F95" w:rsidRDefault="00F82F95" w:rsidP="00BF4EF8">
      <w:pPr>
        <w:spacing w:after="0" w:line="480" w:lineRule="auto"/>
        <w:jc w:val="center"/>
        <w:rPr>
          <w:rFonts w:ascii="Times New Roman" w:hAnsi="Times New Roman" w:cs="Times New Roman"/>
          <w:sz w:val="24"/>
          <w:szCs w:val="24"/>
          <w:shd w:val="clear" w:color="auto" w:fill="FFFFFF"/>
        </w:rPr>
      </w:pPr>
    </w:p>
    <w:p w14:paraId="297A8222" w14:textId="65043AC7" w:rsidR="0005335E" w:rsidRDefault="0005335E" w:rsidP="00BF4EF8">
      <w:pPr>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br w:type="page"/>
      </w:r>
      <w:r w:rsidR="00BF4EF8">
        <w:rPr>
          <w:rFonts w:ascii="Times New Roman" w:hAnsi="Times New Roman" w:cs="Times New Roman"/>
          <w:b/>
          <w:sz w:val="24"/>
          <w:szCs w:val="24"/>
          <w:shd w:val="clear" w:color="auto" w:fill="FFFFFF"/>
        </w:rPr>
        <w:lastRenderedPageBreak/>
        <w:t xml:space="preserve">Supplementary </w:t>
      </w:r>
      <w:r w:rsidR="00C22C2F">
        <w:rPr>
          <w:rFonts w:ascii="Times New Roman" w:hAnsi="Times New Roman" w:cs="Times New Roman"/>
          <w:b/>
          <w:sz w:val="24"/>
          <w:szCs w:val="24"/>
          <w:shd w:val="clear" w:color="auto" w:fill="FFFFFF"/>
        </w:rPr>
        <w:t>Figures and Tables</w:t>
      </w:r>
    </w:p>
    <w:p w14:paraId="038FC342" w14:textId="77777777" w:rsidR="00667CF7" w:rsidRDefault="00667CF7" w:rsidP="00F42204">
      <w:pPr>
        <w:rPr>
          <w:rFonts w:ascii="Times New Roman" w:hAnsi="Times New Roman" w:cs="Times New Roman"/>
          <w:b/>
          <w:sz w:val="24"/>
          <w:szCs w:val="24"/>
          <w:shd w:val="clear" w:color="auto" w:fill="FFFFFF"/>
        </w:rPr>
      </w:pPr>
    </w:p>
    <w:p w14:paraId="191CE317" w14:textId="4033BBEB" w:rsidR="00BF4EF8" w:rsidRPr="00F42204" w:rsidRDefault="00BF4EF8" w:rsidP="00F42204">
      <w:pPr>
        <w:rPr>
          <w:rFonts w:ascii="Times New Roman" w:hAnsi="Times New Roman" w:cs="Times New Roman"/>
          <w:b/>
          <w:sz w:val="24"/>
          <w:szCs w:val="24"/>
          <w:shd w:val="clear" w:color="auto" w:fill="FFFFFF"/>
        </w:rPr>
      </w:pPr>
      <w:r w:rsidRPr="00F42204">
        <w:rPr>
          <w:rFonts w:ascii="Times New Roman" w:hAnsi="Times New Roman" w:cs="Times New Roman"/>
          <w:noProof/>
        </w:rPr>
        <w:drawing>
          <wp:anchor distT="0" distB="0" distL="114300" distR="114300" simplePos="0" relativeHeight="251659264" behindDoc="1" locked="0" layoutInCell="1" allowOverlap="1" wp14:anchorId="1DC9B2B0" wp14:editId="61149E22">
            <wp:simplePos x="0" y="0"/>
            <wp:positionH relativeFrom="column">
              <wp:posOffset>28575</wp:posOffset>
            </wp:positionH>
            <wp:positionV relativeFrom="paragraph">
              <wp:posOffset>323215</wp:posOffset>
            </wp:positionV>
            <wp:extent cx="6134100" cy="2571750"/>
            <wp:effectExtent l="0" t="0" r="0" b="0"/>
            <wp:wrapTight wrapText="bothSides">
              <wp:wrapPolygon edited="0">
                <wp:start x="0" y="0"/>
                <wp:lineTo x="0" y="21440"/>
                <wp:lineTo x="21533" y="21440"/>
                <wp:lineTo x="21533"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42204" w:rsidRPr="00F42204">
        <w:rPr>
          <w:rFonts w:ascii="Times New Roman" w:hAnsi="Times New Roman" w:cs="Times New Roman"/>
          <w:b/>
          <w:sz w:val="24"/>
          <w:szCs w:val="24"/>
          <w:shd w:val="clear" w:color="auto" w:fill="FFFFFF"/>
        </w:rPr>
        <w:t>Figure A1:  Monthly Antibiotic De-Escalation after</w:t>
      </w:r>
      <w:r w:rsidR="00F42204">
        <w:rPr>
          <w:rFonts w:ascii="Times New Roman" w:hAnsi="Times New Roman" w:cs="Times New Roman"/>
          <w:b/>
          <w:sz w:val="24"/>
          <w:szCs w:val="24"/>
          <w:shd w:val="clear" w:color="auto" w:fill="FFFFFF"/>
        </w:rPr>
        <w:t xml:space="preserve"> </w:t>
      </w:r>
      <w:r w:rsidR="00F42204" w:rsidRPr="00F42204">
        <w:rPr>
          <w:rFonts w:ascii="Times New Roman" w:hAnsi="Times New Roman" w:cs="Times New Roman"/>
          <w:b/>
          <w:sz w:val="24"/>
          <w:szCs w:val="24"/>
          <w:shd w:val="clear" w:color="auto" w:fill="FFFFFF"/>
        </w:rPr>
        <w:t>Alert</w:t>
      </w:r>
      <w:r w:rsidR="00F42204">
        <w:rPr>
          <w:rFonts w:ascii="Times New Roman" w:hAnsi="Times New Roman" w:cs="Times New Roman"/>
          <w:b/>
          <w:sz w:val="24"/>
          <w:szCs w:val="24"/>
          <w:shd w:val="clear" w:color="auto" w:fill="FFFFFF"/>
        </w:rPr>
        <w:t xml:space="preserve"> </w:t>
      </w:r>
      <w:r w:rsidR="00E74AA7">
        <w:rPr>
          <w:rFonts w:ascii="Times New Roman" w:hAnsi="Times New Roman" w:cs="Times New Roman"/>
          <w:b/>
          <w:sz w:val="24"/>
          <w:szCs w:val="24"/>
          <w:shd w:val="clear" w:color="auto" w:fill="FFFFFF"/>
        </w:rPr>
        <w:t>Implementation</w:t>
      </w:r>
    </w:p>
    <w:p w14:paraId="1FE9B13F" w14:textId="1355E3E6" w:rsidR="00F42204" w:rsidRPr="00F42204" w:rsidRDefault="00F42204" w:rsidP="00F42204">
      <w:pPr>
        <w:spacing w:line="480" w:lineRule="auto"/>
        <w:rPr>
          <w:rFonts w:ascii="Times New Roman" w:hAnsi="Times New Roman" w:cs="Times New Roman"/>
        </w:rPr>
      </w:pPr>
      <w:r w:rsidRPr="00F42204">
        <w:rPr>
          <w:rFonts w:ascii="Times New Roman" w:hAnsi="Times New Roman" w:cs="Times New Roman"/>
        </w:rPr>
        <w:t>Figure 1. Proportions</w:t>
      </w:r>
      <w:r w:rsidR="00206B79">
        <w:rPr>
          <w:rFonts w:ascii="Times New Roman" w:hAnsi="Times New Roman" w:cs="Times New Roman"/>
        </w:rPr>
        <w:t xml:space="preserve"> of broad-spectrum antibiotic </w:t>
      </w:r>
      <w:r w:rsidRPr="00F42204">
        <w:rPr>
          <w:rFonts w:ascii="Times New Roman" w:hAnsi="Times New Roman" w:cs="Times New Roman"/>
        </w:rPr>
        <w:t xml:space="preserve">de-escalation </w:t>
      </w:r>
      <w:r>
        <w:rPr>
          <w:rFonts w:ascii="Times New Roman" w:hAnsi="Times New Roman" w:cs="Times New Roman"/>
        </w:rPr>
        <w:t xml:space="preserve">after implementation of the Antibiotic Time-Out Alert were consistent across the study period. </w:t>
      </w:r>
    </w:p>
    <w:p w14:paraId="58C2032C" w14:textId="77777777" w:rsidR="00FD552F" w:rsidRDefault="00FD552F" w:rsidP="00BF4EF8">
      <w:pPr>
        <w:spacing w:after="0" w:line="480" w:lineRule="auto"/>
        <w:jc w:val="center"/>
        <w:rPr>
          <w:rFonts w:ascii="Times New Roman" w:hAnsi="Times New Roman" w:cs="Times New Roman"/>
          <w:b/>
          <w:sz w:val="24"/>
          <w:szCs w:val="24"/>
          <w:shd w:val="clear" w:color="auto" w:fill="FFFFFF"/>
        </w:rPr>
      </w:pPr>
    </w:p>
    <w:p w14:paraId="3ECF67CB" w14:textId="2DF0E831" w:rsidR="00F42204" w:rsidRDefault="00F42204" w:rsidP="00F42204">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A1:  Antibiotic-Related Adverse Events</w:t>
      </w:r>
    </w:p>
    <w:tbl>
      <w:tblPr>
        <w:tblStyle w:val="TableGrid"/>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20"/>
        <w:gridCol w:w="3060"/>
      </w:tblGrid>
      <w:tr w:rsidR="00F42204" w:rsidRPr="005A40E0" w14:paraId="500755C7" w14:textId="77777777" w:rsidTr="00F42204">
        <w:tc>
          <w:tcPr>
            <w:tcW w:w="3510" w:type="dxa"/>
            <w:shd w:val="clear" w:color="auto" w:fill="595959" w:themeFill="text1" w:themeFillTint="A6"/>
            <w:vAlign w:val="center"/>
          </w:tcPr>
          <w:p w14:paraId="60E408F8" w14:textId="77777777" w:rsidR="00BF4EF8" w:rsidRPr="00BF4EF8" w:rsidRDefault="00BF4EF8" w:rsidP="00BF4EF8">
            <w:pPr>
              <w:pStyle w:val="ListParagraph"/>
              <w:ind w:left="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Adverse Event</w:t>
            </w:r>
          </w:p>
        </w:tc>
        <w:tc>
          <w:tcPr>
            <w:tcW w:w="2520" w:type="dxa"/>
            <w:shd w:val="clear" w:color="auto" w:fill="595959" w:themeFill="text1" w:themeFillTint="A6"/>
            <w:vAlign w:val="center"/>
          </w:tcPr>
          <w:p w14:paraId="2738F1EE" w14:textId="77777777" w:rsidR="00BF4EF8" w:rsidRPr="00BF4EF8" w:rsidRDefault="00BF4EF8" w:rsidP="00BF4EF8">
            <w:pPr>
              <w:pStyle w:val="ListParagraph"/>
              <w:ind w:left="0"/>
              <w:jc w:val="center"/>
              <w:rPr>
                <w:rFonts w:ascii="Times New Roman" w:hAnsi="Times New Roman" w:cs="Times New Roman"/>
                <w:color w:val="FFFFFF" w:themeColor="background1"/>
                <w:sz w:val="24"/>
                <w:szCs w:val="24"/>
              </w:rPr>
            </w:pPr>
            <w:r w:rsidRPr="00BF4EF8">
              <w:rPr>
                <w:rFonts w:ascii="Times New Roman" w:hAnsi="Times New Roman" w:cs="Times New Roman"/>
                <w:color w:val="FFFFFF" w:themeColor="background1"/>
                <w:sz w:val="24"/>
                <w:szCs w:val="24"/>
              </w:rPr>
              <w:t>De-Escalated Group</w:t>
            </w:r>
          </w:p>
        </w:tc>
        <w:tc>
          <w:tcPr>
            <w:tcW w:w="3060" w:type="dxa"/>
            <w:shd w:val="clear" w:color="auto" w:fill="595959" w:themeFill="text1" w:themeFillTint="A6"/>
            <w:vAlign w:val="center"/>
          </w:tcPr>
          <w:p w14:paraId="4EA5F726" w14:textId="77777777" w:rsidR="00BF4EF8" w:rsidRPr="00BF4EF8" w:rsidRDefault="00BF4EF8" w:rsidP="00BF4EF8">
            <w:pPr>
              <w:pStyle w:val="ListParagraph"/>
              <w:ind w:left="0"/>
              <w:jc w:val="center"/>
              <w:rPr>
                <w:rFonts w:ascii="Times New Roman" w:hAnsi="Times New Roman" w:cs="Times New Roman"/>
                <w:color w:val="FFFFFF" w:themeColor="background1"/>
                <w:sz w:val="24"/>
                <w:szCs w:val="24"/>
              </w:rPr>
            </w:pPr>
            <w:r w:rsidRPr="00BF4EF8">
              <w:rPr>
                <w:rFonts w:ascii="Times New Roman" w:hAnsi="Times New Roman" w:cs="Times New Roman"/>
                <w:color w:val="FFFFFF" w:themeColor="background1"/>
                <w:sz w:val="24"/>
                <w:szCs w:val="24"/>
              </w:rPr>
              <w:t>Broad-Spectrum Group</w:t>
            </w:r>
          </w:p>
        </w:tc>
      </w:tr>
      <w:tr w:rsidR="00F42204" w:rsidRPr="005A40E0" w14:paraId="3DBB4F18" w14:textId="77777777" w:rsidTr="00F42204">
        <w:tc>
          <w:tcPr>
            <w:tcW w:w="3510" w:type="dxa"/>
          </w:tcPr>
          <w:p w14:paraId="44729F7D" w14:textId="77777777" w:rsidR="00BF4EF8" w:rsidRPr="005A40E0" w:rsidRDefault="00BF4EF8" w:rsidP="00BF4EF8">
            <w:pPr>
              <w:pStyle w:val="ListParagraph"/>
              <w:ind w:left="0"/>
              <w:rPr>
                <w:rFonts w:ascii="Times New Roman" w:hAnsi="Times New Roman" w:cs="Times New Roman"/>
                <w:sz w:val="24"/>
                <w:szCs w:val="24"/>
              </w:rPr>
            </w:pPr>
            <w:r w:rsidRPr="005A40E0">
              <w:rPr>
                <w:rFonts w:ascii="Times New Roman" w:hAnsi="Times New Roman" w:cs="Times New Roman"/>
                <w:sz w:val="24"/>
                <w:szCs w:val="24"/>
              </w:rPr>
              <w:t>Allergic reaction</w:t>
            </w:r>
          </w:p>
        </w:tc>
        <w:tc>
          <w:tcPr>
            <w:tcW w:w="2520" w:type="dxa"/>
          </w:tcPr>
          <w:p w14:paraId="7C5D6356"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1</w:t>
            </w:r>
          </w:p>
        </w:tc>
        <w:tc>
          <w:tcPr>
            <w:tcW w:w="3060" w:type="dxa"/>
          </w:tcPr>
          <w:p w14:paraId="25B8CDC9"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2</w:t>
            </w:r>
          </w:p>
        </w:tc>
      </w:tr>
      <w:tr w:rsidR="00F42204" w:rsidRPr="005A40E0" w14:paraId="37256C18" w14:textId="77777777" w:rsidTr="00F42204">
        <w:tc>
          <w:tcPr>
            <w:tcW w:w="3510" w:type="dxa"/>
            <w:shd w:val="clear" w:color="auto" w:fill="F2F2F2" w:themeFill="background1" w:themeFillShade="F2"/>
          </w:tcPr>
          <w:p w14:paraId="55D6129A" w14:textId="77777777" w:rsidR="00BF4EF8" w:rsidRPr="005A40E0" w:rsidRDefault="00BF4EF8" w:rsidP="00BF4EF8">
            <w:pPr>
              <w:pStyle w:val="ListParagraph"/>
              <w:ind w:left="0"/>
              <w:rPr>
                <w:rFonts w:ascii="Times New Roman" w:hAnsi="Times New Roman" w:cs="Times New Roman"/>
                <w:i/>
                <w:sz w:val="24"/>
                <w:szCs w:val="24"/>
              </w:rPr>
            </w:pPr>
            <w:r w:rsidRPr="005A40E0">
              <w:rPr>
                <w:rFonts w:ascii="Times New Roman" w:hAnsi="Times New Roman" w:cs="Times New Roman"/>
                <w:i/>
                <w:sz w:val="24"/>
                <w:szCs w:val="24"/>
              </w:rPr>
              <w:t xml:space="preserve">Clostridium difficile </w:t>
            </w:r>
            <w:r w:rsidRPr="005A40E0">
              <w:rPr>
                <w:rFonts w:ascii="Times New Roman" w:hAnsi="Times New Roman" w:cs="Times New Roman"/>
                <w:sz w:val="24"/>
                <w:szCs w:val="24"/>
              </w:rPr>
              <w:t>infection</w:t>
            </w:r>
          </w:p>
        </w:tc>
        <w:tc>
          <w:tcPr>
            <w:tcW w:w="2520" w:type="dxa"/>
            <w:shd w:val="clear" w:color="auto" w:fill="F2F2F2" w:themeFill="background1" w:themeFillShade="F2"/>
          </w:tcPr>
          <w:p w14:paraId="10947158"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0</w:t>
            </w:r>
          </w:p>
        </w:tc>
        <w:tc>
          <w:tcPr>
            <w:tcW w:w="3060" w:type="dxa"/>
            <w:shd w:val="clear" w:color="auto" w:fill="F2F2F2" w:themeFill="background1" w:themeFillShade="F2"/>
          </w:tcPr>
          <w:p w14:paraId="29CCF6D1"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1</w:t>
            </w:r>
          </w:p>
        </w:tc>
      </w:tr>
      <w:tr w:rsidR="00F42204" w:rsidRPr="005A40E0" w14:paraId="7A1A7D97" w14:textId="77777777" w:rsidTr="00F42204">
        <w:tc>
          <w:tcPr>
            <w:tcW w:w="3510" w:type="dxa"/>
          </w:tcPr>
          <w:p w14:paraId="31B0A917" w14:textId="08081897" w:rsidR="00BF4EF8" w:rsidRPr="005A40E0" w:rsidRDefault="00BF4EF8" w:rsidP="00BF4EF8">
            <w:pPr>
              <w:pStyle w:val="ListParagraph"/>
              <w:ind w:left="0"/>
              <w:rPr>
                <w:rFonts w:ascii="Times New Roman" w:hAnsi="Times New Roman" w:cs="Times New Roman"/>
                <w:sz w:val="24"/>
                <w:szCs w:val="24"/>
              </w:rPr>
            </w:pPr>
            <w:r w:rsidRPr="005A40E0">
              <w:rPr>
                <w:rFonts w:ascii="Times New Roman" w:hAnsi="Times New Roman" w:cs="Times New Roman"/>
                <w:sz w:val="24"/>
                <w:szCs w:val="24"/>
              </w:rPr>
              <w:t>Antibiotic-associated diarrhea</w:t>
            </w:r>
            <w:r w:rsidR="00F42204">
              <w:rPr>
                <w:rFonts w:ascii="Times New Roman" w:hAnsi="Times New Roman" w:cs="Times New Roman"/>
                <w:sz w:val="24"/>
                <w:szCs w:val="24"/>
              </w:rPr>
              <w:t>*</w:t>
            </w:r>
          </w:p>
        </w:tc>
        <w:tc>
          <w:tcPr>
            <w:tcW w:w="2520" w:type="dxa"/>
          </w:tcPr>
          <w:p w14:paraId="61539F0F"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7</w:t>
            </w:r>
          </w:p>
        </w:tc>
        <w:tc>
          <w:tcPr>
            <w:tcW w:w="3060" w:type="dxa"/>
          </w:tcPr>
          <w:p w14:paraId="6009FC22" w14:textId="77777777" w:rsidR="00BF4EF8" w:rsidRPr="005A40E0" w:rsidRDefault="00BF4EF8" w:rsidP="00BF4EF8">
            <w:pPr>
              <w:pStyle w:val="ListParagraph"/>
              <w:ind w:left="0"/>
              <w:jc w:val="center"/>
              <w:rPr>
                <w:rFonts w:ascii="Times New Roman" w:hAnsi="Times New Roman" w:cs="Times New Roman"/>
                <w:sz w:val="24"/>
                <w:szCs w:val="24"/>
              </w:rPr>
            </w:pPr>
            <w:r w:rsidRPr="005A40E0">
              <w:rPr>
                <w:rFonts w:ascii="Times New Roman" w:hAnsi="Times New Roman" w:cs="Times New Roman"/>
                <w:sz w:val="24"/>
                <w:szCs w:val="24"/>
              </w:rPr>
              <w:t>10</w:t>
            </w:r>
          </w:p>
        </w:tc>
      </w:tr>
      <w:tr w:rsidR="00F42204" w:rsidRPr="005A40E0" w14:paraId="7FA3A057" w14:textId="77777777" w:rsidTr="00F42204">
        <w:tc>
          <w:tcPr>
            <w:tcW w:w="3510" w:type="dxa"/>
            <w:shd w:val="clear" w:color="auto" w:fill="F2F2F2" w:themeFill="background1" w:themeFillShade="F2"/>
          </w:tcPr>
          <w:p w14:paraId="1AEDE1FC" w14:textId="10693E11" w:rsidR="00F42204" w:rsidRPr="005A40E0" w:rsidRDefault="00F42204" w:rsidP="00BF4EF8">
            <w:pPr>
              <w:pStyle w:val="ListParagraph"/>
              <w:ind w:left="0"/>
              <w:rPr>
                <w:rFonts w:ascii="Times New Roman" w:hAnsi="Times New Roman" w:cs="Times New Roman"/>
                <w:sz w:val="24"/>
                <w:szCs w:val="24"/>
              </w:rPr>
            </w:pPr>
            <w:r>
              <w:rPr>
                <w:rFonts w:ascii="Times New Roman" w:hAnsi="Times New Roman" w:cs="Times New Roman"/>
                <w:sz w:val="24"/>
                <w:szCs w:val="24"/>
              </w:rPr>
              <w:t>Other*:</w:t>
            </w:r>
          </w:p>
        </w:tc>
        <w:tc>
          <w:tcPr>
            <w:tcW w:w="2520" w:type="dxa"/>
            <w:shd w:val="clear" w:color="auto" w:fill="F2F2F2" w:themeFill="background1" w:themeFillShade="F2"/>
          </w:tcPr>
          <w:p w14:paraId="33034136" w14:textId="77777777" w:rsidR="00F42204" w:rsidRPr="005A40E0" w:rsidRDefault="00F42204" w:rsidP="00BF4EF8">
            <w:pPr>
              <w:pStyle w:val="ListParagraph"/>
              <w:ind w:left="0"/>
              <w:jc w:val="center"/>
              <w:rPr>
                <w:rFonts w:ascii="Times New Roman" w:hAnsi="Times New Roman" w:cs="Times New Roman"/>
                <w:sz w:val="24"/>
                <w:szCs w:val="24"/>
              </w:rPr>
            </w:pPr>
          </w:p>
        </w:tc>
        <w:tc>
          <w:tcPr>
            <w:tcW w:w="3060" w:type="dxa"/>
            <w:shd w:val="clear" w:color="auto" w:fill="F2F2F2" w:themeFill="background1" w:themeFillShade="F2"/>
          </w:tcPr>
          <w:p w14:paraId="1EE98518" w14:textId="77777777" w:rsidR="00F42204" w:rsidRPr="005A40E0" w:rsidRDefault="00F42204" w:rsidP="00BF4EF8">
            <w:pPr>
              <w:pStyle w:val="ListParagraph"/>
              <w:ind w:left="0"/>
              <w:jc w:val="center"/>
              <w:rPr>
                <w:rFonts w:ascii="Times New Roman" w:hAnsi="Times New Roman" w:cs="Times New Roman"/>
                <w:sz w:val="24"/>
                <w:szCs w:val="24"/>
              </w:rPr>
            </w:pPr>
          </w:p>
        </w:tc>
      </w:tr>
      <w:tr w:rsidR="00F42204" w:rsidRPr="005A40E0" w14:paraId="74328460" w14:textId="77777777" w:rsidTr="00F42204">
        <w:tc>
          <w:tcPr>
            <w:tcW w:w="3510" w:type="dxa"/>
          </w:tcPr>
          <w:p w14:paraId="1A082E5E" w14:textId="510D520E" w:rsidR="00F42204" w:rsidRDefault="00F42204" w:rsidP="00BF4E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Thrush</w:t>
            </w:r>
          </w:p>
        </w:tc>
        <w:tc>
          <w:tcPr>
            <w:tcW w:w="2520" w:type="dxa"/>
          </w:tcPr>
          <w:p w14:paraId="46E7889E" w14:textId="0711D49B" w:rsidR="00F42204" w:rsidRPr="005A40E0"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14:paraId="3B70DF47" w14:textId="5215F8E7" w:rsidR="00F42204" w:rsidRPr="005A40E0"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42204" w:rsidRPr="005A40E0" w14:paraId="4BAB3597" w14:textId="77777777" w:rsidTr="00F42204">
        <w:tc>
          <w:tcPr>
            <w:tcW w:w="3510" w:type="dxa"/>
            <w:shd w:val="clear" w:color="auto" w:fill="F2F2F2" w:themeFill="background1" w:themeFillShade="F2"/>
          </w:tcPr>
          <w:p w14:paraId="63D67ED9" w14:textId="0233B2B5" w:rsidR="00F42204" w:rsidRDefault="00F42204" w:rsidP="00BF4E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Nausea/vomiting</w:t>
            </w:r>
          </w:p>
        </w:tc>
        <w:tc>
          <w:tcPr>
            <w:tcW w:w="2520" w:type="dxa"/>
            <w:shd w:val="clear" w:color="auto" w:fill="F2F2F2" w:themeFill="background1" w:themeFillShade="F2"/>
          </w:tcPr>
          <w:p w14:paraId="36CD3C33" w14:textId="145B7CDC" w:rsidR="00F42204"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60" w:type="dxa"/>
            <w:shd w:val="clear" w:color="auto" w:fill="F2F2F2" w:themeFill="background1" w:themeFillShade="F2"/>
          </w:tcPr>
          <w:p w14:paraId="7A8B438B" w14:textId="14D1B2C2" w:rsidR="00F42204"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42204" w:rsidRPr="005A40E0" w14:paraId="3BD340F6" w14:textId="77777777" w:rsidTr="00F42204">
        <w:tc>
          <w:tcPr>
            <w:tcW w:w="3510" w:type="dxa"/>
            <w:tcBorders>
              <w:bottom w:val="single" w:sz="12" w:space="0" w:color="auto"/>
            </w:tcBorders>
          </w:tcPr>
          <w:p w14:paraId="09A51859" w14:textId="326FE380" w:rsidR="00F42204" w:rsidRDefault="00F42204" w:rsidP="00BF4E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Thrombocytopenia</w:t>
            </w:r>
          </w:p>
        </w:tc>
        <w:tc>
          <w:tcPr>
            <w:tcW w:w="2520" w:type="dxa"/>
            <w:tcBorders>
              <w:bottom w:val="single" w:sz="12" w:space="0" w:color="auto"/>
            </w:tcBorders>
          </w:tcPr>
          <w:p w14:paraId="1DA3B885" w14:textId="09777FF1" w:rsidR="00F42204"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bottom w:val="single" w:sz="12" w:space="0" w:color="auto"/>
            </w:tcBorders>
          </w:tcPr>
          <w:p w14:paraId="2CEA83E9" w14:textId="4873FD3E" w:rsidR="00F42204" w:rsidRDefault="00F42204" w:rsidP="00BF4E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F42204" w:rsidRPr="005A40E0" w14:paraId="7BBFBF29" w14:textId="77777777" w:rsidTr="00F42204">
        <w:tc>
          <w:tcPr>
            <w:tcW w:w="3510" w:type="dxa"/>
            <w:tcBorders>
              <w:top w:val="single" w:sz="12" w:space="0" w:color="auto"/>
            </w:tcBorders>
            <w:shd w:val="clear" w:color="auto" w:fill="F2F2F2" w:themeFill="background1" w:themeFillShade="F2"/>
          </w:tcPr>
          <w:p w14:paraId="37A5C184" w14:textId="77777777" w:rsidR="00BF4EF8" w:rsidRPr="005A40E0" w:rsidRDefault="00BF4EF8" w:rsidP="00BF4EF8">
            <w:pPr>
              <w:pStyle w:val="ListParagraph"/>
              <w:ind w:left="0"/>
              <w:rPr>
                <w:rFonts w:ascii="Times New Roman" w:hAnsi="Times New Roman" w:cs="Times New Roman"/>
                <w:b/>
                <w:sz w:val="24"/>
                <w:szCs w:val="24"/>
              </w:rPr>
            </w:pPr>
            <w:r>
              <w:rPr>
                <w:rFonts w:ascii="Times New Roman" w:hAnsi="Times New Roman" w:cs="Times New Roman"/>
                <w:b/>
                <w:sz w:val="24"/>
                <w:szCs w:val="24"/>
              </w:rPr>
              <w:t>Total</w:t>
            </w:r>
            <w:r w:rsidRPr="005A40E0">
              <w:rPr>
                <w:rFonts w:ascii="Times New Roman" w:hAnsi="Times New Roman" w:cs="Times New Roman"/>
                <w:b/>
                <w:sz w:val="24"/>
                <w:szCs w:val="24"/>
              </w:rPr>
              <w:t>:</w:t>
            </w:r>
          </w:p>
        </w:tc>
        <w:tc>
          <w:tcPr>
            <w:tcW w:w="2520" w:type="dxa"/>
            <w:tcBorders>
              <w:top w:val="single" w:sz="12" w:space="0" w:color="auto"/>
            </w:tcBorders>
            <w:shd w:val="clear" w:color="auto" w:fill="F2F2F2" w:themeFill="background1" w:themeFillShade="F2"/>
          </w:tcPr>
          <w:p w14:paraId="6CFDBC2B" w14:textId="77777777" w:rsidR="00BF4EF8" w:rsidRPr="005A40E0" w:rsidRDefault="00BF4EF8" w:rsidP="00BF4EF8">
            <w:pPr>
              <w:pStyle w:val="ListParagraph"/>
              <w:ind w:left="0"/>
              <w:jc w:val="center"/>
              <w:rPr>
                <w:rFonts w:ascii="Times New Roman" w:hAnsi="Times New Roman" w:cs="Times New Roman"/>
                <w:b/>
                <w:sz w:val="24"/>
                <w:szCs w:val="24"/>
              </w:rPr>
            </w:pPr>
            <w:r w:rsidRPr="005A40E0">
              <w:rPr>
                <w:rFonts w:ascii="Times New Roman" w:hAnsi="Times New Roman" w:cs="Times New Roman"/>
                <w:b/>
                <w:sz w:val="24"/>
                <w:szCs w:val="24"/>
              </w:rPr>
              <w:t>10</w:t>
            </w:r>
          </w:p>
        </w:tc>
        <w:tc>
          <w:tcPr>
            <w:tcW w:w="3060" w:type="dxa"/>
            <w:tcBorders>
              <w:top w:val="single" w:sz="12" w:space="0" w:color="auto"/>
            </w:tcBorders>
            <w:shd w:val="clear" w:color="auto" w:fill="F2F2F2" w:themeFill="background1" w:themeFillShade="F2"/>
          </w:tcPr>
          <w:p w14:paraId="5D28A7F1" w14:textId="77777777" w:rsidR="00BF4EF8" w:rsidRPr="005A40E0" w:rsidRDefault="00BF4EF8" w:rsidP="00BF4EF8">
            <w:pPr>
              <w:pStyle w:val="ListParagraph"/>
              <w:ind w:left="0"/>
              <w:jc w:val="center"/>
              <w:rPr>
                <w:rFonts w:ascii="Times New Roman" w:hAnsi="Times New Roman" w:cs="Times New Roman"/>
                <w:b/>
                <w:sz w:val="24"/>
                <w:szCs w:val="24"/>
              </w:rPr>
            </w:pPr>
            <w:r w:rsidRPr="005A40E0">
              <w:rPr>
                <w:rFonts w:ascii="Times New Roman" w:hAnsi="Times New Roman" w:cs="Times New Roman"/>
                <w:b/>
                <w:sz w:val="24"/>
                <w:szCs w:val="24"/>
              </w:rPr>
              <w:t>17</w:t>
            </w:r>
          </w:p>
        </w:tc>
      </w:tr>
      <w:tr w:rsidR="00F42204" w:rsidRPr="005A40E0" w14:paraId="6E6DFFD0" w14:textId="77777777" w:rsidTr="00F42204">
        <w:tc>
          <w:tcPr>
            <w:tcW w:w="3510" w:type="dxa"/>
            <w:shd w:val="clear" w:color="auto" w:fill="F2F2F2" w:themeFill="background1" w:themeFillShade="F2"/>
          </w:tcPr>
          <w:p w14:paraId="06157658" w14:textId="40DE2E22" w:rsidR="00BF4EF8" w:rsidRPr="005A40E0" w:rsidRDefault="00BF4EF8" w:rsidP="00BF4EF8">
            <w:pPr>
              <w:pStyle w:val="ListParagraph"/>
              <w:ind w:left="0"/>
              <w:rPr>
                <w:rFonts w:ascii="Times New Roman" w:hAnsi="Times New Roman" w:cs="Times New Roman"/>
                <w:b/>
                <w:sz w:val="24"/>
                <w:szCs w:val="24"/>
              </w:rPr>
            </w:pPr>
            <w:r>
              <w:rPr>
                <w:rFonts w:ascii="Times New Roman" w:hAnsi="Times New Roman" w:cs="Times New Roman"/>
                <w:b/>
                <w:sz w:val="24"/>
                <w:szCs w:val="24"/>
              </w:rPr>
              <w:t>Proportion of subjects:</w:t>
            </w:r>
          </w:p>
        </w:tc>
        <w:tc>
          <w:tcPr>
            <w:tcW w:w="2520" w:type="dxa"/>
            <w:shd w:val="clear" w:color="auto" w:fill="F2F2F2" w:themeFill="background1" w:themeFillShade="F2"/>
          </w:tcPr>
          <w:p w14:paraId="0069B78F" w14:textId="77777777" w:rsidR="00BF4EF8" w:rsidRPr="005A40E0" w:rsidRDefault="00BF4EF8" w:rsidP="00BF4EF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10/84 (</w:t>
            </w:r>
            <w:r w:rsidRPr="005A40E0">
              <w:rPr>
                <w:rFonts w:ascii="Times New Roman" w:hAnsi="Times New Roman" w:cs="Times New Roman"/>
                <w:b/>
                <w:sz w:val="24"/>
                <w:szCs w:val="24"/>
              </w:rPr>
              <w:t>11.9%</w:t>
            </w:r>
            <w:r>
              <w:rPr>
                <w:rFonts w:ascii="Times New Roman" w:hAnsi="Times New Roman" w:cs="Times New Roman"/>
                <w:b/>
                <w:sz w:val="24"/>
                <w:szCs w:val="24"/>
              </w:rPr>
              <w:t>)</w:t>
            </w:r>
          </w:p>
        </w:tc>
        <w:tc>
          <w:tcPr>
            <w:tcW w:w="3060" w:type="dxa"/>
            <w:shd w:val="clear" w:color="auto" w:fill="F2F2F2" w:themeFill="background1" w:themeFillShade="F2"/>
          </w:tcPr>
          <w:p w14:paraId="72B39527" w14:textId="77777777" w:rsidR="00BF4EF8" w:rsidRPr="005A40E0" w:rsidRDefault="00BF4EF8" w:rsidP="00BF4EF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17/104 (</w:t>
            </w:r>
            <w:r w:rsidRPr="005A40E0">
              <w:rPr>
                <w:rFonts w:ascii="Times New Roman" w:hAnsi="Times New Roman" w:cs="Times New Roman"/>
                <w:b/>
                <w:sz w:val="24"/>
                <w:szCs w:val="24"/>
              </w:rPr>
              <w:t>16.3%</w:t>
            </w:r>
            <w:r>
              <w:rPr>
                <w:rFonts w:ascii="Times New Roman" w:hAnsi="Times New Roman" w:cs="Times New Roman"/>
                <w:b/>
                <w:sz w:val="24"/>
                <w:szCs w:val="24"/>
              </w:rPr>
              <w:t>)</w:t>
            </w:r>
          </w:p>
        </w:tc>
      </w:tr>
    </w:tbl>
    <w:p w14:paraId="6F03654D" w14:textId="77777777" w:rsidR="00206B79" w:rsidRPr="00206B79" w:rsidRDefault="00206B79" w:rsidP="00206B79">
      <w:pPr>
        <w:spacing w:after="0" w:line="240" w:lineRule="auto"/>
        <w:rPr>
          <w:rFonts w:ascii="Times New Roman" w:hAnsi="Times New Roman" w:cs="Times New Roman"/>
          <w:shd w:val="clear" w:color="auto" w:fill="FFFFFF"/>
        </w:rPr>
      </w:pPr>
    </w:p>
    <w:p w14:paraId="424008C5" w14:textId="7DF329B1" w:rsidR="00F42204" w:rsidRPr="00206B79" w:rsidRDefault="00F42204" w:rsidP="00206B79">
      <w:pPr>
        <w:spacing w:line="480" w:lineRule="auto"/>
        <w:rPr>
          <w:rFonts w:ascii="Times New Roman" w:hAnsi="Times New Roman" w:cs="Times New Roman"/>
          <w:b/>
          <w:shd w:val="clear" w:color="auto" w:fill="FFFFFF"/>
        </w:rPr>
      </w:pPr>
      <w:r w:rsidRPr="00206B79">
        <w:rPr>
          <w:rFonts w:ascii="Times New Roman" w:hAnsi="Times New Roman" w:cs="Times New Roman"/>
          <w:shd w:val="clear" w:color="auto" w:fill="FFFFFF"/>
        </w:rPr>
        <w:t xml:space="preserve">*Diarrhea and Other reactions were required to be specifically attributed to the antibiotic in the provider’s documentation. </w:t>
      </w:r>
    </w:p>
    <w:p w14:paraId="4B143383" w14:textId="77777777" w:rsidR="00F42204" w:rsidRDefault="00F4220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2F41B83B" w14:textId="7CD67A06" w:rsidR="0005335E" w:rsidRPr="0005335E" w:rsidRDefault="0005335E" w:rsidP="00BF4EF8">
      <w:pPr>
        <w:spacing w:after="0" w:line="480" w:lineRule="auto"/>
        <w:jc w:val="center"/>
        <w:rPr>
          <w:rFonts w:ascii="Times New Roman" w:hAnsi="Times New Roman" w:cs="Times New Roman"/>
          <w:b/>
          <w:sz w:val="24"/>
          <w:szCs w:val="24"/>
          <w:shd w:val="clear" w:color="auto" w:fill="FFFFFF"/>
        </w:rPr>
      </w:pPr>
      <w:r w:rsidRPr="0005335E">
        <w:rPr>
          <w:rFonts w:ascii="Times New Roman" w:hAnsi="Times New Roman" w:cs="Times New Roman"/>
          <w:b/>
          <w:sz w:val="24"/>
          <w:szCs w:val="24"/>
          <w:shd w:val="clear" w:color="auto" w:fill="FFFFFF"/>
        </w:rPr>
        <w:lastRenderedPageBreak/>
        <w:t>Re</w:t>
      </w:r>
      <w:r>
        <w:rPr>
          <w:rFonts w:ascii="Times New Roman" w:hAnsi="Times New Roman" w:cs="Times New Roman"/>
          <w:b/>
          <w:sz w:val="24"/>
          <w:szCs w:val="24"/>
          <w:shd w:val="clear" w:color="auto" w:fill="FFFFFF"/>
        </w:rPr>
        <w:t>f</w:t>
      </w:r>
      <w:r w:rsidRPr="0005335E">
        <w:rPr>
          <w:rFonts w:ascii="Times New Roman" w:hAnsi="Times New Roman" w:cs="Times New Roman"/>
          <w:b/>
          <w:sz w:val="24"/>
          <w:szCs w:val="24"/>
          <w:shd w:val="clear" w:color="auto" w:fill="FFFFFF"/>
        </w:rPr>
        <w:t>eren</w:t>
      </w:r>
      <w:r>
        <w:rPr>
          <w:rFonts w:ascii="Times New Roman" w:hAnsi="Times New Roman" w:cs="Times New Roman"/>
          <w:b/>
          <w:sz w:val="24"/>
          <w:szCs w:val="24"/>
          <w:shd w:val="clear" w:color="auto" w:fill="FFFFFF"/>
        </w:rPr>
        <w:t>c</w:t>
      </w:r>
      <w:r w:rsidRPr="0005335E">
        <w:rPr>
          <w:rFonts w:ascii="Times New Roman" w:hAnsi="Times New Roman" w:cs="Times New Roman"/>
          <w:b/>
          <w:sz w:val="24"/>
          <w:szCs w:val="24"/>
          <w:shd w:val="clear" w:color="auto" w:fill="FFFFFF"/>
        </w:rPr>
        <w:t>es</w:t>
      </w:r>
    </w:p>
    <w:p w14:paraId="522FF6C8" w14:textId="7321B6E9" w:rsidR="009F087D" w:rsidRDefault="0005335E" w:rsidP="00BF4EF8">
      <w:pPr>
        <w:spacing w:after="0" w:line="480" w:lineRule="auto"/>
        <w:rPr>
          <w:rFonts w:ascii="Times New Roman" w:hAnsi="Times New Roman" w:cs="Times New Roman"/>
          <w:sz w:val="24"/>
          <w:szCs w:val="24"/>
          <w:shd w:val="clear" w:color="auto" w:fill="FFFFFF"/>
        </w:rPr>
      </w:pPr>
      <w:r w:rsidRPr="0005335E">
        <w:rPr>
          <w:rFonts w:ascii="Times New Roman" w:hAnsi="Times New Roman" w:cs="Times New Roman"/>
          <w:sz w:val="24"/>
          <w:szCs w:val="24"/>
          <w:shd w:val="clear" w:color="auto" w:fill="FFFFFF"/>
          <w:vertAlign w:val="superscript"/>
        </w:rPr>
        <w:t>1</w:t>
      </w:r>
      <w:r w:rsidR="00F82F95">
        <w:rPr>
          <w:rFonts w:ascii="Times New Roman" w:hAnsi="Times New Roman" w:cs="Times New Roman"/>
          <w:sz w:val="24"/>
          <w:szCs w:val="24"/>
          <w:shd w:val="clear" w:color="auto" w:fill="FFFFFF"/>
        </w:rPr>
        <w:t>Centers for Disease Control and Prevention</w:t>
      </w:r>
      <w:r>
        <w:rPr>
          <w:rFonts w:ascii="Times New Roman" w:hAnsi="Times New Roman" w:cs="Times New Roman"/>
          <w:sz w:val="24"/>
          <w:szCs w:val="24"/>
          <w:shd w:val="clear" w:color="auto" w:fill="FFFFFF"/>
        </w:rPr>
        <w:t>. The Core E</w:t>
      </w:r>
      <w:r w:rsidR="00F82F95">
        <w:rPr>
          <w:rFonts w:ascii="Times New Roman" w:hAnsi="Times New Roman" w:cs="Times New Roman"/>
          <w:sz w:val="24"/>
          <w:szCs w:val="24"/>
          <w:shd w:val="clear" w:color="auto" w:fill="FFFFFF"/>
        </w:rPr>
        <w:t>lements of</w:t>
      </w:r>
      <w:r>
        <w:rPr>
          <w:rFonts w:ascii="Times New Roman" w:hAnsi="Times New Roman" w:cs="Times New Roman"/>
          <w:sz w:val="24"/>
          <w:szCs w:val="24"/>
          <w:shd w:val="clear" w:color="auto" w:fill="FFFFFF"/>
        </w:rPr>
        <w:t xml:space="preserve"> Hospital Antibiotic</w:t>
      </w:r>
    </w:p>
    <w:p w14:paraId="10215A62" w14:textId="151B2615" w:rsidR="00F82F95" w:rsidRDefault="0005335E" w:rsidP="00BF4EF8">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F82F95">
        <w:rPr>
          <w:rFonts w:ascii="Times New Roman" w:hAnsi="Times New Roman" w:cs="Times New Roman"/>
          <w:sz w:val="24"/>
          <w:szCs w:val="24"/>
          <w:shd w:val="clear" w:color="auto" w:fill="FFFFFF"/>
        </w:rPr>
        <w:t xml:space="preserve">tewardship </w:t>
      </w:r>
      <w:r>
        <w:rPr>
          <w:rFonts w:ascii="Times New Roman" w:hAnsi="Times New Roman" w:cs="Times New Roman"/>
          <w:sz w:val="24"/>
          <w:szCs w:val="24"/>
          <w:shd w:val="clear" w:color="auto" w:fill="FFFFFF"/>
        </w:rPr>
        <w:t>P</w:t>
      </w:r>
      <w:r w:rsidR="00F82F95">
        <w:rPr>
          <w:rFonts w:ascii="Times New Roman" w:hAnsi="Times New Roman" w:cs="Times New Roman"/>
          <w:sz w:val="24"/>
          <w:szCs w:val="24"/>
          <w:shd w:val="clear" w:color="auto" w:fill="FFFFFF"/>
        </w:rPr>
        <w:t>rograms. Atlanta, GA: U.S. Department of</w:t>
      </w:r>
      <w:r>
        <w:rPr>
          <w:rFonts w:ascii="Times New Roman" w:hAnsi="Times New Roman" w:cs="Times New Roman"/>
          <w:sz w:val="24"/>
          <w:szCs w:val="24"/>
          <w:shd w:val="clear" w:color="auto" w:fill="FFFFFF"/>
        </w:rPr>
        <w:t xml:space="preserve"> Health and Human Services, CDC;</w:t>
      </w:r>
      <w:r w:rsidR="00F82F95">
        <w:rPr>
          <w:rFonts w:ascii="Times New Roman" w:hAnsi="Times New Roman" w:cs="Times New Roman"/>
          <w:sz w:val="24"/>
          <w:szCs w:val="24"/>
          <w:shd w:val="clear" w:color="auto" w:fill="FFFFFF"/>
        </w:rPr>
        <w:t xml:space="preserve"> 2014. Available </w:t>
      </w:r>
      <w:r>
        <w:rPr>
          <w:rFonts w:ascii="Times New Roman" w:hAnsi="Times New Roman" w:cs="Times New Roman"/>
          <w:sz w:val="24"/>
          <w:szCs w:val="24"/>
          <w:shd w:val="clear" w:color="auto" w:fill="FFFFFF"/>
        </w:rPr>
        <w:t>at</w:t>
      </w:r>
      <w:r w:rsidR="00F82F95">
        <w:rPr>
          <w:rFonts w:ascii="Times New Roman" w:hAnsi="Times New Roman" w:cs="Times New Roman"/>
          <w:sz w:val="24"/>
          <w:szCs w:val="24"/>
          <w:shd w:val="clear" w:color="auto" w:fill="FFFFFF"/>
        </w:rPr>
        <w:t xml:space="preserve"> </w:t>
      </w:r>
      <w:r w:rsidR="00F82F95" w:rsidRPr="0005335E">
        <w:rPr>
          <w:rFonts w:ascii="Times New Roman" w:hAnsi="Times New Roman" w:cs="Times New Roman"/>
          <w:sz w:val="24"/>
          <w:szCs w:val="24"/>
          <w:shd w:val="clear" w:color="auto" w:fill="FFFFFF"/>
        </w:rPr>
        <w:t>https://www.cdc.gov/antibiotic-use/healthcare/pdfs/core-elements.pdf</w:t>
      </w:r>
    </w:p>
    <w:p w14:paraId="4D90BBC9" w14:textId="6F7310A3" w:rsidR="009F087D" w:rsidRDefault="0005335E" w:rsidP="00BF4EF8">
      <w:pPr>
        <w:spacing w:after="0" w:line="480" w:lineRule="auto"/>
        <w:rPr>
          <w:rFonts w:ascii="Times New Roman" w:hAnsi="Times New Roman" w:cs="Times New Roman"/>
          <w:sz w:val="24"/>
          <w:szCs w:val="24"/>
          <w:shd w:val="clear" w:color="auto" w:fill="FFFFFF"/>
        </w:rPr>
      </w:pPr>
      <w:r w:rsidRPr="0005335E">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The Joint Commission. Approved: New antimicrobial stewardship standard. </w:t>
      </w:r>
      <w:proofErr w:type="spellStart"/>
      <w:r>
        <w:rPr>
          <w:rFonts w:ascii="Times New Roman" w:hAnsi="Times New Roman" w:cs="Times New Roman"/>
          <w:i/>
          <w:sz w:val="24"/>
          <w:szCs w:val="24"/>
          <w:shd w:val="clear" w:color="auto" w:fill="FFFFFF"/>
        </w:rPr>
        <w:t>Jt</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Comm</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Perspect</w:t>
      </w:r>
      <w:proofErr w:type="spellEnd"/>
    </w:p>
    <w:p w14:paraId="2851FDD1" w14:textId="2C523121" w:rsidR="0005335E" w:rsidRPr="0005335E" w:rsidRDefault="0005335E" w:rsidP="00BF4EF8">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2016</w:t>
      </w:r>
      <w:proofErr w:type="gramStart"/>
      <w:r>
        <w:rPr>
          <w:rFonts w:ascii="Times New Roman" w:hAnsi="Times New Roman" w:cs="Times New Roman"/>
          <w:sz w:val="24"/>
          <w:szCs w:val="24"/>
          <w:shd w:val="clear" w:color="auto" w:fill="FFFFFF"/>
        </w:rPr>
        <w:t>;</w:t>
      </w:r>
      <w:r w:rsidRPr="0005335E">
        <w:rPr>
          <w:rFonts w:ascii="Times New Roman" w:hAnsi="Times New Roman" w:cs="Times New Roman"/>
          <w:sz w:val="24"/>
          <w:szCs w:val="24"/>
          <w:shd w:val="clear" w:color="auto" w:fill="FFFFFF"/>
        </w:rPr>
        <w:t>36</w:t>
      </w:r>
      <w:r>
        <w:rPr>
          <w:rFonts w:ascii="Times New Roman" w:hAnsi="Times New Roman" w:cs="Times New Roman"/>
          <w:sz w:val="24"/>
          <w:szCs w:val="24"/>
          <w:shd w:val="clear" w:color="auto" w:fill="FFFFFF"/>
        </w:rPr>
        <w:t>:1</w:t>
      </w:r>
      <w:proofErr w:type="gramEnd"/>
      <w:r>
        <w:rPr>
          <w:rFonts w:ascii="Times New Roman" w:hAnsi="Times New Roman" w:cs="Times New Roman"/>
          <w:sz w:val="24"/>
          <w:szCs w:val="24"/>
          <w:shd w:val="clear" w:color="auto" w:fill="FFFFFF"/>
        </w:rPr>
        <w:t>-8.</w:t>
      </w:r>
    </w:p>
    <w:p w14:paraId="534A3BC8" w14:textId="192E9CA7" w:rsidR="0005335E" w:rsidRDefault="0005335E" w:rsidP="00BF4EF8">
      <w:pPr>
        <w:spacing w:after="0" w:line="480" w:lineRule="auto"/>
        <w:jc w:val="center"/>
        <w:rPr>
          <w:rFonts w:ascii="Times New Roman" w:hAnsi="Times New Roman" w:cs="Times New Roman"/>
          <w:sz w:val="24"/>
          <w:szCs w:val="24"/>
          <w:shd w:val="clear" w:color="auto" w:fill="FFFFFF"/>
        </w:rPr>
      </w:pPr>
      <w:bookmarkStart w:id="0" w:name="_GoBack"/>
      <w:bookmarkEnd w:id="0"/>
    </w:p>
    <w:sectPr w:rsidR="0005335E" w:rsidSect="008D6D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1181" w14:textId="77777777" w:rsidR="002D2576" w:rsidRDefault="002D2576" w:rsidP="00A814D4">
      <w:pPr>
        <w:spacing w:after="0" w:line="240" w:lineRule="auto"/>
      </w:pPr>
      <w:r>
        <w:separator/>
      </w:r>
    </w:p>
  </w:endnote>
  <w:endnote w:type="continuationSeparator" w:id="0">
    <w:p w14:paraId="441FD302" w14:textId="77777777" w:rsidR="002D2576" w:rsidRDefault="002D2576" w:rsidP="00A8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59070"/>
      <w:docPartObj>
        <w:docPartGallery w:val="Page Numbers (Bottom of Page)"/>
        <w:docPartUnique/>
      </w:docPartObj>
    </w:sdtPr>
    <w:sdtEndPr>
      <w:rPr>
        <w:noProof/>
      </w:rPr>
    </w:sdtEndPr>
    <w:sdtContent>
      <w:p w14:paraId="74694A97" w14:textId="77777777" w:rsidR="00A814D4" w:rsidRDefault="00A814D4">
        <w:pPr>
          <w:pStyle w:val="Footer"/>
          <w:jc w:val="right"/>
        </w:pPr>
        <w:r>
          <w:fldChar w:fldCharType="begin"/>
        </w:r>
        <w:r>
          <w:instrText xml:space="preserve"> PAGE   \* MERGEFORMAT </w:instrText>
        </w:r>
        <w:r>
          <w:fldChar w:fldCharType="separate"/>
        </w:r>
        <w:r w:rsidR="00667CF7">
          <w:rPr>
            <w:noProof/>
          </w:rPr>
          <w:t>7</w:t>
        </w:r>
        <w:r>
          <w:rPr>
            <w:noProof/>
          </w:rPr>
          <w:fldChar w:fldCharType="end"/>
        </w:r>
      </w:p>
    </w:sdtContent>
  </w:sdt>
  <w:p w14:paraId="065F7A5F" w14:textId="77777777" w:rsidR="00A814D4" w:rsidRDefault="00A8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2D05" w14:textId="77777777" w:rsidR="002D2576" w:rsidRDefault="002D2576" w:rsidP="00A814D4">
      <w:pPr>
        <w:spacing w:after="0" w:line="240" w:lineRule="auto"/>
      </w:pPr>
      <w:r>
        <w:separator/>
      </w:r>
    </w:p>
  </w:footnote>
  <w:footnote w:type="continuationSeparator" w:id="0">
    <w:p w14:paraId="1844AEB6" w14:textId="77777777" w:rsidR="002D2576" w:rsidRDefault="002D2576" w:rsidP="00A8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671A"/>
    <w:multiLevelType w:val="hybridMultilevel"/>
    <w:tmpl w:val="4022C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3"/>
    <w:rsid w:val="0002565F"/>
    <w:rsid w:val="0005335E"/>
    <w:rsid w:val="00196BF7"/>
    <w:rsid w:val="001C5C8D"/>
    <w:rsid w:val="001E27C5"/>
    <w:rsid w:val="00206B79"/>
    <w:rsid w:val="00232B07"/>
    <w:rsid w:val="002D2576"/>
    <w:rsid w:val="00386D72"/>
    <w:rsid w:val="003B033A"/>
    <w:rsid w:val="003B12E3"/>
    <w:rsid w:val="004223F6"/>
    <w:rsid w:val="00452EAD"/>
    <w:rsid w:val="00544A42"/>
    <w:rsid w:val="00602610"/>
    <w:rsid w:val="0065252D"/>
    <w:rsid w:val="00664A97"/>
    <w:rsid w:val="00667CF7"/>
    <w:rsid w:val="006803AE"/>
    <w:rsid w:val="00744FDB"/>
    <w:rsid w:val="007707A3"/>
    <w:rsid w:val="007B2814"/>
    <w:rsid w:val="00823AD9"/>
    <w:rsid w:val="008B6D03"/>
    <w:rsid w:val="008D6DB4"/>
    <w:rsid w:val="009261AF"/>
    <w:rsid w:val="009817A3"/>
    <w:rsid w:val="009A7B43"/>
    <w:rsid w:val="009F087D"/>
    <w:rsid w:val="00A3464C"/>
    <w:rsid w:val="00A814D4"/>
    <w:rsid w:val="00B013D1"/>
    <w:rsid w:val="00B16AF0"/>
    <w:rsid w:val="00B33E24"/>
    <w:rsid w:val="00B364EF"/>
    <w:rsid w:val="00B569A1"/>
    <w:rsid w:val="00BA0EE7"/>
    <w:rsid w:val="00BF4EF8"/>
    <w:rsid w:val="00C22C2F"/>
    <w:rsid w:val="00C83C05"/>
    <w:rsid w:val="00CE0987"/>
    <w:rsid w:val="00D136CD"/>
    <w:rsid w:val="00D367B7"/>
    <w:rsid w:val="00E24E9F"/>
    <w:rsid w:val="00E74AA7"/>
    <w:rsid w:val="00EC358D"/>
    <w:rsid w:val="00F42204"/>
    <w:rsid w:val="00F82F95"/>
    <w:rsid w:val="00FC1198"/>
    <w:rsid w:val="00FD552F"/>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3C9A"/>
  <w15:chartTrackingRefBased/>
  <w15:docId w15:val="{C0F57546-D446-468A-928A-39D134D3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4D4"/>
    <w:rPr>
      <w:sz w:val="16"/>
      <w:szCs w:val="16"/>
    </w:rPr>
  </w:style>
  <w:style w:type="paragraph" w:styleId="CommentText">
    <w:name w:val="annotation text"/>
    <w:basedOn w:val="Normal"/>
    <w:link w:val="CommentTextChar"/>
    <w:uiPriority w:val="99"/>
    <w:semiHidden/>
    <w:unhideWhenUsed/>
    <w:rsid w:val="00A814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814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D4"/>
    <w:rPr>
      <w:rFonts w:ascii="Segoe UI" w:hAnsi="Segoe UI" w:cs="Segoe UI"/>
      <w:sz w:val="18"/>
      <w:szCs w:val="18"/>
    </w:rPr>
  </w:style>
  <w:style w:type="paragraph" w:styleId="Header">
    <w:name w:val="header"/>
    <w:basedOn w:val="Normal"/>
    <w:link w:val="HeaderChar"/>
    <w:uiPriority w:val="99"/>
    <w:unhideWhenUsed/>
    <w:rsid w:val="00A8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D4"/>
  </w:style>
  <w:style w:type="paragraph" w:styleId="Footer">
    <w:name w:val="footer"/>
    <w:basedOn w:val="Normal"/>
    <w:link w:val="FooterChar"/>
    <w:uiPriority w:val="99"/>
    <w:unhideWhenUsed/>
    <w:rsid w:val="00A8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D4"/>
  </w:style>
  <w:style w:type="paragraph" w:styleId="NormalWeb">
    <w:name w:val="Normal (Web)"/>
    <w:basedOn w:val="Normal"/>
    <w:uiPriority w:val="99"/>
    <w:semiHidden/>
    <w:unhideWhenUsed/>
    <w:rsid w:val="008D6D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DB4"/>
    <w:pPr>
      <w:ind w:left="720"/>
      <w:contextualSpacing/>
    </w:pPr>
  </w:style>
  <w:style w:type="character" w:styleId="Hyperlink">
    <w:name w:val="Hyperlink"/>
    <w:basedOn w:val="DefaultParagraphFont"/>
    <w:uiPriority w:val="99"/>
    <w:unhideWhenUsed/>
    <w:rsid w:val="00452EAD"/>
    <w:rPr>
      <w:color w:val="0000FF"/>
      <w:u w:val="single"/>
    </w:rPr>
  </w:style>
  <w:style w:type="table" w:styleId="TableGrid">
    <w:name w:val="Table Grid"/>
    <w:basedOn w:val="TableNormal"/>
    <w:uiPriority w:val="39"/>
    <w:rsid w:val="00BF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4926">
      <w:bodyDiv w:val="1"/>
      <w:marLeft w:val="0"/>
      <w:marRight w:val="0"/>
      <w:marTop w:val="0"/>
      <w:marBottom w:val="0"/>
      <w:divBdr>
        <w:top w:val="none" w:sz="0" w:space="0" w:color="auto"/>
        <w:left w:val="none" w:sz="0" w:space="0" w:color="auto"/>
        <w:bottom w:val="none" w:sz="0" w:space="0" w:color="auto"/>
        <w:right w:val="none" w:sz="0" w:space="0" w:color="auto"/>
      </w:divBdr>
    </w:div>
    <w:div w:id="16212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nna%20Wolfe\Documents\MPH\12-%20Internship\Data\Data%20Collection%20-%20Calculations%20+Sta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8439569078825"/>
          <c:y val="7.9931262663828273E-2"/>
          <c:w val="0.61637144323573223"/>
          <c:h val="0.77302965793770895"/>
        </c:manualLayout>
      </c:layout>
      <c:barChart>
        <c:barDir val="col"/>
        <c:grouping val="clustered"/>
        <c:varyColors val="0"/>
        <c:ser>
          <c:idx val="0"/>
          <c:order val="0"/>
          <c:tx>
            <c:v>Any De-Escalation</c:v>
          </c:tx>
          <c:spPr>
            <a:solidFill>
              <a:schemeClr val="accent1">
                <a:lumMod val="40000"/>
                <a:lumOff val="60000"/>
              </a:schemeClr>
            </a:solidFill>
            <a:ln>
              <a:noFill/>
            </a:ln>
            <a:effectLst/>
          </c:spPr>
          <c:invertIfNegative val="0"/>
          <c:trendline>
            <c:spPr>
              <a:ln w="19050" cap="rnd">
                <a:solidFill>
                  <a:schemeClr val="tx2">
                    <a:lumMod val="40000"/>
                    <a:lumOff val="60000"/>
                  </a:schemeClr>
                </a:solidFill>
                <a:prstDash val="sysDot"/>
              </a:ln>
              <a:effectLst/>
            </c:spPr>
            <c:trendlineType val="linear"/>
            <c:dispRSqr val="0"/>
            <c:dispEq val="0"/>
          </c:trendline>
          <c:cat>
            <c:strRef>
              <c:f>'Response Waning'!$O$5:$O$16</c:f>
              <c:strCache>
                <c:ptCount val="12"/>
                <c:pt idx="0">
                  <c:v>Jan.</c:v>
                </c:pt>
                <c:pt idx="1">
                  <c:v>Feb.</c:v>
                </c:pt>
                <c:pt idx="2">
                  <c:v>Mar.</c:v>
                </c:pt>
                <c:pt idx="3">
                  <c:v>Apr.</c:v>
                </c:pt>
                <c:pt idx="4">
                  <c:v>May</c:v>
                </c:pt>
                <c:pt idx="5">
                  <c:v>June</c:v>
                </c:pt>
                <c:pt idx="6">
                  <c:v>July</c:v>
                </c:pt>
                <c:pt idx="7">
                  <c:v>Aug.</c:v>
                </c:pt>
                <c:pt idx="8">
                  <c:v>Sep.</c:v>
                </c:pt>
                <c:pt idx="9">
                  <c:v>Oct.</c:v>
                </c:pt>
                <c:pt idx="10">
                  <c:v>Nov.</c:v>
                </c:pt>
                <c:pt idx="11">
                  <c:v>Dec.</c:v>
                </c:pt>
              </c:strCache>
            </c:strRef>
          </c:cat>
          <c:val>
            <c:numRef>
              <c:f>'Response Waning'!$P$5:$P$16</c:f>
              <c:numCache>
                <c:formatCode>0.0%</c:formatCode>
                <c:ptCount val="12"/>
                <c:pt idx="0">
                  <c:v>0.55555555555555558</c:v>
                </c:pt>
                <c:pt idx="1">
                  <c:v>0.375</c:v>
                </c:pt>
                <c:pt idx="2">
                  <c:v>0.8571428571428571</c:v>
                </c:pt>
                <c:pt idx="3">
                  <c:v>0.4</c:v>
                </c:pt>
                <c:pt idx="4">
                  <c:v>0.625</c:v>
                </c:pt>
                <c:pt idx="5">
                  <c:v>0.22222222222222221</c:v>
                </c:pt>
                <c:pt idx="6">
                  <c:v>0.66666666666666663</c:v>
                </c:pt>
                <c:pt idx="7">
                  <c:v>0.66666666666666663</c:v>
                </c:pt>
                <c:pt idx="8">
                  <c:v>0.625</c:v>
                </c:pt>
                <c:pt idx="9">
                  <c:v>0.375</c:v>
                </c:pt>
                <c:pt idx="10">
                  <c:v>0.7142857142857143</c:v>
                </c:pt>
                <c:pt idx="11">
                  <c:v>0.5714285714285714</c:v>
                </c:pt>
              </c:numCache>
            </c:numRef>
          </c:val>
        </c:ser>
        <c:ser>
          <c:idx val="1"/>
          <c:order val="1"/>
          <c:tx>
            <c:v>Optimal De-Escalation</c:v>
          </c:tx>
          <c:spPr>
            <a:solidFill>
              <a:schemeClr val="tx2">
                <a:lumMod val="75000"/>
              </a:schemeClr>
            </a:solidFill>
            <a:ln>
              <a:noFill/>
            </a:ln>
            <a:effectLst/>
          </c:spPr>
          <c:invertIfNegative val="0"/>
          <c:trendline>
            <c:spPr>
              <a:ln w="19050" cap="rnd">
                <a:solidFill>
                  <a:schemeClr val="tx2">
                    <a:lumMod val="75000"/>
                  </a:schemeClr>
                </a:solidFill>
                <a:prstDash val="sysDot"/>
              </a:ln>
              <a:effectLst/>
            </c:spPr>
            <c:trendlineType val="linear"/>
            <c:dispRSqr val="0"/>
            <c:dispEq val="0"/>
          </c:trendline>
          <c:val>
            <c:numRef>
              <c:f>'Response Waning'!$Q$5:$Q$16</c:f>
              <c:numCache>
                <c:formatCode>0.0%</c:formatCode>
                <c:ptCount val="12"/>
                <c:pt idx="0">
                  <c:v>0.33333333333333331</c:v>
                </c:pt>
                <c:pt idx="1">
                  <c:v>0.125</c:v>
                </c:pt>
                <c:pt idx="2">
                  <c:v>0.5714285714285714</c:v>
                </c:pt>
                <c:pt idx="3">
                  <c:v>0.2</c:v>
                </c:pt>
                <c:pt idx="4">
                  <c:v>0.5</c:v>
                </c:pt>
                <c:pt idx="5">
                  <c:v>0.1111111111111111</c:v>
                </c:pt>
                <c:pt idx="6">
                  <c:v>0.33333333333333331</c:v>
                </c:pt>
                <c:pt idx="7">
                  <c:v>0.44444444444444442</c:v>
                </c:pt>
                <c:pt idx="8">
                  <c:v>0.25</c:v>
                </c:pt>
                <c:pt idx="9">
                  <c:v>0.25</c:v>
                </c:pt>
                <c:pt idx="10">
                  <c:v>0.42857142857142855</c:v>
                </c:pt>
                <c:pt idx="11">
                  <c:v>0.2857142857142857</c:v>
                </c:pt>
              </c:numCache>
            </c:numRef>
          </c:val>
        </c:ser>
        <c:dLbls>
          <c:showLegendKey val="0"/>
          <c:showVal val="0"/>
          <c:showCatName val="0"/>
          <c:showSerName val="0"/>
          <c:showPercent val="0"/>
          <c:showBubbleSize val="0"/>
        </c:dLbls>
        <c:gapWidth val="219"/>
        <c:overlap val="-27"/>
        <c:axId val="533116296"/>
        <c:axId val="533118648"/>
      </c:barChart>
      <c:catAx>
        <c:axId val="53311629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Month</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118648"/>
        <c:crosses val="autoZero"/>
        <c:auto val="1"/>
        <c:lblAlgn val="ctr"/>
        <c:lblOffset val="100"/>
        <c:noMultiLvlLbl val="0"/>
      </c:catAx>
      <c:valAx>
        <c:axId val="533118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Proportion of De-Escalation</a:t>
                </a:r>
              </a:p>
            </c:rich>
          </c:tx>
          <c:layout>
            <c:manualLayout>
              <c:xMode val="edge"/>
              <c:yMode val="edge"/>
              <c:x val="1.8720757731370538E-2"/>
              <c:y val="0.153266841644794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116296"/>
        <c:crosses val="autoZero"/>
        <c:crossBetween val="between"/>
      </c:valAx>
      <c:spPr>
        <a:noFill/>
        <a:ln>
          <a:noFill/>
        </a:ln>
        <a:effectLst/>
      </c:spPr>
    </c:plotArea>
    <c:legend>
      <c:legendPos val="r"/>
      <c:legendEntry>
        <c:idx val="2"/>
        <c:delete val="1"/>
      </c:legendEntry>
      <c:legendEntry>
        <c:idx val="3"/>
        <c:delete val="1"/>
      </c:legendEntry>
      <c:layout>
        <c:manualLayout>
          <c:xMode val="edge"/>
          <c:yMode val="edge"/>
          <c:x val="0.76051375136136601"/>
          <c:y val="0.37945984764933699"/>
          <c:w val="0.22535448834661434"/>
          <c:h val="0.142064520415960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Wolfe</dc:creator>
  <cp:keywords/>
  <dc:description/>
  <cp:lastModifiedBy>Jenna Wolfe</cp:lastModifiedBy>
  <cp:revision>2</cp:revision>
  <dcterms:created xsi:type="dcterms:W3CDTF">2019-06-06T13:26:00Z</dcterms:created>
  <dcterms:modified xsi:type="dcterms:W3CDTF">2019-06-06T13:26:00Z</dcterms:modified>
</cp:coreProperties>
</file>