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A642" w14:textId="18E34D46" w:rsidR="00AE3A81" w:rsidRPr="0093520E" w:rsidRDefault="00AE3A81" w:rsidP="00AE3A81">
      <w:pPr>
        <w:spacing w:line="480" w:lineRule="auto"/>
        <w:rPr>
          <w:rFonts w:ascii="Times New Roman" w:hAnsi="Times New Roman" w:cs="Times New Roman"/>
          <w:sz w:val="24"/>
        </w:rPr>
      </w:pPr>
      <w:r w:rsidRPr="0093520E">
        <w:rPr>
          <w:rFonts w:ascii="Times New Roman" w:hAnsi="Times New Roman" w:cs="Times New Roman"/>
          <w:i/>
          <w:sz w:val="24"/>
        </w:rPr>
        <w:t xml:space="preserve">Supplemental Table </w:t>
      </w:r>
      <w:r w:rsidR="00713E94">
        <w:rPr>
          <w:rFonts w:ascii="Times New Roman" w:hAnsi="Times New Roman" w:cs="Times New Roman"/>
          <w:i/>
          <w:sz w:val="24"/>
        </w:rPr>
        <w:t>A</w:t>
      </w:r>
      <w:r w:rsidRPr="0093520E">
        <w:rPr>
          <w:rFonts w:ascii="Times New Roman" w:hAnsi="Times New Roman" w:cs="Times New Roman"/>
          <w:i/>
          <w:sz w:val="24"/>
        </w:rPr>
        <w:t>.</w:t>
      </w:r>
      <w:r w:rsidRPr="00935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Implementation of Core CDI Prevention Strategies among </w:t>
      </w:r>
      <w:r w:rsidR="002C7A91">
        <w:rPr>
          <w:rFonts w:ascii="Times New Roman" w:hAnsi="Times New Roman" w:cs="Times New Roman"/>
          <w:sz w:val="24"/>
        </w:rPr>
        <w:t xml:space="preserve">Orange </w:t>
      </w:r>
      <w:r w:rsidR="00333B0C">
        <w:rPr>
          <w:rFonts w:ascii="Times New Roman" w:hAnsi="Times New Roman" w:cs="Times New Roman"/>
          <w:sz w:val="24"/>
        </w:rPr>
        <w:t xml:space="preserve">County </w:t>
      </w:r>
      <w:r>
        <w:rPr>
          <w:rFonts w:ascii="Times New Roman" w:hAnsi="Times New Roman" w:cs="Times New Roman"/>
          <w:sz w:val="24"/>
        </w:rPr>
        <w:t>Participant Short-Stay Acute Care Hospitals at Baseline and Follow-Up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800"/>
        <w:gridCol w:w="1800"/>
      </w:tblGrid>
      <w:tr w:rsidR="00AE3A81" w:rsidRPr="0093520E" w14:paraId="1BB29D4B" w14:textId="77777777" w:rsidTr="00DE0327">
        <w:trPr>
          <w:trHeight w:val="576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731F4D" w14:textId="77777777" w:rsidR="00AE3A81" w:rsidRPr="0093520E" w:rsidRDefault="00AE3A81" w:rsidP="00DE0327">
            <w:pPr>
              <w:rPr>
                <w:rFonts w:ascii="Times New Roman" w:hAnsi="Times New Roman" w:cs="Times New Roman"/>
                <w:sz w:val="24"/>
              </w:rPr>
            </w:pPr>
            <w:r w:rsidRPr="0093520E">
              <w:rPr>
                <w:rFonts w:ascii="Times New Roman" w:hAnsi="Times New Roman" w:cs="Times New Roman"/>
                <w:b/>
                <w:bCs/>
                <w:sz w:val="24"/>
              </w:rPr>
              <w:t>Core Strategy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84810C" w14:textId="23B30B50" w:rsidR="00AE3A81" w:rsidRPr="0093520E" w:rsidRDefault="00AE3A81" w:rsidP="002C7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20E">
              <w:rPr>
                <w:rFonts w:ascii="Times New Roman" w:hAnsi="Times New Roman" w:cs="Times New Roman"/>
                <w:b/>
                <w:bCs/>
                <w:sz w:val="24"/>
              </w:rPr>
              <w:t xml:space="preserve">Baseline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93520E">
              <w:rPr>
                <w:rFonts w:ascii="Times New Roman" w:hAnsi="Times New Roman" w:cs="Times New Roman"/>
                <w:b/>
                <w:bCs/>
                <w:sz w:val="24"/>
              </w:rPr>
              <w:t>ractice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Pr="0093520E">
              <w:rPr>
                <w:rFonts w:ascii="Times New Roman" w:hAnsi="Times New Roman" w:cs="Times New Roman"/>
                <w:b/>
                <w:bCs/>
                <w:sz w:val="24"/>
              </w:rPr>
              <w:t>N</w:t>
            </w:r>
            <w:r w:rsidR="002C7A9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3520E">
              <w:rPr>
                <w:rFonts w:ascii="Times New Roman" w:hAnsi="Times New Roman" w:cs="Times New Roman"/>
                <w:b/>
                <w:bCs/>
                <w:sz w:val="24"/>
              </w:rPr>
              <w:t>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578C6A" w14:textId="24C50EA2" w:rsidR="00AE3A81" w:rsidRPr="0093520E" w:rsidRDefault="00AE3A81" w:rsidP="002C7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Follow-Up P</w:t>
            </w:r>
            <w:r w:rsidRPr="0093520E">
              <w:rPr>
                <w:rFonts w:ascii="Times New Roman" w:hAnsi="Times New Roman" w:cs="Times New Roman"/>
                <w:b/>
                <w:bCs/>
                <w:sz w:val="24"/>
              </w:rPr>
              <w:t>ractice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Pr="0093520E">
              <w:rPr>
                <w:rFonts w:ascii="Times New Roman" w:hAnsi="Times New Roman" w:cs="Times New Roman"/>
                <w:b/>
                <w:bCs/>
                <w:sz w:val="24"/>
              </w:rPr>
              <w:t>N</w:t>
            </w:r>
            <w:r w:rsidR="002C7A9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3520E">
              <w:rPr>
                <w:rFonts w:ascii="Times New Roman" w:hAnsi="Times New Roman" w:cs="Times New Roman"/>
                <w:b/>
                <w:bCs/>
                <w:sz w:val="24"/>
              </w:rPr>
              <w:t>(%)</w:t>
            </w:r>
          </w:p>
        </w:tc>
      </w:tr>
      <w:tr w:rsidR="00AE3A81" w:rsidRPr="0093520E" w14:paraId="5D8604B6" w14:textId="77777777" w:rsidTr="00DE0327">
        <w:trPr>
          <w:trHeight w:val="720"/>
        </w:trPr>
        <w:tc>
          <w:tcPr>
            <w:tcW w:w="4680" w:type="dxa"/>
            <w:tcBorders>
              <w:top w:val="single" w:sz="4" w:space="0" w:color="auto"/>
            </w:tcBorders>
            <w:vAlign w:val="center"/>
            <w:hideMark/>
          </w:tcPr>
          <w:p w14:paraId="2E491778" w14:textId="77777777" w:rsidR="00AE3A81" w:rsidRPr="0093520E" w:rsidRDefault="00AE3A81" w:rsidP="00DE0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Policy requiring h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 xml:space="preserve">and hygiene </w:t>
            </w:r>
            <w:r w:rsidRPr="0093520E">
              <w:rPr>
                <w:rFonts w:ascii="Times New Roman" w:hAnsi="Times New Roman" w:cs="Times New Roman"/>
                <w:sz w:val="24"/>
              </w:rPr>
              <w:t>before, dur</w:t>
            </w:r>
            <w:r>
              <w:rPr>
                <w:rFonts w:ascii="Times New Roman" w:hAnsi="Times New Roman" w:cs="Times New Roman"/>
                <w:sz w:val="24"/>
              </w:rPr>
              <w:t>ing, and after care of patient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  <w:hideMark/>
          </w:tcPr>
          <w:p w14:paraId="45162C89" w14:textId="77777777" w:rsidR="00AE3A81" w:rsidRPr="0093520E" w:rsidRDefault="00AE3A81" w:rsidP="00DE0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9352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>(100)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  <w:hideMark/>
          </w:tcPr>
          <w:p w14:paraId="7EB76AB8" w14:textId="77777777" w:rsidR="00AE3A81" w:rsidRPr="0093520E" w:rsidRDefault="00AE3A81" w:rsidP="00DE0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20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3520E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>100</w:t>
            </w:r>
            <w:r w:rsidRPr="0093520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E3A81" w:rsidRPr="0093520E" w14:paraId="13183B42" w14:textId="77777777" w:rsidTr="00DE0327">
        <w:trPr>
          <w:trHeight w:val="720"/>
        </w:trPr>
        <w:tc>
          <w:tcPr>
            <w:tcW w:w="4680" w:type="dxa"/>
            <w:vAlign w:val="center"/>
            <w:hideMark/>
          </w:tcPr>
          <w:p w14:paraId="796F9B4C" w14:textId="77777777" w:rsidR="00AE3A81" w:rsidRPr="0093520E" w:rsidRDefault="00AE3A81" w:rsidP="00DE0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Policy requiring c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 xml:space="preserve">leaning and disinfection </w:t>
            </w:r>
            <w:r>
              <w:rPr>
                <w:rFonts w:ascii="Times New Roman" w:hAnsi="Times New Roman" w:cs="Times New Roman"/>
                <w:sz w:val="24"/>
              </w:rPr>
              <w:t>of equipment and environment</w:t>
            </w:r>
          </w:p>
        </w:tc>
        <w:tc>
          <w:tcPr>
            <w:tcW w:w="1800" w:type="dxa"/>
            <w:vAlign w:val="center"/>
            <w:hideMark/>
          </w:tcPr>
          <w:p w14:paraId="49A5A300" w14:textId="77777777" w:rsidR="00AE3A81" w:rsidRPr="0093520E" w:rsidRDefault="00AE3A81" w:rsidP="00DE0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93520E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>100</w:t>
            </w:r>
            <w:r w:rsidRPr="0093520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0" w:type="dxa"/>
            <w:vAlign w:val="center"/>
            <w:hideMark/>
          </w:tcPr>
          <w:p w14:paraId="726B2285" w14:textId="77777777" w:rsidR="00AE3A81" w:rsidRPr="0093520E" w:rsidRDefault="00AE3A81" w:rsidP="00DE0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20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3520E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>100</w:t>
            </w:r>
            <w:r w:rsidRPr="0093520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E3A81" w:rsidRPr="0093520E" w14:paraId="38D8BE60" w14:textId="77777777" w:rsidTr="00DE0327">
        <w:trPr>
          <w:trHeight w:val="720"/>
        </w:trPr>
        <w:tc>
          <w:tcPr>
            <w:tcW w:w="4680" w:type="dxa"/>
            <w:vAlign w:val="center"/>
            <w:hideMark/>
          </w:tcPr>
          <w:p w14:paraId="23A61F08" w14:textId="77777777" w:rsidR="00AE3A81" w:rsidRPr="0093520E" w:rsidRDefault="00AE3A81" w:rsidP="00DE0327">
            <w:pPr>
              <w:rPr>
                <w:rFonts w:ascii="Times New Roman" w:hAnsi="Times New Roman" w:cs="Times New Roman"/>
                <w:sz w:val="24"/>
              </w:rPr>
            </w:pPr>
            <w:r w:rsidRPr="0093520E">
              <w:rPr>
                <w:rFonts w:ascii="Times New Roman" w:hAnsi="Times New Roman" w:cs="Times New Roman"/>
                <w:bCs/>
                <w:sz w:val="24"/>
              </w:rPr>
              <w:t xml:space="preserve">Laboratory-based alert </w:t>
            </w:r>
            <w:r w:rsidRPr="0093520E">
              <w:rPr>
                <w:rFonts w:ascii="Times New Roman" w:hAnsi="Times New Roman" w:cs="Times New Roman"/>
                <w:sz w:val="24"/>
              </w:rPr>
              <w:t>system for immediate notification of positive test results</w:t>
            </w:r>
          </w:p>
        </w:tc>
        <w:tc>
          <w:tcPr>
            <w:tcW w:w="1800" w:type="dxa"/>
            <w:vAlign w:val="center"/>
            <w:hideMark/>
          </w:tcPr>
          <w:p w14:paraId="37013765" w14:textId="77777777" w:rsidR="00AE3A81" w:rsidRPr="0093520E" w:rsidRDefault="00AE3A81" w:rsidP="00DE0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93520E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  <w:r w:rsidRPr="0093520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0" w:type="dxa"/>
            <w:vAlign w:val="center"/>
            <w:hideMark/>
          </w:tcPr>
          <w:p w14:paraId="44B6EE17" w14:textId="77777777" w:rsidR="00AE3A81" w:rsidRPr="0093520E" w:rsidRDefault="00AE3A81" w:rsidP="00DE0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20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3520E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>100</w:t>
            </w:r>
            <w:r w:rsidRPr="0093520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E3A81" w:rsidRPr="0093520E" w14:paraId="7CA7CF70" w14:textId="77777777" w:rsidTr="00DE0327">
        <w:trPr>
          <w:trHeight w:val="720"/>
        </w:trPr>
        <w:tc>
          <w:tcPr>
            <w:tcW w:w="4680" w:type="dxa"/>
            <w:vAlign w:val="center"/>
            <w:hideMark/>
          </w:tcPr>
          <w:p w14:paraId="6E0C306E" w14:textId="77777777" w:rsidR="00AE3A81" w:rsidRPr="0093520E" w:rsidRDefault="00AE3A81" w:rsidP="00DE0327">
            <w:pPr>
              <w:rPr>
                <w:rFonts w:ascii="Times New Roman" w:hAnsi="Times New Roman" w:cs="Times New Roman"/>
                <w:sz w:val="24"/>
              </w:rPr>
            </w:pPr>
            <w:r w:rsidRPr="0093520E">
              <w:rPr>
                <w:rFonts w:ascii="Times New Roman" w:hAnsi="Times New Roman" w:cs="Times New Roman"/>
                <w:bCs/>
                <w:sz w:val="24"/>
              </w:rPr>
              <w:t xml:space="preserve">Educate </w:t>
            </w:r>
            <w:r>
              <w:rPr>
                <w:rFonts w:ascii="Times New Roman" w:hAnsi="Times New Roman" w:cs="Times New Roman"/>
                <w:sz w:val="24"/>
              </w:rPr>
              <w:t>healthcare worker</w:t>
            </w:r>
            <w:r w:rsidRPr="0093520E">
              <w:rPr>
                <w:rFonts w:ascii="Times New Roman" w:hAnsi="Times New Roman" w:cs="Times New Roman"/>
                <w:sz w:val="24"/>
              </w:rPr>
              <w:t>, housekeeping, administration, patients, families</w:t>
            </w:r>
          </w:p>
        </w:tc>
        <w:tc>
          <w:tcPr>
            <w:tcW w:w="1800" w:type="dxa"/>
            <w:vAlign w:val="center"/>
            <w:hideMark/>
          </w:tcPr>
          <w:p w14:paraId="64AAD7B5" w14:textId="77777777" w:rsidR="00AE3A81" w:rsidRPr="0093520E" w:rsidRDefault="00AE3A81" w:rsidP="00DE0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93520E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>100</w:t>
            </w:r>
            <w:r w:rsidRPr="0093520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0" w:type="dxa"/>
            <w:vAlign w:val="center"/>
            <w:hideMark/>
          </w:tcPr>
          <w:p w14:paraId="09221C64" w14:textId="77777777" w:rsidR="00AE3A81" w:rsidRPr="0093520E" w:rsidRDefault="00AE3A81" w:rsidP="00DE0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20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3520E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>100</w:t>
            </w:r>
            <w:r w:rsidRPr="0093520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E3A81" w:rsidRPr="0093520E" w14:paraId="482A3DE2" w14:textId="77777777" w:rsidTr="00DE0327">
        <w:trPr>
          <w:trHeight w:val="720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  <w:hideMark/>
          </w:tcPr>
          <w:p w14:paraId="4CCDF4D9" w14:textId="77777777" w:rsidR="00AE3A81" w:rsidRPr="0093520E" w:rsidRDefault="00AE3A81" w:rsidP="00DE0327">
            <w:pPr>
              <w:rPr>
                <w:rFonts w:ascii="Times New Roman" w:hAnsi="Times New Roman" w:cs="Times New Roman"/>
                <w:sz w:val="24"/>
              </w:rPr>
            </w:pPr>
            <w:r w:rsidRPr="0093520E">
              <w:rPr>
                <w:rFonts w:ascii="Times New Roman" w:hAnsi="Times New Roman" w:cs="Times New Roman"/>
                <w:sz w:val="24"/>
              </w:rPr>
              <w:t xml:space="preserve">Implement an 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>antimicrobial stewardship program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  <w:hideMark/>
          </w:tcPr>
          <w:p w14:paraId="1436F7BC" w14:textId="77777777" w:rsidR="00AE3A81" w:rsidRPr="0093520E" w:rsidRDefault="00AE3A81" w:rsidP="00DE0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93520E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>100</w:t>
            </w:r>
            <w:r w:rsidRPr="0093520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  <w:hideMark/>
          </w:tcPr>
          <w:p w14:paraId="1BCAA50A" w14:textId="77777777" w:rsidR="00AE3A81" w:rsidRPr="0093520E" w:rsidRDefault="00AE3A81" w:rsidP="00DE0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20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3520E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3520E">
              <w:rPr>
                <w:rFonts w:ascii="Times New Roman" w:hAnsi="Times New Roman" w:cs="Times New Roman"/>
                <w:bCs/>
                <w:sz w:val="24"/>
              </w:rPr>
              <w:t>100</w:t>
            </w:r>
            <w:r w:rsidRPr="0093520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1794EB5C" w14:textId="55D4A862" w:rsidR="00AE3A81" w:rsidRPr="0093520E" w:rsidRDefault="00A7747A" w:rsidP="00AE3A8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</w:t>
      </w:r>
      <w:r w:rsidR="00AE3A81" w:rsidRPr="0093520E">
        <w:rPr>
          <w:rFonts w:ascii="Times New Roman" w:hAnsi="Times New Roman" w:cs="Times New Roman"/>
          <w:sz w:val="24"/>
        </w:rPr>
        <w:t>.</w:t>
      </w:r>
      <w:r w:rsidR="00AE3A81">
        <w:rPr>
          <w:rFonts w:ascii="Times New Roman" w:hAnsi="Times New Roman" w:cs="Times New Roman"/>
          <w:sz w:val="24"/>
        </w:rPr>
        <w:t xml:space="preserve"> Data represent participant acute care hospitals that received an onsite infection control assessment at baseline and submitted </w:t>
      </w:r>
      <w:r w:rsidR="006D3F54">
        <w:rPr>
          <w:rFonts w:ascii="Times New Roman" w:hAnsi="Times New Roman" w:cs="Times New Roman"/>
          <w:sz w:val="24"/>
        </w:rPr>
        <w:t xml:space="preserve">results from an internal </w:t>
      </w:r>
      <w:r w:rsidR="00AE3A81">
        <w:rPr>
          <w:rFonts w:ascii="Times New Roman" w:hAnsi="Times New Roman" w:cs="Times New Roman"/>
          <w:sz w:val="24"/>
        </w:rPr>
        <w:t>infection control assessment at the end of the CDI collaborative</w:t>
      </w:r>
      <w:r w:rsidR="00544B4D">
        <w:rPr>
          <w:rFonts w:ascii="Times New Roman" w:hAnsi="Times New Roman" w:cs="Times New Roman"/>
          <w:sz w:val="24"/>
        </w:rPr>
        <w:t xml:space="preserve"> (N=12)</w:t>
      </w:r>
      <w:r w:rsidR="00AE3A81">
        <w:rPr>
          <w:rFonts w:ascii="Times New Roman" w:hAnsi="Times New Roman" w:cs="Times New Roman"/>
          <w:sz w:val="24"/>
        </w:rPr>
        <w:t xml:space="preserve">. </w:t>
      </w:r>
    </w:p>
    <w:p w14:paraId="4715DD3F" w14:textId="77777777" w:rsidR="00AE3A81" w:rsidRDefault="00AE3A81" w:rsidP="00AE3A81">
      <w:pPr>
        <w:spacing w:line="480" w:lineRule="auto"/>
        <w:rPr>
          <w:rFonts w:ascii="Times New Roman" w:hAnsi="Times New Roman" w:cs="Times New Roman"/>
          <w:sz w:val="24"/>
        </w:rPr>
      </w:pPr>
    </w:p>
    <w:p w14:paraId="2CD595E6" w14:textId="77777777" w:rsidR="00AE3A81" w:rsidRDefault="00AE3A81" w:rsidP="00AE3A8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14:paraId="18E4747F" w14:textId="1C4CC7CC" w:rsidR="00AE3A81" w:rsidRPr="0093520E" w:rsidRDefault="00AE3A81" w:rsidP="00AE3A81">
      <w:pPr>
        <w:spacing w:line="480" w:lineRule="auto"/>
        <w:rPr>
          <w:rFonts w:ascii="Times New Roman" w:hAnsi="Times New Roman" w:cs="Times New Roman"/>
          <w:sz w:val="24"/>
        </w:rPr>
      </w:pPr>
      <w:r w:rsidRPr="0093520E">
        <w:rPr>
          <w:rFonts w:ascii="Times New Roman" w:hAnsi="Times New Roman" w:cs="Times New Roman"/>
          <w:i/>
          <w:sz w:val="24"/>
        </w:rPr>
        <w:lastRenderedPageBreak/>
        <w:t xml:space="preserve">Supplemental Table </w:t>
      </w:r>
      <w:r w:rsidR="00713E94">
        <w:rPr>
          <w:rFonts w:ascii="Times New Roman" w:hAnsi="Times New Roman" w:cs="Times New Roman"/>
          <w:i/>
          <w:sz w:val="24"/>
        </w:rPr>
        <w:t>B</w:t>
      </w:r>
      <w:r w:rsidRPr="0093520E">
        <w:rPr>
          <w:rFonts w:ascii="Times New Roman" w:hAnsi="Times New Roman" w:cs="Times New Roman"/>
          <w:i/>
          <w:sz w:val="24"/>
        </w:rPr>
        <w:t>.</w:t>
      </w:r>
      <w:r w:rsidRPr="00935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Implementation of Supplemental CDI Prevention Strategies among </w:t>
      </w:r>
      <w:r w:rsidR="00333B0C">
        <w:rPr>
          <w:rFonts w:ascii="Times New Roman" w:hAnsi="Times New Roman" w:cs="Times New Roman"/>
          <w:sz w:val="24"/>
        </w:rPr>
        <w:t xml:space="preserve">Orange County </w:t>
      </w:r>
      <w:r>
        <w:rPr>
          <w:rFonts w:ascii="Times New Roman" w:hAnsi="Times New Roman" w:cs="Times New Roman"/>
          <w:sz w:val="24"/>
        </w:rPr>
        <w:t>Participant Short-Stay Acute Care Hospitals at Baseline and Follow-Up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1800"/>
        <w:gridCol w:w="1800"/>
      </w:tblGrid>
      <w:tr w:rsidR="00AE3A81" w:rsidRPr="0093520E" w14:paraId="0D93E47D" w14:textId="77777777" w:rsidTr="00DE0327">
        <w:trPr>
          <w:trHeight w:val="2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0F55DABF" w14:textId="77777777" w:rsidR="00AE3A81" w:rsidRPr="0093520E" w:rsidRDefault="00AE3A81" w:rsidP="00DE0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Supplemental Strategy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6BB5841C" w14:textId="505DEB30" w:rsidR="00AE3A81" w:rsidRPr="0093520E" w:rsidRDefault="00AE3A81" w:rsidP="002C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Baseline Practice, N 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2D9A2540" w14:textId="676A9CA0" w:rsidR="00AE3A81" w:rsidRPr="0093520E" w:rsidRDefault="00AE3A81" w:rsidP="002C7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Follow-Up Practice, N</w:t>
            </w:r>
            <w:bookmarkStart w:id="0" w:name="_GoBack"/>
            <w:bookmarkEnd w:id="0"/>
            <w:r w:rsidRPr="0093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AE3A81" w:rsidRPr="0093520E" w14:paraId="0084F028" w14:textId="77777777" w:rsidTr="00DE0327">
        <w:trPr>
          <w:trHeight w:val="144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7DB159E3" w14:textId="77777777" w:rsidR="00AE3A81" w:rsidRPr="0093520E" w:rsidRDefault="00AE3A81" w:rsidP="00DE032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Extend Contact Precautions 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beyond duration of symptoms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17D24870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92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7931A49C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Pr="0093520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100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AE3A81" w:rsidRPr="0093520E" w14:paraId="778A9582" w14:textId="77777777" w:rsidTr="00DE0327">
        <w:trPr>
          <w:trHeight w:val="144"/>
        </w:trPr>
        <w:tc>
          <w:tcPr>
            <w:tcW w:w="468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06FDEF33" w14:textId="77777777" w:rsidR="00AE3A81" w:rsidRPr="0093520E" w:rsidRDefault="00AE3A81" w:rsidP="00DE0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Presumptive isolation 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for patient with diarrhea pending confirmation of CDI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56CE21A3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Pr="0093520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7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3CED52B4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83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AE3A81" w:rsidRPr="0093520E" w14:paraId="0E312BC1" w14:textId="77777777" w:rsidTr="00DE0327">
        <w:trPr>
          <w:trHeight w:val="144"/>
        </w:trPr>
        <w:tc>
          <w:tcPr>
            <w:tcW w:w="468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1A969F6E" w14:textId="62BA593D" w:rsidR="00AE3A81" w:rsidRPr="0093520E" w:rsidRDefault="00AE3A81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Policy for h</w:t>
            </w:r>
            <w:r w:rsidRPr="0093520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and washing 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(soap and water) before exiting room of patient</w:t>
            </w:r>
            <w:r w:rsidR="00DD42B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with CDI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1F6EF489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 (</w:t>
            </w:r>
            <w:r w:rsidRPr="0093520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7EA800BC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 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100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AE3A81" w:rsidRPr="0093520E" w14:paraId="106509B7" w14:textId="77777777" w:rsidTr="00DE0327">
        <w:trPr>
          <w:trHeight w:val="144"/>
        </w:trPr>
        <w:tc>
          <w:tcPr>
            <w:tcW w:w="468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0F683D8B" w14:textId="77777777" w:rsidR="00AE3A81" w:rsidRPr="0093520E" w:rsidRDefault="00AE3A81" w:rsidP="00DE0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Implement </w:t>
            </w:r>
            <w:r w:rsidRPr="0093520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universal glove use 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on units with high CDI rates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2D0DBA57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02B261F8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AE3A81" w:rsidRPr="0093520E" w14:paraId="66E3704D" w14:textId="77777777" w:rsidTr="00DE0327">
        <w:trPr>
          <w:trHeight w:val="144"/>
        </w:trPr>
        <w:tc>
          <w:tcPr>
            <w:tcW w:w="468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0F3261D1" w14:textId="77777777" w:rsidR="00AE3A81" w:rsidRPr="0093520E" w:rsidRDefault="00AE3A81" w:rsidP="00DE0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Environmental Protection Agency</w:t>
            </w:r>
            <w:r w:rsidRPr="0093520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sporicidal agents 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for environmental cleaning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1ADF391D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92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009ECB21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 w:rsidRPr="0093520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100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AE3A81" w:rsidRPr="0093520E" w14:paraId="0F1F6A6D" w14:textId="77777777" w:rsidTr="00DE0327">
        <w:trPr>
          <w:trHeight w:val="144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3E582678" w14:textId="77777777" w:rsidR="00AE3A81" w:rsidRPr="0093520E" w:rsidRDefault="00AE3A81" w:rsidP="00DE0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Track use of antibiotics associated with CDI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56C8AF7F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 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74" w:type="dxa"/>
              <w:bottom w:w="72" w:type="dxa"/>
              <w:right w:w="174" w:type="dxa"/>
            </w:tcMar>
            <w:vAlign w:val="center"/>
            <w:hideMark/>
          </w:tcPr>
          <w:p w14:paraId="6C01762C" w14:textId="77777777" w:rsidR="00AE3A81" w:rsidRPr="0093520E" w:rsidRDefault="00AE3A81" w:rsidP="00DE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 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83</w:t>
            </w:r>
            <w:r w:rsidRPr="0093520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</w:tbl>
    <w:p w14:paraId="43429590" w14:textId="3F0ABF41" w:rsidR="00AE3A81" w:rsidRDefault="00A7747A" w:rsidP="00AE3A8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</w:t>
      </w:r>
      <w:r w:rsidR="00AE3A81" w:rsidRPr="0093520E">
        <w:rPr>
          <w:rFonts w:ascii="Times New Roman" w:hAnsi="Times New Roman" w:cs="Times New Roman"/>
          <w:sz w:val="24"/>
        </w:rPr>
        <w:t>.</w:t>
      </w:r>
      <w:r w:rsidR="00AE3A81">
        <w:rPr>
          <w:rFonts w:ascii="Times New Roman" w:hAnsi="Times New Roman" w:cs="Times New Roman"/>
          <w:sz w:val="24"/>
        </w:rPr>
        <w:t xml:space="preserve"> Data represent participant acute care hospitals that received an onsite infection control assessment at baseline </w:t>
      </w:r>
      <w:r w:rsidR="006D3F54">
        <w:rPr>
          <w:rFonts w:ascii="Times New Roman" w:hAnsi="Times New Roman" w:cs="Times New Roman"/>
          <w:sz w:val="24"/>
        </w:rPr>
        <w:t xml:space="preserve">and </w:t>
      </w:r>
      <w:r w:rsidR="006D3F54">
        <w:rPr>
          <w:rFonts w:ascii="Times New Roman" w:hAnsi="Times New Roman" w:cs="Times New Roman"/>
          <w:sz w:val="24"/>
        </w:rPr>
        <w:t>submitted results from an internal infection control assessment at the end of the CDI collaborative (N=12)</w:t>
      </w:r>
      <w:r w:rsidR="00AE3A81">
        <w:rPr>
          <w:rFonts w:ascii="Times New Roman" w:hAnsi="Times New Roman" w:cs="Times New Roman"/>
          <w:sz w:val="24"/>
        </w:rPr>
        <w:t xml:space="preserve">. </w:t>
      </w:r>
    </w:p>
    <w:p w14:paraId="6C709777" w14:textId="77777777" w:rsidR="00AE3A81" w:rsidRDefault="00AE3A81" w:rsidP="00AE3A81">
      <w:pPr>
        <w:spacing w:line="480" w:lineRule="auto"/>
        <w:rPr>
          <w:rFonts w:ascii="Times New Roman" w:hAnsi="Times New Roman" w:cs="Times New Roman"/>
          <w:sz w:val="24"/>
        </w:rPr>
      </w:pPr>
    </w:p>
    <w:p w14:paraId="5BFF4454" w14:textId="77777777" w:rsidR="00713E94" w:rsidRDefault="00713E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F3BEAF" w14:textId="0A4B3D47" w:rsidR="00713E94" w:rsidRPr="00CD1425" w:rsidRDefault="00713E94" w:rsidP="00713E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73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B73A0">
        <w:rPr>
          <w:rFonts w:ascii="Times New Roman" w:hAnsi="Times New Roman" w:cs="Times New Roman"/>
          <w:i/>
          <w:sz w:val="24"/>
          <w:szCs w:val="24"/>
        </w:rPr>
        <w:t>.</w:t>
      </w:r>
      <w:r w:rsidRPr="00CD1425">
        <w:rPr>
          <w:rFonts w:ascii="Times New Roman" w:hAnsi="Times New Roman" w:cs="Times New Roman"/>
          <w:sz w:val="24"/>
          <w:szCs w:val="24"/>
        </w:rPr>
        <w:t xml:space="preserve"> Incidence Rate Ratios and Percent Change </w:t>
      </w:r>
      <w:r>
        <w:rPr>
          <w:rFonts w:ascii="Times New Roman" w:hAnsi="Times New Roman" w:cs="Times New Roman"/>
          <w:sz w:val="24"/>
          <w:szCs w:val="24"/>
        </w:rPr>
        <w:t>in Hospital-Onset CDI Rates in</w:t>
      </w:r>
      <w:r w:rsidR="008212FF">
        <w:rPr>
          <w:rFonts w:ascii="Times New Roman" w:hAnsi="Times New Roman" w:cs="Times New Roman"/>
          <w:sz w:val="24"/>
          <w:szCs w:val="24"/>
        </w:rPr>
        <w:t xml:space="preserve"> Short-Stay</w:t>
      </w:r>
      <w:r>
        <w:rPr>
          <w:rFonts w:ascii="Times New Roman" w:hAnsi="Times New Roman" w:cs="Times New Roman"/>
          <w:sz w:val="24"/>
          <w:szCs w:val="24"/>
        </w:rPr>
        <w:t xml:space="preserve"> Acute Care Hospitals by Participation Status, Orange County  </w:t>
      </w:r>
    </w:p>
    <w:tbl>
      <w:tblPr>
        <w:tblStyle w:val="TableGrid"/>
        <w:tblW w:w="89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425"/>
        <w:gridCol w:w="1887"/>
        <w:gridCol w:w="1440"/>
        <w:gridCol w:w="1260"/>
      </w:tblGrid>
      <w:tr w:rsidR="00713E94" w:rsidRPr="00CD1425" w14:paraId="1D7D3152" w14:textId="77777777" w:rsidTr="00B02605">
        <w:trPr>
          <w:trHeight w:val="1044"/>
          <w:jc w:val="center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3D74" w14:textId="77777777" w:rsidR="00713E94" w:rsidRPr="00CD1425" w:rsidRDefault="00713E94" w:rsidP="00B02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 Measure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D6AFA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D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Coefficient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DB882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Incidence </w:t>
            </w:r>
            <w:r w:rsidRPr="00CD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Rate Ratio </w:t>
            </w:r>
          </w:p>
          <w:p w14:paraId="184C3C34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E5CCD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sz w:val="24"/>
                <w:szCs w:val="24"/>
              </w:rPr>
              <w:t>Percent Change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CD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2AEA02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17C8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713E94" w:rsidRPr="00CD1425" w14:paraId="4C7C2103" w14:textId="77777777" w:rsidTr="00B02605">
        <w:trPr>
          <w:trHeight w:val="342"/>
          <w:jc w:val="center"/>
        </w:trPr>
        <w:tc>
          <w:tcPr>
            <w:tcW w:w="8910" w:type="dxa"/>
            <w:gridSpan w:val="5"/>
            <w:shd w:val="clear" w:color="auto" w:fill="D9D9D9" w:themeFill="background1" w:themeFillShade="D9"/>
            <w:vAlign w:val="center"/>
          </w:tcPr>
          <w:p w14:paraId="66D9CC36" w14:textId="77777777" w:rsidR="00713E94" w:rsidRPr="00412EB4" w:rsidRDefault="00713E94" w:rsidP="00B0260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Non-Participant ACH</w:t>
            </w:r>
          </w:p>
        </w:tc>
      </w:tr>
      <w:tr w:rsidR="00713E94" w:rsidRPr="00CD1425" w14:paraId="24D050FD" w14:textId="77777777" w:rsidTr="00B02605">
        <w:trPr>
          <w:trHeight w:val="358"/>
          <w:jc w:val="center"/>
        </w:trPr>
        <w:tc>
          <w:tcPr>
            <w:tcW w:w="2898" w:type="dxa"/>
            <w:vAlign w:val="center"/>
          </w:tcPr>
          <w:p w14:paraId="510B516C" w14:textId="77777777" w:rsidR="00713E94" w:rsidRPr="00CD1425" w:rsidRDefault="00713E94" w:rsidP="00B02605">
            <w:pPr>
              <w:ind w:left="720" w:hanging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rate</w:t>
            </w: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1425" w:type="dxa"/>
            <w:vAlign w:val="center"/>
          </w:tcPr>
          <w:p w14:paraId="3A3F7433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</w:rPr>
              <w:t>β1</w:t>
            </w:r>
          </w:p>
        </w:tc>
        <w:tc>
          <w:tcPr>
            <w:tcW w:w="1887" w:type="dxa"/>
            <w:vAlign w:val="center"/>
          </w:tcPr>
          <w:p w14:paraId="2F59ABCF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(0.98, 1.01)</w:t>
            </w:r>
          </w:p>
        </w:tc>
        <w:tc>
          <w:tcPr>
            <w:tcW w:w="1440" w:type="dxa"/>
            <w:vAlign w:val="center"/>
          </w:tcPr>
          <w:p w14:paraId="1E20F187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(-2, 1)</w:t>
            </w:r>
          </w:p>
        </w:tc>
        <w:tc>
          <w:tcPr>
            <w:tcW w:w="1260" w:type="dxa"/>
            <w:vAlign w:val="center"/>
          </w:tcPr>
          <w:p w14:paraId="70DE8CE6" w14:textId="77777777" w:rsidR="00713E94" w:rsidRPr="004F0526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26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713E94" w:rsidRPr="00CD1425" w14:paraId="6ACF9649" w14:textId="77777777" w:rsidTr="00B02605">
        <w:trPr>
          <w:trHeight w:val="342"/>
          <w:jc w:val="center"/>
        </w:trPr>
        <w:tc>
          <w:tcPr>
            <w:tcW w:w="2898" w:type="dxa"/>
            <w:vAlign w:val="center"/>
          </w:tcPr>
          <w:p w14:paraId="66BFB015" w14:textId="77777777" w:rsidR="00713E94" w:rsidRPr="00CD1425" w:rsidRDefault="00713E94" w:rsidP="00B0260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Level change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rate</w:t>
            </w:r>
          </w:p>
        </w:tc>
        <w:tc>
          <w:tcPr>
            <w:tcW w:w="1425" w:type="dxa"/>
            <w:vAlign w:val="center"/>
          </w:tcPr>
          <w:p w14:paraId="62D2FBFB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</w:rPr>
              <w:t>β2</w:t>
            </w:r>
          </w:p>
        </w:tc>
        <w:tc>
          <w:tcPr>
            <w:tcW w:w="1887" w:type="dxa"/>
            <w:vAlign w:val="center"/>
          </w:tcPr>
          <w:p w14:paraId="5319AAAB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(0.86, 1.43)</w:t>
            </w:r>
          </w:p>
        </w:tc>
        <w:tc>
          <w:tcPr>
            <w:tcW w:w="1440" w:type="dxa"/>
            <w:vAlign w:val="center"/>
          </w:tcPr>
          <w:p w14:paraId="1AB53DD6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(-14, 43)</w:t>
            </w:r>
          </w:p>
        </w:tc>
        <w:tc>
          <w:tcPr>
            <w:tcW w:w="1260" w:type="dxa"/>
            <w:vAlign w:val="center"/>
          </w:tcPr>
          <w:p w14:paraId="3611FACF" w14:textId="77777777" w:rsidR="00713E94" w:rsidRPr="004F0526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26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713E94" w:rsidRPr="00CD1425" w14:paraId="2ED93252" w14:textId="77777777" w:rsidTr="00B02605">
        <w:trPr>
          <w:trHeight w:val="342"/>
          <w:jc w:val="center"/>
        </w:trPr>
        <w:tc>
          <w:tcPr>
            <w:tcW w:w="2898" w:type="dxa"/>
            <w:vAlign w:val="center"/>
          </w:tcPr>
          <w:p w14:paraId="38C56C7A" w14:textId="77777777" w:rsidR="00713E94" w:rsidRPr="00CD1425" w:rsidRDefault="00713E94" w:rsidP="00B0260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Change in rate trend </w:t>
            </w:r>
          </w:p>
        </w:tc>
        <w:tc>
          <w:tcPr>
            <w:tcW w:w="1425" w:type="dxa"/>
            <w:vAlign w:val="center"/>
          </w:tcPr>
          <w:p w14:paraId="08DF44D6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</w:rPr>
              <w:t>β3</w:t>
            </w:r>
          </w:p>
        </w:tc>
        <w:tc>
          <w:tcPr>
            <w:tcW w:w="1887" w:type="dxa"/>
            <w:vAlign w:val="center"/>
          </w:tcPr>
          <w:p w14:paraId="78608847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(0.98, 1.02)</w:t>
            </w:r>
          </w:p>
        </w:tc>
        <w:tc>
          <w:tcPr>
            <w:tcW w:w="1440" w:type="dxa"/>
            <w:vAlign w:val="center"/>
          </w:tcPr>
          <w:p w14:paraId="2A58F106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(-2, 2)</w:t>
            </w:r>
          </w:p>
        </w:tc>
        <w:tc>
          <w:tcPr>
            <w:tcW w:w="1260" w:type="dxa"/>
            <w:vAlign w:val="center"/>
          </w:tcPr>
          <w:p w14:paraId="312335F1" w14:textId="77777777" w:rsidR="00713E94" w:rsidRPr="004F0526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0.77</w:t>
            </w:r>
          </w:p>
        </w:tc>
      </w:tr>
      <w:tr w:rsidR="00713E94" w:rsidRPr="00CD1425" w14:paraId="473DFD80" w14:textId="77777777" w:rsidTr="00B02605">
        <w:trPr>
          <w:trHeight w:val="358"/>
          <w:jc w:val="center"/>
        </w:trPr>
        <w:tc>
          <w:tcPr>
            <w:tcW w:w="2898" w:type="dxa"/>
            <w:vAlign w:val="center"/>
          </w:tcPr>
          <w:p w14:paraId="5D6C5079" w14:textId="77777777" w:rsidR="00713E94" w:rsidRPr="00CD1425" w:rsidRDefault="00713E94" w:rsidP="00B026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 rate trend</w:t>
            </w:r>
          </w:p>
        </w:tc>
        <w:tc>
          <w:tcPr>
            <w:tcW w:w="1425" w:type="dxa"/>
            <w:vAlign w:val="center"/>
          </w:tcPr>
          <w:p w14:paraId="1F582640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</w:rPr>
              <w:t>β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D1425">
              <w:rPr>
                <w:rFonts w:ascii="Times New Roman" w:hAnsi="Times New Roman" w:cs="Times New Roman"/>
                <w:sz w:val="24"/>
              </w:rPr>
              <w:t>+β3</w:t>
            </w:r>
          </w:p>
        </w:tc>
        <w:tc>
          <w:tcPr>
            <w:tcW w:w="1887" w:type="dxa"/>
            <w:vAlign w:val="center"/>
          </w:tcPr>
          <w:p w14:paraId="13C01522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 (0.97, 1.01)</w:t>
            </w:r>
          </w:p>
        </w:tc>
        <w:tc>
          <w:tcPr>
            <w:tcW w:w="1440" w:type="dxa"/>
            <w:vAlign w:val="center"/>
          </w:tcPr>
          <w:p w14:paraId="4AF76F73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(-3, 1)</w:t>
            </w:r>
          </w:p>
        </w:tc>
        <w:tc>
          <w:tcPr>
            <w:tcW w:w="1260" w:type="dxa"/>
            <w:vAlign w:val="center"/>
          </w:tcPr>
          <w:p w14:paraId="117B6E2A" w14:textId="77777777" w:rsidR="00713E94" w:rsidRPr="004F0526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0.42</w:t>
            </w:r>
          </w:p>
        </w:tc>
      </w:tr>
      <w:tr w:rsidR="00713E94" w:rsidRPr="00CD1425" w14:paraId="2D9AE5B1" w14:textId="77777777" w:rsidTr="00B02605">
        <w:trPr>
          <w:trHeight w:val="342"/>
          <w:jc w:val="center"/>
        </w:trPr>
        <w:tc>
          <w:tcPr>
            <w:tcW w:w="8910" w:type="dxa"/>
            <w:gridSpan w:val="5"/>
            <w:shd w:val="clear" w:color="auto" w:fill="D9D9D9" w:themeFill="background1" w:themeFillShade="D9"/>
            <w:vAlign w:val="center"/>
          </w:tcPr>
          <w:p w14:paraId="3032F2D7" w14:textId="77777777" w:rsidR="00713E94" w:rsidRPr="00412EB4" w:rsidRDefault="00713E94" w:rsidP="00B02605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D1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Participant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ACH</w:t>
            </w:r>
          </w:p>
        </w:tc>
      </w:tr>
      <w:tr w:rsidR="00713E94" w:rsidRPr="00CD1425" w14:paraId="7E5714BE" w14:textId="77777777" w:rsidTr="00B02605">
        <w:trPr>
          <w:trHeight w:val="342"/>
          <w:jc w:val="center"/>
        </w:trPr>
        <w:tc>
          <w:tcPr>
            <w:tcW w:w="2898" w:type="dxa"/>
            <w:vAlign w:val="center"/>
          </w:tcPr>
          <w:p w14:paraId="2A6A8AFF" w14:textId="77777777" w:rsidR="00713E94" w:rsidRPr="00CD1425" w:rsidRDefault="00713E94" w:rsidP="00B02605">
            <w:pPr>
              <w:ind w:left="720" w:hanging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rate</w:t>
            </w: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1425" w:type="dxa"/>
            <w:vAlign w:val="center"/>
          </w:tcPr>
          <w:p w14:paraId="54632E5B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1425">
              <w:rPr>
                <w:rFonts w:ascii="Times New Roman" w:hAnsi="Times New Roman" w:cs="Times New Roman"/>
                <w:sz w:val="24"/>
              </w:rPr>
              <w:t>β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D1425">
              <w:rPr>
                <w:rFonts w:ascii="Times New Roman" w:hAnsi="Times New Roman" w:cs="Times New Roman"/>
                <w:sz w:val="24"/>
              </w:rPr>
              <w:t>+β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87" w:type="dxa"/>
            <w:vAlign w:val="center"/>
          </w:tcPr>
          <w:p w14:paraId="7BF62B1A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 (1.00, 1.03)</w:t>
            </w:r>
          </w:p>
        </w:tc>
        <w:tc>
          <w:tcPr>
            <w:tcW w:w="1440" w:type="dxa"/>
            <w:vAlign w:val="center"/>
          </w:tcPr>
          <w:p w14:paraId="2DE080AE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(0, 3)</w:t>
            </w:r>
          </w:p>
        </w:tc>
        <w:tc>
          <w:tcPr>
            <w:tcW w:w="1260" w:type="dxa"/>
            <w:vAlign w:val="center"/>
          </w:tcPr>
          <w:p w14:paraId="18B54CFC" w14:textId="77777777" w:rsidR="00713E94" w:rsidRPr="007D678C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</w:t>
            </w:r>
          </w:p>
        </w:tc>
      </w:tr>
      <w:tr w:rsidR="00713E94" w:rsidRPr="00CD1425" w14:paraId="04B12EF6" w14:textId="77777777" w:rsidTr="00B02605">
        <w:trPr>
          <w:trHeight w:val="358"/>
          <w:jc w:val="center"/>
        </w:trPr>
        <w:tc>
          <w:tcPr>
            <w:tcW w:w="2898" w:type="dxa"/>
            <w:vAlign w:val="center"/>
          </w:tcPr>
          <w:p w14:paraId="6DC3BBE0" w14:textId="77777777" w:rsidR="00713E94" w:rsidRPr="00CD1425" w:rsidRDefault="00713E94" w:rsidP="00B0260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Level change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rate</w:t>
            </w:r>
          </w:p>
        </w:tc>
        <w:tc>
          <w:tcPr>
            <w:tcW w:w="1425" w:type="dxa"/>
            <w:vAlign w:val="center"/>
          </w:tcPr>
          <w:p w14:paraId="090B6E26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</w:rPr>
              <w:t>β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D1425">
              <w:rPr>
                <w:rFonts w:ascii="Times New Roman" w:hAnsi="Times New Roman" w:cs="Times New Roman"/>
                <w:sz w:val="24"/>
              </w:rPr>
              <w:t>+β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87" w:type="dxa"/>
            <w:vAlign w:val="center"/>
          </w:tcPr>
          <w:p w14:paraId="168D5F54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(0.86, 1.24)</w:t>
            </w:r>
          </w:p>
        </w:tc>
        <w:tc>
          <w:tcPr>
            <w:tcW w:w="1440" w:type="dxa"/>
            <w:vAlign w:val="center"/>
          </w:tcPr>
          <w:p w14:paraId="488EE3D8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(-14, 24)</w:t>
            </w:r>
          </w:p>
        </w:tc>
        <w:tc>
          <w:tcPr>
            <w:tcW w:w="1260" w:type="dxa"/>
            <w:vAlign w:val="center"/>
          </w:tcPr>
          <w:p w14:paraId="2CC7B681" w14:textId="77777777" w:rsidR="00713E94" w:rsidRPr="007D678C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0.73</w:t>
            </w:r>
          </w:p>
        </w:tc>
      </w:tr>
      <w:tr w:rsidR="00713E94" w:rsidRPr="00CD1425" w14:paraId="19D18840" w14:textId="77777777" w:rsidTr="00B02605">
        <w:trPr>
          <w:trHeight w:val="342"/>
          <w:jc w:val="center"/>
        </w:trPr>
        <w:tc>
          <w:tcPr>
            <w:tcW w:w="2898" w:type="dxa"/>
            <w:vAlign w:val="center"/>
          </w:tcPr>
          <w:p w14:paraId="1C633A68" w14:textId="77777777" w:rsidR="00713E94" w:rsidRPr="00CD1425" w:rsidRDefault="00713E94" w:rsidP="00B0260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Change in rate trend </w:t>
            </w:r>
          </w:p>
        </w:tc>
        <w:tc>
          <w:tcPr>
            <w:tcW w:w="1425" w:type="dxa"/>
            <w:vAlign w:val="center"/>
          </w:tcPr>
          <w:p w14:paraId="25C4739C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</w:rPr>
              <w:t>β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D1425">
              <w:rPr>
                <w:rFonts w:ascii="Times New Roman" w:hAnsi="Times New Roman" w:cs="Times New Roman"/>
                <w:sz w:val="24"/>
              </w:rPr>
              <w:t>+β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87" w:type="dxa"/>
            <w:vAlign w:val="center"/>
          </w:tcPr>
          <w:p w14:paraId="7C93FA9D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 (0.95, 0.97)</w:t>
            </w:r>
          </w:p>
        </w:tc>
        <w:tc>
          <w:tcPr>
            <w:tcW w:w="1440" w:type="dxa"/>
            <w:vAlign w:val="center"/>
          </w:tcPr>
          <w:p w14:paraId="54025C29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(-5, -3)</w:t>
            </w:r>
          </w:p>
        </w:tc>
        <w:tc>
          <w:tcPr>
            <w:tcW w:w="1260" w:type="dxa"/>
            <w:vAlign w:val="center"/>
          </w:tcPr>
          <w:p w14:paraId="799665EF" w14:textId="77777777" w:rsidR="00713E94" w:rsidRPr="007D678C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8C">
              <w:rPr>
                <w:rFonts w:ascii="Times New Roman" w:hAnsi="Times New Roman" w:cs="Times New Roman"/>
                <w:sz w:val="24"/>
              </w:rPr>
              <w:t>&lt;.0001</w:t>
            </w:r>
          </w:p>
        </w:tc>
      </w:tr>
      <w:tr w:rsidR="00713E94" w:rsidRPr="00CD1425" w14:paraId="05183D91" w14:textId="77777777" w:rsidTr="00B02605">
        <w:trPr>
          <w:trHeight w:val="342"/>
          <w:jc w:val="center"/>
        </w:trPr>
        <w:tc>
          <w:tcPr>
            <w:tcW w:w="2898" w:type="dxa"/>
            <w:vAlign w:val="center"/>
          </w:tcPr>
          <w:p w14:paraId="1664ADA2" w14:textId="77777777" w:rsidR="00713E94" w:rsidRPr="00CD1425" w:rsidRDefault="00713E94" w:rsidP="00B026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 rate trend</w:t>
            </w:r>
          </w:p>
        </w:tc>
        <w:tc>
          <w:tcPr>
            <w:tcW w:w="1425" w:type="dxa"/>
            <w:vAlign w:val="center"/>
          </w:tcPr>
          <w:p w14:paraId="2F65E40A" w14:textId="77777777" w:rsidR="00713E94" w:rsidRPr="00EC0431" w:rsidRDefault="00713E94" w:rsidP="00B026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0431">
              <w:rPr>
                <w:rFonts w:ascii="Times New Roman" w:hAnsi="Times New Roman" w:cs="Times New Roman"/>
                <w:sz w:val="20"/>
              </w:rPr>
              <w:t>β1+β3+β5+β7</w:t>
            </w:r>
          </w:p>
        </w:tc>
        <w:tc>
          <w:tcPr>
            <w:tcW w:w="1887" w:type="dxa"/>
            <w:vAlign w:val="center"/>
          </w:tcPr>
          <w:p w14:paraId="72EA1258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(0.97, 0.99)</w:t>
            </w:r>
          </w:p>
        </w:tc>
        <w:tc>
          <w:tcPr>
            <w:tcW w:w="1440" w:type="dxa"/>
            <w:vAlign w:val="center"/>
          </w:tcPr>
          <w:p w14:paraId="18CEBB73" w14:textId="77777777" w:rsidR="00713E94" w:rsidRPr="00CD1425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(-3, -1)</w:t>
            </w:r>
          </w:p>
        </w:tc>
        <w:tc>
          <w:tcPr>
            <w:tcW w:w="1260" w:type="dxa"/>
            <w:vAlign w:val="center"/>
          </w:tcPr>
          <w:p w14:paraId="4DF9D975" w14:textId="77777777" w:rsidR="00713E94" w:rsidRPr="007D678C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8C">
              <w:rPr>
                <w:rFonts w:ascii="Times New Roman" w:hAnsi="Times New Roman" w:cs="Times New Roman"/>
                <w:sz w:val="24"/>
              </w:rPr>
              <w:t>&lt;.0001</w:t>
            </w:r>
          </w:p>
        </w:tc>
      </w:tr>
      <w:tr w:rsidR="00713E94" w:rsidRPr="00CD1425" w14:paraId="7A304DE4" w14:textId="77777777" w:rsidTr="00B02605">
        <w:trPr>
          <w:trHeight w:val="342"/>
          <w:jc w:val="center"/>
        </w:trPr>
        <w:tc>
          <w:tcPr>
            <w:tcW w:w="8910" w:type="dxa"/>
            <w:gridSpan w:val="5"/>
            <w:shd w:val="clear" w:color="auto" w:fill="D9D9D9" w:themeFill="background1" w:themeFillShade="D9"/>
            <w:vAlign w:val="center"/>
          </w:tcPr>
          <w:p w14:paraId="0DFE91E9" w14:textId="77777777" w:rsidR="00713E94" w:rsidRPr="00F57C1C" w:rsidRDefault="00713E94" w:rsidP="00B0260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57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Participant ACH versus Non-Participant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ACH</w:t>
            </w:r>
          </w:p>
        </w:tc>
      </w:tr>
      <w:tr w:rsidR="00713E94" w:rsidRPr="00CD1425" w14:paraId="634F2B5B" w14:textId="77777777" w:rsidTr="00B02605">
        <w:trPr>
          <w:trHeight w:val="342"/>
          <w:jc w:val="center"/>
        </w:trPr>
        <w:tc>
          <w:tcPr>
            <w:tcW w:w="2898" w:type="dxa"/>
            <w:vAlign w:val="center"/>
          </w:tcPr>
          <w:p w14:paraId="2A291126" w14:textId="77777777" w:rsidR="00713E94" w:rsidRPr="00CD1425" w:rsidRDefault="00713E94" w:rsidP="00B026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 trend</w:t>
            </w:r>
          </w:p>
        </w:tc>
        <w:tc>
          <w:tcPr>
            <w:tcW w:w="1425" w:type="dxa"/>
            <w:vAlign w:val="center"/>
          </w:tcPr>
          <w:p w14:paraId="0483B93F" w14:textId="77777777" w:rsidR="00713E94" w:rsidRPr="00EC0431" w:rsidRDefault="00713E94" w:rsidP="00B026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425">
              <w:rPr>
                <w:rFonts w:ascii="Times New Roman" w:hAnsi="Times New Roman" w:cs="Times New Roman"/>
                <w:sz w:val="24"/>
              </w:rPr>
              <w:t>β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87" w:type="dxa"/>
            <w:vAlign w:val="center"/>
          </w:tcPr>
          <w:p w14:paraId="4C666294" w14:textId="77777777" w:rsidR="00713E94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 (1.00, 1.04)</w:t>
            </w:r>
          </w:p>
        </w:tc>
        <w:tc>
          <w:tcPr>
            <w:tcW w:w="1440" w:type="dxa"/>
            <w:vAlign w:val="center"/>
          </w:tcPr>
          <w:p w14:paraId="0EE0A68E" w14:textId="77777777" w:rsidR="00713E94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(0, 4)</w:t>
            </w:r>
          </w:p>
        </w:tc>
        <w:tc>
          <w:tcPr>
            <w:tcW w:w="1260" w:type="dxa"/>
            <w:vAlign w:val="center"/>
          </w:tcPr>
          <w:p w14:paraId="5B624072" w14:textId="77777777" w:rsidR="00713E94" w:rsidRPr="007D678C" w:rsidRDefault="00713E94" w:rsidP="00B02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713E94" w:rsidRPr="00CD1425" w14:paraId="10CDBDC4" w14:textId="77777777" w:rsidTr="00B02605">
        <w:trPr>
          <w:trHeight w:val="342"/>
          <w:jc w:val="center"/>
        </w:trPr>
        <w:tc>
          <w:tcPr>
            <w:tcW w:w="2898" w:type="dxa"/>
            <w:vAlign w:val="center"/>
          </w:tcPr>
          <w:p w14:paraId="6F3F2902" w14:textId="77777777" w:rsidR="00713E94" w:rsidRPr="00CD1425" w:rsidRDefault="00713E94" w:rsidP="00B026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Level change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rate</w:t>
            </w:r>
          </w:p>
        </w:tc>
        <w:tc>
          <w:tcPr>
            <w:tcW w:w="1425" w:type="dxa"/>
            <w:vAlign w:val="center"/>
          </w:tcPr>
          <w:p w14:paraId="65152198" w14:textId="77777777" w:rsidR="00713E94" w:rsidRPr="00EC0431" w:rsidRDefault="00713E94" w:rsidP="00B026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425">
              <w:rPr>
                <w:rFonts w:ascii="Times New Roman" w:hAnsi="Times New Roman" w:cs="Times New Roman"/>
                <w:sz w:val="24"/>
              </w:rPr>
              <w:t>β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87" w:type="dxa"/>
            <w:vAlign w:val="center"/>
          </w:tcPr>
          <w:p w14:paraId="76B6A566" w14:textId="77777777" w:rsidR="00713E94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 (0.69, 1.25)</w:t>
            </w:r>
          </w:p>
        </w:tc>
        <w:tc>
          <w:tcPr>
            <w:tcW w:w="1440" w:type="dxa"/>
            <w:vAlign w:val="center"/>
          </w:tcPr>
          <w:p w14:paraId="57F42A72" w14:textId="77777777" w:rsidR="00713E94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 (-31, 25)</w:t>
            </w:r>
          </w:p>
        </w:tc>
        <w:tc>
          <w:tcPr>
            <w:tcW w:w="1260" w:type="dxa"/>
            <w:vAlign w:val="center"/>
          </w:tcPr>
          <w:p w14:paraId="4D0D42F0" w14:textId="77777777" w:rsidR="00713E94" w:rsidRPr="007D678C" w:rsidRDefault="00713E94" w:rsidP="00B02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713E94" w:rsidRPr="00CD1425" w14:paraId="7A2BB096" w14:textId="77777777" w:rsidTr="00B02605">
        <w:trPr>
          <w:trHeight w:val="342"/>
          <w:jc w:val="center"/>
        </w:trPr>
        <w:tc>
          <w:tcPr>
            <w:tcW w:w="2898" w:type="dxa"/>
            <w:vAlign w:val="center"/>
          </w:tcPr>
          <w:p w14:paraId="3FF5D41B" w14:textId="77777777" w:rsidR="00713E94" w:rsidRPr="00CD1425" w:rsidRDefault="00713E94" w:rsidP="00B026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Change in rate trend </w:t>
            </w:r>
          </w:p>
        </w:tc>
        <w:tc>
          <w:tcPr>
            <w:tcW w:w="1425" w:type="dxa"/>
            <w:vAlign w:val="center"/>
          </w:tcPr>
          <w:p w14:paraId="54D6E9B9" w14:textId="77777777" w:rsidR="00713E94" w:rsidRPr="00EC0431" w:rsidRDefault="00713E94" w:rsidP="00B026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425">
              <w:rPr>
                <w:rFonts w:ascii="Times New Roman" w:hAnsi="Times New Roman" w:cs="Times New Roman"/>
                <w:sz w:val="24"/>
              </w:rPr>
              <w:t>β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87" w:type="dxa"/>
            <w:vAlign w:val="center"/>
          </w:tcPr>
          <w:p w14:paraId="53D136D9" w14:textId="77777777" w:rsidR="00713E94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 (0.94 0.98)</w:t>
            </w:r>
          </w:p>
        </w:tc>
        <w:tc>
          <w:tcPr>
            <w:tcW w:w="1440" w:type="dxa"/>
            <w:vAlign w:val="center"/>
          </w:tcPr>
          <w:p w14:paraId="1C31F81A" w14:textId="77777777" w:rsidR="00713E94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(-6, -2)</w:t>
            </w:r>
          </w:p>
        </w:tc>
        <w:tc>
          <w:tcPr>
            <w:tcW w:w="1260" w:type="dxa"/>
            <w:vAlign w:val="center"/>
          </w:tcPr>
          <w:p w14:paraId="4407CC0C" w14:textId="77777777" w:rsidR="00713E94" w:rsidRPr="007D678C" w:rsidRDefault="00713E94" w:rsidP="00B02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713E94" w:rsidRPr="00CD1425" w14:paraId="3E423293" w14:textId="77777777" w:rsidTr="00B02605">
        <w:trPr>
          <w:trHeight w:val="342"/>
          <w:jc w:val="center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14:paraId="79226E96" w14:textId="77777777" w:rsidR="00713E94" w:rsidRPr="00CD1425" w:rsidRDefault="00713E94" w:rsidP="00B026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 rate trend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38F979B0" w14:textId="77777777" w:rsidR="00713E94" w:rsidRPr="00EC0431" w:rsidRDefault="00713E94" w:rsidP="00B026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425">
              <w:rPr>
                <w:rFonts w:ascii="Times New Roman" w:hAnsi="Times New Roman" w:cs="Times New Roman"/>
                <w:sz w:val="24"/>
              </w:rPr>
              <w:t>β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D1425">
              <w:rPr>
                <w:rFonts w:ascii="Times New Roman" w:hAnsi="Times New Roman" w:cs="Times New Roman"/>
                <w:sz w:val="24"/>
              </w:rPr>
              <w:t>+β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55BE1EE4" w14:textId="77777777" w:rsidR="00713E94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(0.96, 1.01)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9B3F561" w14:textId="77777777" w:rsidR="00713E94" w:rsidRDefault="00713E94" w:rsidP="00B0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(-4, 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D9814E" w14:textId="77777777" w:rsidR="00713E94" w:rsidRPr="007D678C" w:rsidRDefault="00713E94" w:rsidP="00B02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189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</w:tbl>
    <w:p w14:paraId="0C9B15CF" w14:textId="77777777" w:rsidR="00713E94" w:rsidRPr="00E63276" w:rsidRDefault="00713E94" w:rsidP="00713E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1425">
        <w:rPr>
          <w:rFonts w:ascii="Times New Roman" w:hAnsi="Times New Roman" w:cs="Times New Roman"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 xml:space="preserve">The hospital-onset CDI model was adjusted for CDI test method, number of ICU beds, hospital bed size, medical school affiliation and </w:t>
      </w:r>
      <w:r w:rsidRPr="00243562">
        <w:rPr>
          <w:rFonts w:ascii="Times New Roman" w:hAnsi="Times New Roman" w:cs="Times New Roman"/>
          <w:sz w:val="24"/>
          <w:szCs w:val="24"/>
        </w:rPr>
        <w:t>community-onset CDI rate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107C">
        <w:rPr>
          <w:rFonts w:ascii="Times New Roman" w:hAnsi="Times New Roman" w:cs="Times New Roman"/>
          <w:sz w:val="24"/>
          <w:szCs w:val="24"/>
        </w:rPr>
        <w:t xml:space="preserve">Abbreviation: ACH, </w:t>
      </w:r>
      <w:r>
        <w:rPr>
          <w:rFonts w:ascii="Times New Roman" w:hAnsi="Times New Roman" w:cs="Times New Roman"/>
          <w:sz w:val="24"/>
          <w:szCs w:val="24"/>
        </w:rPr>
        <w:t>acute c</w:t>
      </w:r>
      <w:r w:rsidRPr="007C107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C107C">
        <w:rPr>
          <w:rFonts w:ascii="Times New Roman" w:hAnsi="Times New Roman" w:cs="Times New Roman"/>
          <w:sz w:val="24"/>
          <w:szCs w:val="24"/>
        </w:rPr>
        <w:t>ospitals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A068F6" w14:textId="77777777" w:rsidR="00713E94" w:rsidRPr="005D7ABA" w:rsidRDefault="00713E94" w:rsidP="00713E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Percent change = (IRR – 1) × 100.</w:t>
      </w:r>
    </w:p>
    <w:p w14:paraId="331F1067" w14:textId="0A8EEF84" w:rsidR="00713E94" w:rsidRDefault="00713E94" w:rsidP="00713E94">
      <w:pPr>
        <w:spacing w:line="48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HO-CDI Model: ln(λ) = </w:t>
      </w:r>
      <w:r w:rsidRPr="00CD1425">
        <w:rPr>
          <w:rFonts w:ascii="Times New Roman" w:hAnsi="Times New Roman" w:cs="Times New Roman"/>
          <w:sz w:val="24"/>
        </w:rPr>
        <w:t>β</w:t>
      </w:r>
      <w:r>
        <w:rPr>
          <w:rFonts w:ascii="Times New Roman" w:hAnsi="Times New Roman" w:cs="Times New Roman"/>
          <w:sz w:val="24"/>
        </w:rPr>
        <w:t xml:space="preserve">0(intercept) + </w:t>
      </w:r>
      <w:r w:rsidRPr="00CD1425">
        <w:rPr>
          <w:rFonts w:ascii="Times New Roman" w:hAnsi="Times New Roman" w:cs="Times New Roman"/>
          <w:sz w:val="24"/>
        </w:rPr>
        <w:t>β1</w:t>
      </w:r>
      <w:r>
        <w:rPr>
          <w:rFonts w:ascii="Times New Roman" w:hAnsi="Times New Roman" w:cs="Times New Roman"/>
          <w:sz w:val="24"/>
        </w:rPr>
        <w:t xml:space="preserve">(month) + </w:t>
      </w:r>
      <w:r w:rsidRPr="00CD1425">
        <w:rPr>
          <w:rFonts w:ascii="Times New Roman" w:hAnsi="Times New Roman" w:cs="Times New Roman"/>
          <w:sz w:val="24"/>
        </w:rPr>
        <w:t>β</w:t>
      </w:r>
      <w:r>
        <w:rPr>
          <w:rFonts w:ascii="Times New Roman" w:hAnsi="Times New Roman" w:cs="Times New Roman"/>
          <w:sz w:val="24"/>
        </w:rPr>
        <w:t xml:space="preserve">2(collaborative) + </w:t>
      </w:r>
      <w:r w:rsidRPr="00CD1425">
        <w:rPr>
          <w:rFonts w:ascii="Times New Roman" w:hAnsi="Times New Roman" w:cs="Times New Roman"/>
          <w:sz w:val="24"/>
        </w:rPr>
        <w:t>β</w:t>
      </w:r>
      <w:r>
        <w:rPr>
          <w:rFonts w:ascii="Times New Roman" w:hAnsi="Times New Roman" w:cs="Times New Roman"/>
          <w:sz w:val="24"/>
        </w:rPr>
        <w:t xml:space="preserve">3(collaborative month) + </w:t>
      </w:r>
      <w:r w:rsidRPr="00CD1425">
        <w:rPr>
          <w:rFonts w:ascii="Times New Roman" w:hAnsi="Times New Roman" w:cs="Times New Roman"/>
          <w:sz w:val="24"/>
        </w:rPr>
        <w:t>β</w:t>
      </w:r>
      <w:r>
        <w:rPr>
          <w:rFonts w:ascii="Times New Roman" w:hAnsi="Times New Roman" w:cs="Times New Roman"/>
          <w:sz w:val="24"/>
        </w:rPr>
        <w:t xml:space="preserve">4(participation) + </w:t>
      </w:r>
      <w:r w:rsidRPr="00CD1425">
        <w:rPr>
          <w:rFonts w:ascii="Times New Roman" w:hAnsi="Times New Roman" w:cs="Times New Roman"/>
          <w:sz w:val="24"/>
        </w:rPr>
        <w:t>β</w:t>
      </w:r>
      <w:r>
        <w:rPr>
          <w:rFonts w:ascii="Times New Roman" w:hAnsi="Times New Roman" w:cs="Times New Roman"/>
          <w:sz w:val="24"/>
        </w:rPr>
        <w:t xml:space="preserve">5(month*participation) + </w:t>
      </w:r>
      <w:r w:rsidRPr="00CD1425">
        <w:rPr>
          <w:rFonts w:ascii="Times New Roman" w:hAnsi="Times New Roman" w:cs="Times New Roman"/>
          <w:sz w:val="24"/>
        </w:rPr>
        <w:t>β</w:t>
      </w:r>
      <w:r>
        <w:rPr>
          <w:rFonts w:ascii="Times New Roman" w:hAnsi="Times New Roman" w:cs="Times New Roman"/>
          <w:sz w:val="24"/>
        </w:rPr>
        <w:t xml:space="preserve">6(collaborative*participation) + </w:t>
      </w:r>
      <w:r w:rsidRPr="00CD1425">
        <w:rPr>
          <w:rFonts w:ascii="Times New Roman" w:hAnsi="Times New Roman" w:cs="Times New Roman"/>
          <w:sz w:val="24"/>
        </w:rPr>
        <w:t>β</w:t>
      </w:r>
      <w:r>
        <w:rPr>
          <w:rFonts w:ascii="Times New Roman" w:hAnsi="Times New Roman" w:cs="Times New Roman"/>
          <w:sz w:val="24"/>
        </w:rPr>
        <w:t>7(collaborative month*participation)</w:t>
      </w:r>
      <w:r w:rsidRPr="009D4A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+ </w:t>
      </w:r>
      <w:r w:rsidRPr="00CD1425">
        <w:rPr>
          <w:rFonts w:ascii="Times New Roman" w:hAnsi="Times New Roman" w:cs="Times New Roman"/>
          <w:sz w:val="24"/>
        </w:rPr>
        <w:t>β</w:t>
      </w:r>
      <w:r>
        <w:rPr>
          <w:rFonts w:ascii="Times New Roman" w:hAnsi="Times New Roman" w:cs="Times New Roman"/>
          <w:sz w:val="24"/>
        </w:rPr>
        <w:t>8(</w:t>
      </w:r>
      <w:r>
        <w:rPr>
          <w:rFonts w:ascii="Times New Roman" w:hAnsi="Times New Roman" w:cs="Times New Roman"/>
          <w:sz w:val="24"/>
          <w:szCs w:val="24"/>
        </w:rPr>
        <w:t>CDI test method</w:t>
      </w:r>
      <w:r>
        <w:rPr>
          <w:rFonts w:ascii="Times New Roman" w:hAnsi="Times New Roman" w:cs="Times New Roman"/>
          <w:sz w:val="24"/>
        </w:rPr>
        <w:t xml:space="preserve">) + </w:t>
      </w:r>
      <w:r w:rsidRPr="00CD1425">
        <w:rPr>
          <w:rFonts w:ascii="Times New Roman" w:hAnsi="Times New Roman" w:cs="Times New Roman"/>
          <w:sz w:val="24"/>
        </w:rPr>
        <w:t>β</w:t>
      </w:r>
      <w:r>
        <w:rPr>
          <w:rFonts w:ascii="Times New Roman" w:hAnsi="Times New Roman" w:cs="Times New Roman"/>
          <w:sz w:val="24"/>
        </w:rPr>
        <w:t>9(</w:t>
      </w:r>
      <w:r>
        <w:rPr>
          <w:rFonts w:ascii="Times New Roman" w:hAnsi="Times New Roman" w:cs="Times New Roman"/>
          <w:sz w:val="24"/>
          <w:szCs w:val="24"/>
        </w:rPr>
        <w:t>number of ICU beds</w:t>
      </w:r>
      <w:r>
        <w:rPr>
          <w:rFonts w:ascii="Times New Roman" w:hAnsi="Times New Roman" w:cs="Times New Roman"/>
          <w:sz w:val="24"/>
        </w:rPr>
        <w:t xml:space="preserve">) + </w:t>
      </w:r>
      <w:r w:rsidRPr="00CD1425">
        <w:rPr>
          <w:rFonts w:ascii="Times New Roman" w:hAnsi="Times New Roman" w:cs="Times New Roman"/>
          <w:sz w:val="24"/>
        </w:rPr>
        <w:t>β</w:t>
      </w:r>
      <w:r>
        <w:rPr>
          <w:rFonts w:ascii="Times New Roman" w:hAnsi="Times New Roman" w:cs="Times New Roman"/>
          <w:sz w:val="24"/>
        </w:rPr>
        <w:t>10(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43562">
        <w:rPr>
          <w:rFonts w:ascii="Times New Roman" w:hAnsi="Times New Roman" w:cs="Times New Roman"/>
          <w:sz w:val="24"/>
          <w:szCs w:val="24"/>
        </w:rPr>
        <w:t>npatient community-onset CDI rate</w:t>
      </w:r>
      <w:r>
        <w:rPr>
          <w:rFonts w:ascii="Times New Roman" w:hAnsi="Times New Roman" w:cs="Times New Roman"/>
          <w:sz w:val="24"/>
        </w:rPr>
        <w:t>); λ = monthly incidence rate. A random intercept was</w:t>
      </w:r>
      <w:r w:rsidRPr="00243562">
        <w:rPr>
          <w:rFonts w:ascii="Times New Roman" w:hAnsi="Times New Roman" w:cs="Times New Roman"/>
          <w:sz w:val="24"/>
          <w:szCs w:val="24"/>
        </w:rPr>
        <w:t xml:space="preserve"> included to account for variation </w:t>
      </w:r>
      <w:r>
        <w:rPr>
          <w:rFonts w:ascii="Times New Roman" w:hAnsi="Times New Roman" w:cs="Times New Roman"/>
          <w:sz w:val="24"/>
          <w:szCs w:val="24"/>
        </w:rPr>
        <w:t xml:space="preserve">in baseline rates between </w:t>
      </w:r>
      <w:r w:rsidRPr="00243562">
        <w:rPr>
          <w:rFonts w:ascii="Times New Roman" w:hAnsi="Times New Roman" w:cs="Times New Roman"/>
          <w:sz w:val="24"/>
          <w:szCs w:val="24"/>
        </w:rPr>
        <w:t>facilities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63D41" w14:textId="77777777" w:rsidR="00FB1BCA" w:rsidRDefault="00FB1BCA" w:rsidP="00020136">
      <w:pPr>
        <w:spacing w:line="480" w:lineRule="auto"/>
        <w:rPr>
          <w:rFonts w:ascii="Times New Roman" w:hAnsi="Times New Roman" w:cs="Times New Roman"/>
          <w:sz w:val="24"/>
        </w:rPr>
      </w:pPr>
    </w:p>
    <w:sectPr w:rsidR="00FB1BCA" w:rsidSect="00D952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C580A6" w16cid:durableId="1F3A2C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0381" w14:textId="77777777" w:rsidR="003162B7" w:rsidRDefault="003162B7" w:rsidP="00243562">
      <w:r>
        <w:separator/>
      </w:r>
    </w:p>
  </w:endnote>
  <w:endnote w:type="continuationSeparator" w:id="0">
    <w:p w14:paraId="401DF1E7" w14:textId="77777777" w:rsidR="003162B7" w:rsidRDefault="003162B7" w:rsidP="0024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551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14D56D1" w14:textId="3CEE0C58" w:rsidR="003162B7" w:rsidRPr="00243562" w:rsidRDefault="003162B7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243562">
          <w:rPr>
            <w:rFonts w:ascii="Times New Roman" w:hAnsi="Times New Roman" w:cs="Times New Roman"/>
            <w:sz w:val="24"/>
          </w:rPr>
          <w:fldChar w:fldCharType="begin"/>
        </w:r>
        <w:r w:rsidRPr="0024356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43562">
          <w:rPr>
            <w:rFonts w:ascii="Times New Roman" w:hAnsi="Times New Roman" w:cs="Times New Roman"/>
            <w:sz w:val="24"/>
          </w:rPr>
          <w:fldChar w:fldCharType="separate"/>
        </w:r>
        <w:r w:rsidR="002C7A91">
          <w:rPr>
            <w:rFonts w:ascii="Times New Roman" w:hAnsi="Times New Roman" w:cs="Times New Roman"/>
            <w:noProof/>
            <w:sz w:val="24"/>
          </w:rPr>
          <w:t>3</w:t>
        </w:r>
        <w:r w:rsidRPr="0024356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F084547" w14:textId="77777777" w:rsidR="003162B7" w:rsidRDefault="00316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698F7" w14:textId="77777777" w:rsidR="003162B7" w:rsidRDefault="003162B7" w:rsidP="00243562">
      <w:r>
        <w:separator/>
      </w:r>
    </w:p>
  </w:footnote>
  <w:footnote w:type="continuationSeparator" w:id="0">
    <w:p w14:paraId="20AD4941" w14:textId="77777777" w:rsidR="003162B7" w:rsidRDefault="003162B7" w:rsidP="0024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39F5" w14:textId="4AEA0902" w:rsidR="003162B7" w:rsidRPr="00D952F1" w:rsidRDefault="003162B7" w:rsidP="00D952F1">
    <w:pPr>
      <w:pStyle w:val="Header"/>
      <w:jc w:val="right"/>
      <w:rPr>
        <w:rFonts w:ascii="Times New Roman" w:hAnsi="Times New Roman" w:cs="Times New Roman"/>
        <w:sz w:val="24"/>
      </w:rPr>
    </w:pPr>
    <w:r w:rsidRPr="00D952F1">
      <w:rPr>
        <w:rFonts w:ascii="Times New Roman" w:hAnsi="Times New Roman" w:cs="Times New Roman"/>
        <w:sz w:val="24"/>
      </w:rPr>
      <w:t>Orange County CDI Collaborative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76A"/>
    <w:multiLevelType w:val="hybridMultilevel"/>
    <w:tmpl w:val="2DA4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3A5"/>
    <w:multiLevelType w:val="hybridMultilevel"/>
    <w:tmpl w:val="DEC6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C48"/>
    <w:multiLevelType w:val="hybridMultilevel"/>
    <w:tmpl w:val="C6D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186"/>
    <w:multiLevelType w:val="hybridMultilevel"/>
    <w:tmpl w:val="CCB8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01E55"/>
    <w:multiLevelType w:val="hybridMultilevel"/>
    <w:tmpl w:val="BD32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2598"/>
    <w:multiLevelType w:val="hybridMultilevel"/>
    <w:tmpl w:val="65B66788"/>
    <w:lvl w:ilvl="0" w:tplc="D13696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04713"/>
    <w:multiLevelType w:val="hybridMultilevel"/>
    <w:tmpl w:val="EFF8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D33A8"/>
    <w:multiLevelType w:val="hybridMultilevel"/>
    <w:tmpl w:val="AA74A66A"/>
    <w:lvl w:ilvl="0" w:tplc="1CF0838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2A54"/>
    <w:multiLevelType w:val="hybridMultilevel"/>
    <w:tmpl w:val="E5CA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340A5"/>
    <w:multiLevelType w:val="hybridMultilevel"/>
    <w:tmpl w:val="0B26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BB"/>
    <w:rsid w:val="00000127"/>
    <w:rsid w:val="000009AE"/>
    <w:rsid w:val="00000B3B"/>
    <w:rsid w:val="00000F1B"/>
    <w:rsid w:val="000038A1"/>
    <w:rsid w:val="00003E60"/>
    <w:rsid w:val="0000485E"/>
    <w:rsid w:val="0001585B"/>
    <w:rsid w:val="00020136"/>
    <w:rsid w:val="0002171D"/>
    <w:rsid w:val="0002357D"/>
    <w:rsid w:val="000239E2"/>
    <w:rsid w:val="00023F51"/>
    <w:rsid w:val="000251EB"/>
    <w:rsid w:val="00025B04"/>
    <w:rsid w:val="0003098A"/>
    <w:rsid w:val="00032D40"/>
    <w:rsid w:val="00033B97"/>
    <w:rsid w:val="0003491F"/>
    <w:rsid w:val="000368DB"/>
    <w:rsid w:val="000379A1"/>
    <w:rsid w:val="000411E9"/>
    <w:rsid w:val="00042F98"/>
    <w:rsid w:val="0004588D"/>
    <w:rsid w:val="000470E9"/>
    <w:rsid w:val="00057409"/>
    <w:rsid w:val="0006140B"/>
    <w:rsid w:val="00064834"/>
    <w:rsid w:val="000665C5"/>
    <w:rsid w:val="00067AC4"/>
    <w:rsid w:val="0007396C"/>
    <w:rsid w:val="00074748"/>
    <w:rsid w:val="00077EFF"/>
    <w:rsid w:val="000811F9"/>
    <w:rsid w:val="00082B91"/>
    <w:rsid w:val="00082D28"/>
    <w:rsid w:val="00087927"/>
    <w:rsid w:val="000920A8"/>
    <w:rsid w:val="000937A5"/>
    <w:rsid w:val="0009383C"/>
    <w:rsid w:val="00094BB2"/>
    <w:rsid w:val="0009667F"/>
    <w:rsid w:val="00097CDF"/>
    <w:rsid w:val="00097E6C"/>
    <w:rsid w:val="000A1BA9"/>
    <w:rsid w:val="000A480D"/>
    <w:rsid w:val="000B1B17"/>
    <w:rsid w:val="000B1F72"/>
    <w:rsid w:val="000B4FD7"/>
    <w:rsid w:val="000B671F"/>
    <w:rsid w:val="000C07E2"/>
    <w:rsid w:val="000C4841"/>
    <w:rsid w:val="000C60C8"/>
    <w:rsid w:val="000D020C"/>
    <w:rsid w:val="000D0EEB"/>
    <w:rsid w:val="000D31BE"/>
    <w:rsid w:val="000D4D9B"/>
    <w:rsid w:val="000D64BE"/>
    <w:rsid w:val="000D754B"/>
    <w:rsid w:val="000E3C13"/>
    <w:rsid w:val="000E4474"/>
    <w:rsid w:val="000F0DA1"/>
    <w:rsid w:val="000F38B3"/>
    <w:rsid w:val="000F3F4F"/>
    <w:rsid w:val="000F6084"/>
    <w:rsid w:val="000F7578"/>
    <w:rsid w:val="00101A77"/>
    <w:rsid w:val="0010506B"/>
    <w:rsid w:val="001071F4"/>
    <w:rsid w:val="001160B1"/>
    <w:rsid w:val="00116165"/>
    <w:rsid w:val="00130A63"/>
    <w:rsid w:val="001401CB"/>
    <w:rsid w:val="00140E2C"/>
    <w:rsid w:val="00141C55"/>
    <w:rsid w:val="00146094"/>
    <w:rsid w:val="00147B71"/>
    <w:rsid w:val="00157555"/>
    <w:rsid w:val="00161522"/>
    <w:rsid w:val="00164665"/>
    <w:rsid w:val="001661CC"/>
    <w:rsid w:val="00171C5C"/>
    <w:rsid w:val="001728F2"/>
    <w:rsid w:val="001731FF"/>
    <w:rsid w:val="00176316"/>
    <w:rsid w:val="0017790F"/>
    <w:rsid w:val="00180B02"/>
    <w:rsid w:val="00182FDE"/>
    <w:rsid w:val="001838E4"/>
    <w:rsid w:val="00183EE9"/>
    <w:rsid w:val="001860D5"/>
    <w:rsid w:val="00192A9A"/>
    <w:rsid w:val="00193A68"/>
    <w:rsid w:val="00194BA1"/>
    <w:rsid w:val="00195DCA"/>
    <w:rsid w:val="00196454"/>
    <w:rsid w:val="001A24E8"/>
    <w:rsid w:val="001A2C1F"/>
    <w:rsid w:val="001A6378"/>
    <w:rsid w:val="001B2D0D"/>
    <w:rsid w:val="001B3B16"/>
    <w:rsid w:val="001B4689"/>
    <w:rsid w:val="001B5730"/>
    <w:rsid w:val="001C07AF"/>
    <w:rsid w:val="001C34E7"/>
    <w:rsid w:val="001C7EAE"/>
    <w:rsid w:val="001D3E85"/>
    <w:rsid w:val="001D5225"/>
    <w:rsid w:val="001D56F0"/>
    <w:rsid w:val="001E3B6E"/>
    <w:rsid w:val="001F3149"/>
    <w:rsid w:val="001F4534"/>
    <w:rsid w:val="001F701B"/>
    <w:rsid w:val="0020005C"/>
    <w:rsid w:val="002035B4"/>
    <w:rsid w:val="00204964"/>
    <w:rsid w:val="002113FB"/>
    <w:rsid w:val="00216038"/>
    <w:rsid w:val="00224AC5"/>
    <w:rsid w:val="00226E83"/>
    <w:rsid w:val="00227C3D"/>
    <w:rsid w:val="00231F82"/>
    <w:rsid w:val="002321AE"/>
    <w:rsid w:val="00236459"/>
    <w:rsid w:val="0024335E"/>
    <w:rsid w:val="00243562"/>
    <w:rsid w:val="002435C9"/>
    <w:rsid w:val="002531C5"/>
    <w:rsid w:val="00254156"/>
    <w:rsid w:val="00254C89"/>
    <w:rsid w:val="002564B8"/>
    <w:rsid w:val="002571D6"/>
    <w:rsid w:val="0026096C"/>
    <w:rsid w:val="002614C4"/>
    <w:rsid w:val="002634EB"/>
    <w:rsid w:val="0026402F"/>
    <w:rsid w:val="00264740"/>
    <w:rsid w:val="00264BA6"/>
    <w:rsid w:val="00271642"/>
    <w:rsid w:val="00271AA1"/>
    <w:rsid w:val="00275D2E"/>
    <w:rsid w:val="00275D7F"/>
    <w:rsid w:val="0028153B"/>
    <w:rsid w:val="00282F21"/>
    <w:rsid w:val="00283517"/>
    <w:rsid w:val="0028465D"/>
    <w:rsid w:val="00287D7F"/>
    <w:rsid w:val="002975F5"/>
    <w:rsid w:val="002978C7"/>
    <w:rsid w:val="002A2BCB"/>
    <w:rsid w:val="002A5AE3"/>
    <w:rsid w:val="002B1184"/>
    <w:rsid w:val="002B2E46"/>
    <w:rsid w:val="002B5CB1"/>
    <w:rsid w:val="002C0612"/>
    <w:rsid w:val="002C0F7A"/>
    <w:rsid w:val="002C14B5"/>
    <w:rsid w:val="002C43B3"/>
    <w:rsid w:val="002C740C"/>
    <w:rsid w:val="002C7A91"/>
    <w:rsid w:val="002D0054"/>
    <w:rsid w:val="002E08A9"/>
    <w:rsid w:val="002E0ED6"/>
    <w:rsid w:val="002E495D"/>
    <w:rsid w:val="002E53D5"/>
    <w:rsid w:val="002E5FED"/>
    <w:rsid w:val="002F11D7"/>
    <w:rsid w:val="002F1C8F"/>
    <w:rsid w:val="002F6AFA"/>
    <w:rsid w:val="002F793D"/>
    <w:rsid w:val="00301D80"/>
    <w:rsid w:val="003032D3"/>
    <w:rsid w:val="00305128"/>
    <w:rsid w:val="0031093B"/>
    <w:rsid w:val="00311C21"/>
    <w:rsid w:val="00312203"/>
    <w:rsid w:val="00313090"/>
    <w:rsid w:val="003137AA"/>
    <w:rsid w:val="0031504E"/>
    <w:rsid w:val="003162B7"/>
    <w:rsid w:val="00316794"/>
    <w:rsid w:val="00321B09"/>
    <w:rsid w:val="00324B1F"/>
    <w:rsid w:val="003277A7"/>
    <w:rsid w:val="00331EA8"/>
    <w:rsid w:val="00333B0C"/>
    <w:rsid w:val="003355CA"/>
    <w:rsid w:val="00336991"/>
    <w:rsid w:val="00337661"/>
    <w:rsid w:val="00340009"/>
    <w:rsid w:val="00341852"/>
    <w:rsid w:val="003466EE"/>
    <w:rsid w:val="003514BB"/>
    <w:rsid w:val="00351ABB"/>
    <w:rsid w:val="00351C0F"/>
    <w:rsid w:val="00361687"/>
    <w:rsid w:val="003641CD"/>
    <w:rsid w:val="00364370"/>
    <w:rsid w:val="00364742"/>
    <w:rsid w:val="00367ED7"/>
    <w:rsid w:val="00371D14"/>
    <w:rsid w:val="00375254"/>
    <w:rsid w:val="0038035C"/>
    <w:rsid w:val="00380A67"/>
    <w:rsid w:val="00383D81"/>
    <w:rsid w:val="0038778D"/>
    <w:rsid w:val="00390B59"/>
    <w:rsid w:val="00392BC0"/>
    <w:rsid w:val="0039499B"/>
    <w:rsid w:val="0039524F"/>
    <w:rsid w:val="003A3359"/>
    <w:rsid w:val="003A3B4E"/>
    <w:rsid w:val="003A5D20"/>
    <w:rsid w:val="003A5FE6"/>
    <w:rsid w:val="003B1CEC"/>
    <w:rsid w:val="003B38EA"/>
    <w:rsid w:val="003C7ACC"/>
    <w:rsid w:val="003D1CAB"/>
    <w:rsid w:val="003E05E8"/>
    <w:rsid w:val="003E5988"/>
    <w:rsid w:val="003E72C7"/>
    <w:rsid w:val="003E7330"/>
    <w:rsid w:val="003F1185"/>
    <w:rsid w:val="003F50EE"/>
    <w:rsid w:val="003F6968"/>
    <w:rsid w:val="00401E00"/>
    <w:rsid w:val="004026A5"/>
    <w:rsid w:val="00403860"/>
    <w:rsid w:val="00411AC5"/>
    <w:rsid w:val="00412BD9"/>
    <w:rsid w:val="00412EB4"/>
    <w:rsid w:val="0041569B"/>
    <w:rsid w:val="00420165"/>
    <w:rsid w:val="00420439"/>
    <w:rsid w:val="00420BA9"/>
    <w:rsid w:val="00425CFB"/>
    <w:rsid w:val="00426CD8"/>
    <w:rsid w:val="00430CCB"/>
    <w:rsid w:val="004416A5"/>
    <w:rsid w:val="004471E6"/>
    <w:rsid w:val="00447203"/>
    <w:rsid w:val="004519C2"/>
    <w:rsid w:val="004519CB"/>
    <w:rsid w:val="00452358"/>
    <w:rsid w:val="00453321"/>
    <w:rsid w:val="00461D26"/>
    <w:rsid w:val="0046242A"/>
    <w:rsid w:val="0046672A"/>
    <w:rsid w:val="00474907"/>
    <w:rsid w:val="00481652"/>
    <w:rsid w:val="00482C1E"/>
    <w:rsid w:val="004831CD"/>
    <w:rsid w:val="00484A4C"/>
    <w:rsid w:val="004904D8"/>
    <w:rsid w:val="00491944"/>
    <w:rsid w:val="004922BE"/>
    <w:rsid w:val="00497BA3"/>
    <w:rsid w:val="004A28AB"/>
    <w:rsid w:val="004A3B04"/>
    <w:rsid w:val="004A57DC"/>
    <w:rsid w:val="004A6489"/>
    <w:rsid w:val="004A7226"/>
    <w:rsid w:val="004B384A"/>
    <w:rsid w:val="004B3B95"/>
    <w:rsid w:val="004C00DC"/>
    <w:rsid w:val="004C22A2"/>
    <w:rsid w:val="004C22A8"/>
    <w:rsid w:val="004C32B8"/>
    <w:rsid w:val="004C3948"/>
    <w:rsid w:val="004D00BC"/>
    <w:rsid w:val="004D17EE"/>
    <w:rsid w:val="004D291B"/>
    <w:rsid w:val="004D357E"/>
    <w:rsid w:val="004D57CF"/>
    <w:rsid w:val="004D6486"/>
    <w:rsid w:val="004D653A"/>
    <w:rsid w:val="004E1397"/>
    <w:rsid w:val="004E2A7C"/>
    <w:rsid w:val="004E405C"/>
    <w:rsid w:val="004F00AB"/>
    <w:rsid w:val="004F0111"/>
    <w:rsid w:val="004F034E"/>
    <w:rsid w:val="004F0526"/>
    <w:rsid w:val="004F2C65"/>
    <w:rsid w:val="004F4811"/>
    <w:rsid w:val="004F59B5"/>
    <w:rsid w:val="004F6E86"/>
    <w:rsid w:val="004F7481"/>
    <w:rsid w:val="004F7754"/>
    <w:rsid w:val="00500258"/>
    <w:rsid w:val="005014E3"/>
    <w:rsid w:val="005023B7"/>
    <w:rsid w:val="005029E5"/>
    <w:rsid w:val="00504A59"/>
    <w:rsid w:val="005068A3"/>
    <w:rsid w:val="0050713C"/>
    <w:rsid w:val="005106BF"/>
    <w:rsid w:val="00512F88"/>
    <w:rsid w:val="00512FA4"/>
    <w:rsid w:val="005146A1"/>
    <w:rsid w:val="00514A68"/>
    <w:rsid w:val="00515908"/>
    <w:rsid w:val="00520692"/>
    <w:rsid w:val="005224BF"/>
    <w:rsid w:val="00523AE7"/>
    <w:rsid w:val="005240B5"/>
    <w:rsid w:val="00531093"/>
    <w:rsid w:val="00532BCD"/>
    <w:rsid w:val="00533436"/>
    <w:rsid w:val="00534F01"/>
    <w:rsid w:val="00536F9A"/>
    <w:rsid w:val="005405F4"/>
    <w:rsid w:val="005444B9"/>
    <w:rsid w:val="00544B4D"/>
    <w:rsid w:val="00545009"/>
    <w:rsid w:val="00545987"/>
    <w:rsid w:val="00545D5A"/>
    <w:rsid w:val="00547CBD"/>
    <w:rsid w:val="00556A9A"/>
    <w:rsid w:val="00557618"/>
    <w:rsid w:val="005578F0"/>
    <w:rsid w:val="005604F0"/>
    <w:rsid w:val="00561E49"/>
    <w:rsid w:val="005639F5"/>
    <w:rsid w:val="005652A5"/>
    <w:rsid w:val="00566F07"/>
    <w:rsid w:val="00567E28"/>
    <w:rsid w:val="00572CE1"/>
    <w:rsid w:val="00573366"/>
    <w:rsid w:val="00574C00"/>
    <w:rsid w:val="005754FB"/>
    <w:rsid w:val="0058049D"/>
    <w:rsid w:val="00581418"/>
    <w:rsid w:val="00582244"/>
    <w:rsid w:val="00583902"/>
    <w:rsid w:val="00586400"/>
    <w:rsid w:val="00592EC8"/>
    <w:rsid w:val="005965BC"/>
    <w:rsid w:val="00596B69"/>
    <w:rsid w:val="005A1285"/>
    <w:rsid w:val="005A2B2D"/>
    <w:rsid w:val="005A3E8B"/>
    <w:rsid w:val="005A7621"/>
    <w:rsid w:val="005A7B5B"/>
    <w:rsid w:val="005A7FB5"/>
    <w:rsid w:val="005B027A"/>
    <w:rsid w:val="005B0F1C"/>
    <w:rsid w:val="005B519A"/>
    <w:rsid w:val="005B7399"/>
    <w:rsid w:val="005B73A0"/>
    <w:rsid w:val="005B7845"/>
    <w:rsid w:val="005C6429"/>
    <w:rsid w:val="005D05D6"/>
    <w:rsid w:val="005D2AD0"/>
    <w:rsid w:val="005D2B1D"/>
    <w:rsid w:val="005D6CE2"/>
    <w:rsid w:val="005D7ABA"/>
    <w:rsid w:val="005E02FC"/>
    <w:rsid w:val="005E043F"/>
    <w:rsid w:val="005E3493"/>
    <w:rsid w:val="005E5277"/>
    <w:rsid w:val="005F0A56"/>
    <w:rsid w:val="005F1659"/>
    <w:rsid w:val="005F4B5E"/>
    <w:rsid w:val="00612534"/>
    <w:rsid w:val="006142E4"/>
    <w:rsid w:val="00614360"/>
    <w:rsid w:val="0061555F"/>
    <w:rsid w:val="00615E1B"/>
    <w:rsid w:val="00620436"/>
    <w:rsid w:val="00620A7A"/>
    <w:rsid w:val="00630140"/>
    <w:rsid w:val="00631419"/>
    <w:rsid w:val="0063478B"/>
    <w:rsid w:val="006422CA"/>
    <w:rsid w:val="00651AA9"/>
    <w:rsid w:val="00651F39"/>
    <w:rsid w:val="00652A58"/>
    <w:rsid w:val="00652B5D"/>
    <w:rsid w:val="00652B8C"/>
    <w:rsid w:val="00654428"/>
    <w:rsid w:val="006563EA"/>
    <w:rsid w:val="006604A7"/>
    <w:rsid w:val="00661334"/>
    <w:rsid w:val="00663752"/>
    <w:rsid w:val="006641CE"/>
    <w:rsid w:val="00667407"/>
    <w:rsid w:val="00671CC1"/>
    <w:rsid w:val="006734AD"/>
    <w:rsid w:val="006742BB"/>
    <w:rsid w:val="0067611F"/>
    <w:rsid w:val="00692223"/>
    <w:rsid w:val="00694093"/>
    <w:rsid w:val="006A10F0"/>
    <w:rsid w:val="006A1189"/>
    <w:rsid w:val="006A3127"/>
    <w:rsid w:val="006A4696"/>
    <w:rsid w:val="006A628A"/>
    <w:rsid w:val="006A6E2B"/>
    <w:rsid w:val="006B1ADF"/>
    <w:rsid w:val="006B255A"/>
    <w:rsid w:val="006B32AC"/>
    <w:rsid w:val="006B50D3"/>
    <w:rsid w:val="006C001D"/>
    <w:rsid w:val="006C06AB"/>
    <w:rsid w:val="006C0DD9"/>
    <w:rsid w:val="006C3A40"/>
    <w:rsid w:val="006D0E76"/>
    <w:rsid w:val="006D22C8"/>
    <w:rsid w:val="006D3F54"/>
    <w:rsid w:val="006D4711"/>
    <w:rsid w:val="006D6544"/>
    <w:rsid w:val="006D66A1"/>
    <w:rsid w:val="006E00E1"/>
    <w:rsid w:val="006E0BAB"/>
    <w:rsid w:val="006E12FF"/>
    <w:rsid w:val="006F1EC0"/>
    <w:rsid w:val="006F33B1"/>
    <w:rsid w:val="007017C2"/>
    <w:rsid w:val="00701A5A"/>
    <w:rsid w:val="007021C3"/>
    <w:rsid w:val="00706953"/>
    <w:rsid w:val="00706A21"/>
    <w:rsid w:val="00711B22"/>
    <w:rsid w:val="0071261D"/>
    <w:rsid w:val="007129BA"/>
    <w:rsid w:val="00713E94"/>
    <w:rsid w:val="0071585C"/>
    <w:rsid w:val="00716523"/>
    <w:rsid w:val="00721288"/>
    <w:rsid w:val="00721973"/>
    <w:rsid w:val="007250D0"/>
    <w:rsid w:val="00725C46"/>
    <w:rsid w:val="00730962"/>
    <w:rsid w:val="007326BA"/>
    <w:rsid w:val="00736F5A"/>
    <w:rsid w:val="007374A1"/>
    <w:rsid w:val="00737F4E"/>
    <w:rsid w:val="007418B7"/>
    <w:rsid w:val="00741EA1"/>
    <w:rsid w:val="00742E98"/>
    <w:rsid w:val="0074365A"/>
    <w:rsid w:val="00746495"/>
    <w:rsid w:val="00751035"/>
    <w:rsid w:val="00756394"/>
    <w:rsid w:val="00756A3E"/>
    <w:rsid w:val="00756E6F"/>
    <w:rsid w:val="007644B4"/>
    <w:rsid w:val="00765F97"/>
    <w:rsid w:val="00770AFA"/>
    <w:rsid w:val="00773C0C"/>
    <w:rsid w:val="00774435"/>
    <w:rsid w:val="0077487C"/>
    <w:rsid w:val="0078198A"/>
    <w:rsid w:val="00785770"/>
    <w:rsid w:val="00787D42"/>
    <w:rsid w:val="00791333"/>
    <w:rsid w:val="0079278D"/>
    <w:rsid w:val="00793EBF"/>
    <w:rsid w:val="00795F07"/>
    <w:rsid w:val="0079606A"/>
    <w:rsid w:val="007A215B"/>
    <w:rsid w:val="007A30DF"/>
    <w:rsid w:val="007A377E"/>
    <w:rsid w:val="007A3B9F"/>
    <w:rsid w:val="007A5260"/>
    <w:rsid w:val="007A6BAD"/>
    <w:rsid w:val="007A7956"/>
    <w:rsid w:val="007B11AA"/>
    <w:rsid w:val="007B1A5C"/>
    <w:rsid w:val="007B1F32"/>
    <w:rsid w:val="007B4524"/>
    <w:rsid w:val="007B5EB3"/>
    <w:rsid w:val="007B6EB6"/>
    <w:rsid w:val="007C107C"/>
    <w:rsid w:val="007C186A"/>
    <w:rsid w:val="007C18E3"/>
    <w:rsid w:val="007D1772"/>
    <w:rsid w:val="007D678C"/>
    <w:rsid w:val="007E07E4"/>
    <w:rsid w:val="007E08B2"/>
    <w:rsid w:val="007E0BB4"/>
    <w:rsid w:val="007E0E71"/>
    <w:rsid w:val="007E1E2F"/>
    <w:rsid w:val="007E51E2"/>
    <w:rsid w:val="007E5A64"/>
    <w:rsid w:val="00802164"/>
    <w:rsid w:val="008034B8"/>
    <w:rsid w:val="00806E1C"/>
    <w:rsid w:val="00813E4E"/>
    <w:rsid w:val="00813FA3"/>
    <w:rsid w:val="0081706D"/>
    <w:rsid w:val="00820E98"/>
    <w:rsid w:val="008212FF"/>
    <w:rsid w:val="00821919"/>
    <w:rsid w:val="008219AE"/>
    <w:rsid w:val="0082243B"/>
    <w:rsid w:val="00822AF1"/>
    <w:rsid w:val="008255C1"/>
    <w:rsid w:val="00826CAB"/>
    <w:rsid w:val="0083323C"/>
    <w:rsid w:val="00833FE7"/>
    <w:rsid w:val="00834CD1"/>
    <w:rsid w:val="008409FC"/>
    <w:rsid w:val="00842D35"/>
    <w:rsid w:val="00846C0F"/>
    <w:rsid w:val="0085038B"/>
    <w:rsid w:val="0085320B"/>
    <w:rsid w:val="008535B7"/>
    <w:rsid w:val="00853B6C"/>
    <w:rsid w:val="00856510"/>
    <w:rsid w:val="0085762D"/>
    <w:rsid w:val="008663E1"/>
    <w:rsid w:val="008676DD"/>
    <w:rsid w:val="00875BF3"/>
    <w:rsid w:val="00875F1F"/>
    <w:rsid w:val="00876317"/>
    <w:rsid w:val="00876E36"/>
    <w:rsid w:val="008859DF"/>
    <w:rsid w:val="0089146C"/>
    <w:rsid w:val="008A3418"/>
    <w:rsid w:val="008A37D2"/>
    <w:rsid w:val="008A7CEF"/>
    <w:rsid w:val="008B3A97"/>
    <w:rsid w:val="008B3B08"/>
    <w:rsid w:val="008B56D7"/>
    <w:rsid w:val="008B78D4"/>
    <w:rsid w:val="008C6F21"/>
    <w:rsid w:val="008D18D7"/>
    <w:rsid w:val="008D4C62"/>
    <w:rsid w:val="008E4108"/>
    <w:rsid w:val="008E4A3D"/>
    <w:rsid w:val="008E5A4E"/>
    <w:rsid w:val="008E71CB"/>
    <w:rsid w:val="008F13BC"/>
    <w:rsid w:val="008F1A13"/>
    <w:rsid w:val="008F2FDB"/>
    <w:rsid w:val="008F35D2"/>
    <w:rsid w:val="008F79A4"/>
    <w:rsid w:val="00901B70"/>
    <w:rsid w:val="00902A20"/>
    <w:rsid w:val="00905690"/>
    <w:rsid w:val="00905732"/>
    <w:rsid w:val="00907091"/>
    <w:rsid w:val="00916B85"/>
    <w:rsid w:val="00920C01"/>
    <w:rsid w:val="00922D74"/>
    <w:rsid w:val="009231C4"/>
    <w:rsid w:val="0092446F"/>
    <w:rsid w:val="0092449F"/>
    <w:rsid w:val="00927025"/>
    <w:rsid w:val="0093129A"/>
    <w:rsid w:val="00932344"/>
    <w:rsid w:val="0093283F"/>
    <w:rsid w:val="00932961"/>
    <w:rsid w:val="00935991"/>
    <w:rsid w:val="00937CDA"/>
    <w:rsid w:val="0094000C"/>
    <w:rsid w:val="00940D53"/>
    <w:rsid w:val="00941365"/>
    <w:rsid w:val="00942B89"/>
    <w:rsid w:val="00944435"/>
    <w:rsid w:val="009449CD"/>
    <w:rsid w:val="00951523"/>
    <w:rsid w:val="00954484"/>
    <w:rsid w:val="00967714"/>
    <w:rsid w:val="009713FB"/>
    <w:rsid w:val="00971897"/>
    <w:rsid w:val="0097248E"/>
    <w:rsid w:val="00973F7A"/>
    <w:rsid w:val="00975F3A"/>
    <w:rsid w:val="0097642C"/>
    <w:rsid w:val="009816F7"/>
    <w:rsid w:val="00981F27"/>
    <w:rsid w:val="00982877"/>
    <w:rsid w:val="00982DE2"/>
    <w:rsid w:val="0098328A"/>
    <w:rsid w:val="009848A5"/>
    <w:rsid w:val="009865F0"/>
    <w:rsid w:val="00987F71"/>
    <w:rsid w:val="00990399"/>
    <w:rsid w:val="00991A86"/>
    <w:rsid w:val="0099330A"/>
    <w:rsid w:val="00993472"/>
    <w:rsid w:val="0099695D"/>
    <w:rsid w:val="00997DA0"/>
    <w:rsid w:val="009A04A7"/>
    <w:rsid w:val="009A3DB2"/>
    <w:rsid w:val="009A42D5"/>
    <w:rsid w:val="009A487D"/>
    <w:rsid w:val="009A4971"/>
    <w:rsid w:val="009A70EE"/>
    <w:rsid w:val="009B09CD"/>
    <w:rsid w:val="009B2079"/>
    <w:rsid w:val="009B3663"/>
    <w:rsid w:val="009B3734"/>
    <w:rsid w:val="009B3DCD"/>
    <w:rsid w:val="009B4FED"/>
    <w:rsid w:val="009C204F"/>
    <w:rsid w:val="009C2B7A"/>
    <w:rsid w:val="009C2EF1"/>
    <w:rsid w:val="009C4DD3"/>
    <w:rsid w:val="009C5EA1"/>
    <w:rsid w:val="009D1614"/>
    <w:rsid w:val="009D1739"/>
    <w:rsid w:val="009D4A0A"/>
    <w:rsid w:val="009D7EC0"/>
    <w:rsid w:val="009E099D"/>
    <w:rsid w:val="009E6C3F"/>
    <w:rsid w:val="009F1656"/>
    <w:rsid w:val="009F2BEB"/>
    <w:rsid w:val="009F2EF0"/>
    <w:rsid w:val="009F78FA"/>
    <w:rsid w:val="009F7CAB"/>
    <w:rsid w:val="00A05DF0"/>
    <w:rsid w:val="00A061F4"/>
    <w:rsid w:val="00A06422"/>
    <w:rsid w:val="00A13B5A"/>
    <w:rsid w:val="00A15BFF"/>
    <w:rsid w:val="00A32924"/>
    <w:rsid w:val="00A4289F"/>
    <w:rsid w:val="00A5529D"/>
    <w:rsid w:val="00A57D99"/>
    <w:rsid w:val="00A6155C"/>
    <w:rsid w:val="00A61D29"/>
    <w:rsid w:val="00A621A5"/>
    <w:rsid w:val="00A62BA6"/>
    <w:rsid w:val="00A62DE7"/>
    <w:rsid w:val="00A64473"/>
    <w:rsid w:val="00A64A4C"/>
    <w:rsid w:val="00A64E18"/>
    <w:rsid w:val="00A72268"/>
    <w:rsid w:val="00A734F5"/>
    <w:rsid w:val="00A75C3B"/>
    <w:rsid w:val="00A7747A"/>
    <w:rsid w:val="00A8157E"/>
    <w:rsid w:val="00A83655"/>
    <w:rsid w:val="00A87149"/>
    <w:rsid w:val="00A956C0"/>
    <w:rsid w:val="00A9638A"/>
    <w:rsid w:val="00A9645E"/>
    <w:rsid w:val="00AA12D9"/>
    <w:rsid w:val="00AA496C"/>
    <w:rsid w:val="00AA7857"/>
    <w:rsid w:val="00AB03D3"/>
    <w:rsid w:val="00AB6086"/>
    <w:rsid w:val="00AB6152"/>
    <w:rsid w:val="00AC01B3"/>
    <w:rsid w:val="00AC5895"/>
    <w:rsid w:val="00AC5A73"/>
    <w:rsid w:val="00AD00AD"/>
    <w:rsid w:val="00AD2391"/>
    <w:rsid w:val="00AD2864"/>
    <w:rsid w:val="00AD456D"/>
    <w:rsid w:val="00AD4FAC"/>
    <w:rsid w:val="00AD5975"/>
    <w:rsid w:val="00AD7EAE"/>
    <w:rsid w:val="00AE0B71"/>
    <w:rsid w:val="00AE1031"/>
    <w:rsid w:val="00AE247C"/>
    <w:rsid w:val="00AE2E0F"/>
    <w:rsid w:val="00AE3A81"/>
    <w:rsid w:val="00AF2255"/>
    <w:rsid w:val="00B009A5"/>
    <w:rsid w:val="00B02605"/>
    <w:rsid w:val="00B05ECC"/>
    <w:rsid w:val="00B11A9D"/>
    <w:rsid w:val="00B152C9"/>
    <w:rsid w:val="00B15538"/>
    <w:rsid w:val="00B17B8B"/>
    <w:rsid w:val="00B2191D"/>
    <w:rsid w:val="00B232AA"/>
    <w:rsid w:val="00B25578"/>
    <w:rsid w:val="00B278AD"/>
    <w:rsid w:val="00B27A65"/>
    <w:rsid w:val="00B3310F"/>
    <w:rsid w:val="00B335BD"/>
    <w:rsid w:val="00B342A3"/>
    <w:rsid w:val="00B34522"/>
    <w:rsid w:val="00B37456"/>
    <w:rsid w:val="00B41FDA"/>
    <w:rsid w:val="00B43BF9"/>
    <w:rsid w:val="00B45C7F"/>
    <w:rsid w:val="00B4670E"/>
    <w:rsid w:val="00B46BEA"/>
    <w:rsid w:val="00B46C81"/>
    <w:rsid w:val="00B50D72"/>
    <w:rsid w:val="00B51027"/>
    <w:rsid w:val="00B54691"/>
    <w:rsid w:val="00B55D73"/>
    <w:rsid w:val="00B568F9"/>
    <w:rsid w:val="00B570E3"/>
    <w:rsid w:val="00B57352"/>
    <w:rsid w:val="00B622E4"/>
    <w:rsid w:val="00B64437"/>
    <w:rsid w:val="00B653D8"/>
    <w:rsid w:val="00B65871"/>
    <w:rsid w:val="00B70C6C"/>
    <w:rsid w:val="00B7125D"/>
    <w:rsid w:val="00B73057"/>
    <w:rsid w:val="00B73952"/>
    <w:rsid w:val="00B75FD4"/>
    <w:rsid w:val="00B77192"/>
    <w:rsid w:val="00B82415"/>
    <w:rsid w:val="00B84B2D"/>
    <w:rsid w:val="00B8597F"/>
    <w:rsid w:val="00B86279"/>
    <w:rsid w:val="00B8776D"/>
    <w:rsid w:val="00B87972"/>
    <w:rsid w:val="00B900EA"/>
    <w:rsid w:val="00B93B66"/>
    <w:rsid w:val="00B968A6"/>
    <w:rsid w:val="00BA1AC1"/>
    <w:rsid w:val="00BA6550"/>
    <w:rsid w:val="00BA7180"/>
    <w:rsid w:val="00BA779C"/>
    <w:rsid w:val="00BB34F8"/>
    <w:rsid w:val="00BB5C86"/>
    <w:rsid w:val="00BC2368"/>
    <w:rsid w:val="00BC3778"/>
    <w:rsid w:val="00BC5393"/>
    <w:rsid w:val="00BC5921"/>
    <w:rsid w:val="00BC5EFE"/>
    <w:rsid w:val="00BC672A"/>
    <w:rsid w:val="00BD1033"/>
    <w:rsid w:val="00BD1458"/>
    <w:rsid w:val="00BD1594"/>
    <w:rsid w:val="00BD2123"/>
    <w:rsid w:val="00BD23DC"/>
    <w:rsid w:val="00BD3B05"/>
    <w:rsid w:val="00BD3FD1"/>
    <w:rsid w:val="00BE2313"/>
    <w:rsid w:val="00BE2B63"/>
    <w:rsid w:val="00BE7D84"/>
    <w:rsid w:val="00BF2102"/>
    <w:rsid w:val="00BF35CB"/>
    <w:rsid w:val="00BF4086"/>
    <w:rsid w:val="00BF41E2"/>
    <w:rsid w:val="00BF687A"/>
    <w:rsid w:val="00C0159F"/>
    <w:rsid w:val="00C038A1"/>
    <w:rsid w:val="00C03C6B"/>
    <w:rsid w:val="00C05402"/>
    <w:rsid w:val="00C065B1"/>
    <w:rsid w:val="00C10D04"/>
    <w:rsid w:val="00C13E2A"/>
    <w:rsid w:val="00C226E2"/>
    <w:rsid w:val="00C25394"/>
    <w:rsid w:val="00C274E8"/>
    <w:rsid w:val="00C31F43"/>
    <w:rsid w:val="00C3299B"/>
    <w:rsid w:val="00C41CC8"/>
    <w:rsid w:val="00C45625"/>
    <w:rsid w:val="00C47934"/>
    <w:rsid w:val="00C50653"/>
    <w:rsid w:val="00C52876"/>
    <w:rsid w:val="00C56C80"/>
    <w:rsid w:val="00C6307D"/>
    <w:rsid w:val="00C66498"/>
    <w:rsid w:val="00C67FE7"/>
    <w:rsid w:val="00C718EC"/>
    <w:rsid w:val="00C73179"/>
    <w:rsid w:val="00C80DD1"/>
    <w:rsid w:val="00C8230C"/>
    <w:rsid w:val="00C833AE"/>
    <w:rsid w:val="00C84888"/>
    <w:rsid w:val="00C86BD4"/>
    <w:rsid w:val="00C95B82"/>
    <w:rsid w:val="00C975B3"/>
    <w:rsid w:val="00CA0603"/>
    <w:rsid w:val="00CA08E9"/>
    <w:rsid w:val="00CA19CF"/>
    <w:rsid w:val="00CA2DF7"/>
    <w:rsid w:val="00CA49A2"/>
    <w:rsid w:val="00CA4E20"/>
    <w:rsid w:val="00CB0618"/>
    <w:rsid w:val="00CB0A4A"/>
    <w:rsid w:val="00CB0FAC"/>
    <w:rsid w:val="00CC5976"/>
    <w:rsid w:val="00CC6FC8"/>
    <w:rsid w:val="00CD1425"/>
    <w:rsid w:val="00CD1BC8"/>
    <w:rsid w:val="00CD4B21"/>
    <w:rsid w:val="00CE1866"/>
    <w:rsid w:val="00CE40E1"/>
    <w:rsid w:val="00CE5BC3"/>
    <w:rsid w:val="00CE6352"/>
    <w:rsid w:val="00CE6801"/>
    <w:rsid w:val="00CF37B2"/>
    <w:rsid w:val="00D01F6C"/>
    <w:rsid w:val="00D04B92"/>
    <w:rsid w:val="00D051FE"/>
    <w:rsid w:val="00D11F23"/>
    <w:rsid w:val="00D13AFB"/>
    <w:rsid w:val="00D13D1C"/>
    <w:rsid w:val="00D14307"/>
    <w:rsid w:val="00D15B3B"/>
    <w:rsid w:val="00D16E21"/>
    <w:rsid w:val="00D17072"/>
    <w:rsid w:val="00D20E57"/>
    <w:rsid w:val="00D21056"/>
    <w:rsid w:val="00D21301"/>
    <w:rsid w:val="00D25444"/>
    <w:rsid w:val="00D27E8B"/>
    <w:rsid w:val="00D33AD6"/>
    <w:rsid w:val="00D36B1D"/>
    <w:rsid w:val="00D37148"/>
    <w:rsid w:val="00D4531C"/>
    <w:rsid w:val="00D503A9"/>
    <w:rsid w:val="00D51DEA"/>
    <w:rsid w:val="00D53ABD"/>
    <w:rsid w:val="00D54C95"/>
    <w:rsid w:val="00D56C26"/>
    <w:rsid w:val="00D57B0D"/>
    <w:rsid w:val="00D61FB2"/>
    <w:rsid w:val="00D63608"/>
    <w:rsid w:val="00D63F1A"/>
    <w:rsid w:val="00D640E0"/>
    <w:rsid w:val="00D66927"/>
    <w:rsid w:val="00D72A57"/>
    <w:rsid w:val="00D75B1E"/>
    <w:rsid w:val="00D76200"/>
    <w:rsid w:val="00D76BE8"/>
    <w:rsid w:val="00D80DE8"/>
    <w:rsid w:val="00D821E8"/>
    <w:rsid w:val="00D83DB9"/>
    <w:rsid w:val="00D83E49"/>
    <w:rsid w:val="00D84148"/>
    <w:rsid w:val="00D9134B"/>
    <w:rsid w:val="00D91D77"/>
    <w:rsid w:val="00D92346"/>
    <w:rsid w:val="00D9310A"/>
    <w:rsid w:val="00D9330E"/>
    <w:rsid w:val="00D936C6"/>
    <w:rsid w:val="00D94579"/>
    <w:rsid w:val="00D952F1"/>
    <w:rsid w:val="00D95971"/>
    <w:rsid w:val="00D97277"/>
    <w:rsid w:val="00DA082E"/>
    <w:rsid w:val="00DA3497"/>
    <w:rsid w:val="00DA3D03"/>
    <w:rsid w:val="00DA6196"/>
    <w:rsid w:val="00DA7FC8"/>
    <w:rsid w:val="00DB2B66"/>
    <w:rsid w:val="00DB3DDB"/>
    <w:rsid w:val="00DB4B7B"/>
    <w:rsid w:val="00DB4E23"/>
    <w:rsid w:val="00DB7FB0"/>
    <w:rsid w:val="00DC27D7"/>
    <w:rsid w:val="00DC42FC"/>
    <w:rsid w:val="00DC518F"/>
    <w:rsid w:val="00DC6BF3"/>
    <w:rsid w:val="00DC7B67"/>
    <w:rsid w:val="00DD2644"/>
    <w:rsid w:val="00DD42B9"/>
    <w:rsid w:val="00DE0327"/>
    <w:rsid w:val="00DE27D7"/>
    <w:rsid w:val="00DE7026"/>
    <w:rsid w:val="00DE71F5"/>
    <w:rsid w:val="00DF25B5"/>
    <w:rsid w:val="00E0093E"/>
    <w:rsid w:val="00E029A2"/>
    <w:rsid w:val="00E04932"/>
    <w:rsid w:val="00E052E1"/>
    <w:rsid w:val="00E05DB3"/>
    <w:rsid w:val="00E06975"/>
    <w:rsid w:val="00E1160F"/>
    <w:rsid w:val="00E156BD"/>
    <w:rsid w:val="00E2189B"/>
    <w:rsid w:val="00E22CDA"/>
    <w:rsid w:val="00E256A9"/>
    <w:rsid w:val="00E26CA6"/>
    <w:rsid w:val="00E26FD2"/>
    <w:rsid w:val="00E34C29"/>
    <w:rsid w:val="00E34DEC"/>
    <w:rsid w:val="00E43306"/>
    <w:rsid w:val="00E43F53"/>
    <w:rsid w:val="00E4476A"/>
    <w:rsid w:val="00E45D8C"/>
    <w:rsid w:val="00E47EDF"/>
    <w:rsid w:val="00E52B10"/>
    <w:rsid w:val="00E52BA3"/>
    <w:rsid w:val="00E55849"/>
    <w:rsid w:val="00E55CA7"/>
    <w:rsid w:val="00E61965"/>
    <w:rsid w:val="00E63276"/>
    <w:rsid w:val="00E65AE4"/>
    <w:rsid w:val="00E7221B"/>
    <w:rsid w:val="00E72E8A"/>
    <w:rsid w:val="00E747B7"/>
    <w:rsid w:val="00E801D2"/>
    <w:rsid w:val="00E8393D"/>
    <w:rsid w:val="00E8532D"/>
    <w:rsid w:val="00E877E3"/>
    <w:rsid w:val="00E9167D"/>
    <w:rsid w:val="00E93DB7"/>
    <w:rsid w:val="00EA023F"/>
    <w:rsid w:val="00EA0F19"/>
    <w:rsid w:val="00EA3FC0"/>
    <w:rsid w:val="00EA439A"/>
    <w:rsid w:val="00EA6ED3"/>
    <w:rsid w:val="00EB3236"/>
    <w:rsid w:val="00EB4675"/>
    <w:rsid w:val="00EB5EC2"/>
    <w:rsid w:val="00EB7A8F"/>
    <w:rsid w:val="00EC0431"/>
    <w:rsid w:val="00EC564F"/>
    <w:rsid w:val="00EC7A26"/>
    <w:rsid w:val="00ED269A"/>
    <w:rsid w:val="00EE0D13"/>
    <w:rsid w:val="00EE0DDD"/>
    <w:rsid w:val="00EE2A65"/>
    <w:rsid w:val="00EE7A2A"/>
    <w:rsid w:val="00EE7DF9"/>
    <w:rsid w:val="00EF1B03"/>
    <w:rsid w:val="00EF2F15"/>
    <w:rsid w:val="00EF4887"/>
    <w:rsid w:val="00EF6F20"/>
    <w:rsid w:val="00EF7A43"/>
    <w:rsid w:val="00F03961"/>
    <w:rsid w:val="00F10177"/>
    <w:rsid w:val="00F10309"/>
    <w:rsid w:val="00F11CCF"/>
    <w:rsid w:val="00F11E9D"/>
    <w:rsid w:val="00F13716"/>
    <w:rsid w:val="00F205E2"/>
    <w:rsid w:val="00F24405"/>
    <w:rsid w:val="00F260E8"/>
    <w:rsid w:val="00F263F9"/>
    <w:rsid w:val="00F265B1"/>
    <w:rsid w:val="00F27FC7"/>
    <w:rsid w:val="00F304D1"/>
    <w:rsid w:val="00F3068B"/>
    <w:rsid w:val="00F30841"/>
    <w:rsid w:val="00F353DF"/>
    <w:rsid w:val="00F47024"/>
    <w:rsid w:val="00F4744C"/>
    <w:rsid w:val="00F501B5"/>
    <w:rsid w:val="00F540B6"/>
    <w:rsid w:val="00F5447E"/>
    <w:rsid w:val="00F54DA3"/>
    <w:rsid w:val="00F577BD"/>
    <w:rsid w:val="00F57935"/>
    <w:rsid w:val="00F57C1C"/>
    <w:rsid w:val="00F63E50"/>
    <w:rsid w:val="00F65556"/>
    <w:rsid w:val="00F6568D"/>
    <w:rsid w:val="00F678F1"/>
    <w:rsid w:val="00F67968"/>
    <w:rsid w:val="00F72AAA"/>
    <w:rsid w:val="00F74D4D"/>
    <w:rsid w:val="00F815D8"/>
    <w:rsid w:val="00F82E4C"/>
    <w:rsid w:val="00F85331"/>
    <w:rsid w:val="00F902F0"/>
    <w:rsid w:val="00F913B0"/>
    <w:rsid w:val="00F9163A"/>
    <w:rsid w:val="00F9281F"/>
    <w:rsid w:val="00F93368"/>
    <w:rsid w:val="00F9529A"/>
    <w:rsid w:val="00F95591"/>
    <w:rsid w:val="00FA4BBB"/>
    <w:rsid w:val="00FB1BCA"/>
    <w:rsid w:val="00FB4A93"/>
    <w:rsid w:val="00FC439A"/>
    <w:rsid w:val="00FC6929"/>
    <w:rsid w:val="00FC6CCE"/>
    <w:rsid w:val="00FD3003"/>
    <w:rsid w:val="00FD7287"/>
    <w:rsid w:val="00FD7533"/>
    <w:rsid w:val="00FD7F96"/>
    <w:rsid w:val="00FE2435"/>
    <w:rsid w:val="00FE3458"/>
    <w:rsid w:val="00FE397B"/>
    <w:rsid w:val="00FE5D47"/>
    <w:rsid w:val="00FE62B1"/>
    <w:rsid w:val="00FF0BD5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98B7"/>
  <w15:chartTrackingRefBased/>
  <w15:docId w15:val="{19D56B50-07FA-42ED-9BC3-7C072259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93472"/>
    <w:pPr>
      <w:tabs>
        <w:tab w:val="left" w:pos="384"/>
      </w:tabs>
      <w:spacing w:after="240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243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62"/>
  </w:style>
  <w:style w:type="paragraph" w:styleId="Footer">
    <w:name w:val="footer"/>
    <w:basedOn w:val="Normal"/>
    <w:link w:val="FooterChar"/>
    <w:uiPriority w:val="99"/>
    <w:unhideWhenUsed/>
    <w:rsid w:val="00243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562"/>
  </w:style>
  <w:style w:type="table" w:styleId="TableGrid">
    <w:name w:val="Table Grid"/>
    <w:basedOn w:val="TableNormal"/>
    <w:uiPriority w:val="39"/>
    <w:rsid w:val="00DC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B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852"/>
    <w:rPr>
      <w:b/>
      <w:bCs/>
      <w:sz w:val="20"/>
      <w:szCs w:val="20"/>
    </w:rPr>
  </w:style>
  <w:style w:type="paragraph" w:customStyle="1" w:styleId="Body">
    <w:name w:val="Body"/>
    <w:rsid w:val="00BC53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BC5393"/>
    <w:rPr>
      <w:color w:val="0000FF"/>
      <w:sz w:val="24"/>
      <w:szCs w:val="24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420BA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A28AB"/>
  </w:style>
  <w:style w:type="paragraph" w:styleId="NormalWeb">
    <w:name w:val="Normal (Web)"/>
    <w:basedOn w:val="Normal"/>
    <w:uiPriority w:val="99"/>
    <w:semiHidden/>
    <w:unhideWhenUsed/>
    <w:rsid w:val="00B45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40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6C4A-56DA-4EF1-B6AF-B0EAF532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Rizzo, Kyle (CDPH-CHCQ-HAI)</dc:creator>
  <cp:keywords/>
  <dc:description/>
  <cp:lastModifiedBy>Rizzo, Kyle@CDPH</cp:lastModifiedBy>
  <cp:revision>3</cp:revision>
  <cp:lastPrinted>2018-11-01T23:07:00Z</cp:lastPrinted>
  <dcterms:created xsi:type="dcterms:W3CDTF">2018-12-05T23:25:00Z</dcterms:created>
  <dcterms:modified xsi:type="dcterms:W3CDTF">2018-12-05T23:33:00Z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zotero-version="5.0.53"&gt;&lt;session id="HoEwD6Bb"/&gt;&lt;style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