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8B" w:rsidRDefault="0091628B" w:rsidP="0091628B">
      <w:pPr>
        <w:rPr>
          <w:rFonts w:ascii="Times New Roman" w:hAnsi="Times New Roman" w:cs="Times New Roman"/>
          <w:b/>
          <w:color w:val="000000"/>
          <w:sz w:val="24"/>
          <w:szCs w:val="24"/>
          <w:shd w:val="clear" w:color="auto" w:fill="FFFFFF"/>
        </w:rPr>
      </w:pPr>
      <w:bookmarkStart w:id="0" w:name="_GoBack"/>
      <w:bookmarkEnd w:id="0"/>
      <w:r>
        <w:rPr>
          <w:rFonts w:ascii="Times New Roman" w:hAnsi="Times New Roman" w:cs="Times New Roman"/>
          <w:b/>
          <w:color w:val="000000"/>
          <w:sz w:val="24"/>
          <w:szCs w:val="24"/>
          <w:shd w:val="clear" w:color="auto" w:fill="FFFFFF"/>
        </w:rPr>
        <w:t>Supplementary Materials:</w:t>
      </w:r>
    </w:p>
    <w:p w:rsidR="0091628B" w:rsidRDefault="0091628B" w:rsidP="0091628B">
      <w:pPr>
        <w:rPr>
          <w:rFonts w:ascii="Times New Roman" w:hAnsi="Times New Roman" w:cs="Times New Roman"/>
          <w:color w:val="000000"/>
          <w:sz w:val="24"/>
          <w:szCs w:val="24"/>
          <w:shd w:val="clear" w:color="auto" w:fill="FFFFFF"/>
        </w:rPr>
      </w:pPr>
      <w:r w:rsidRPr="000410AE">
        <w:rPr>
          <w:rFonts w:ascii="Times New Roman" w:hAnsi="Times New Roman" w:cs="Times New Roman"/>
          <w:b/>
          <w:color w:val="000000"/>
          <w:sz w:val="24"/>
          <w:szCs w:val="24"/>
          <w:shd w:val="clear" w:color="auto" w:fill="FFFFFF"/>
        </w:rPr>
        <w:t>Supplemental Table 1</w:t>
      </w:r>
      <w:r w:rsidRPr="00415A3C">
        <w:rPr>
          <w:rFonts w:ascii="Times New Roman" w:hAnsi="Times New Roman" w:cs="Times New Roman"/>
          <w:color w:val="000000"/>
          <w:sz w:val="24"/>
          <w:szCs w:val="24"/>
          <w:shd w:val="clear" w:color="auto" w:fill="FFFFFF"/>
        </w:rPr>
        <w:t xml:space="preserve">. Evaluation of quality of included </w:t>
      </w:r>
      <w:r>
        <w:rPr>
          <w:rFonts w:ascii="Times New Roman" w:hAnsi="Times New Roman" w:cs="Times New Roman"/>
          <w:color w:val="000000"/>
          <w:sz w:val="24"/>
          <w:szCs w:val="24"/>
          <w:shd w:val="clear" w:color="auto" w:fill="FFFFFF"/>
        </w:rPr>
        <w:t xml:space="preserve">observational </w:t>
      </w:r>
      <w:r w:rsidRPr="00415A3C">
        <w:rPr>
          <w:rFonts w:ascii="Times New Roman" w:hAnsi="Times New Roman" w:cs="Times New Roman"/>
          <w:color w:val="000000"/>
          <w:sz w:val="24"/>
          <w:szCs w:val="24"/>
          <w:shd w:val="clear" w:color="auto" w:fill="FFFFFF"/>
        </w:rPr>
        <w:t>studies using the Newcastle-Ottawa Scale (NOS) score.</w:t>
      </w:r>
      <w:r>
        <w:rPr>
          <w:rFonts w:ascii="Times New Roman" w:hAnsi="Times New Roman" w:cs="Times New Roman"/>
          <w:color w:val="000000"/>
          <w:sz w:val="24"/>
          <w:szCs w:val="24"/>
          <w:shd w:val="clear" w:color="auto" w:fill="FFFFFF"/>
        </w:rPr>
        <w:t xml:space="preserve"> </w:t>
      </w:r>
    </w:p>
    <w:tbl>
      <w:tblPr>
        <w:tblStyle w:val="TableGrid"/>
        <w:tblW w:w="13428" w:type="dxa"/>
        <w:tblLayout w:type="fixed"/>
        <w:tblLook w:val="04A0" w:firstRow="1" w:lastRow="0" w:firstColumn="1" w:lastColumn="0" w:noHBand="0" w:noVBand="1"/>
      </w:tblPr>
      <w:tblGrid>
        <w:gridCol w:w="1437"/>
        <w:gridCol w:w="869"/>
        <w:gridCol w:w="862"/>
        <w:gridCol w:w="1295"/>
        <w:gridCol w:w="1504"/>
        <w:gridCol w:w="1196"/>
        <w:gridCol w:w="1215"/>
        <w:gridCol w:w="758"/>
        <w:gridCol w:w="888"/>
        <w:gridCol w:w="1010"/>
        <w:gridCol w:w="795"/>
        <w:gridCol w:w="776"/>
        <w:gridCol w:w="823"/>
      </w:tblGrid>
      <w:tr w:rsidR="0091628B" w:rsidRPr="00474565" w:rsidTr="00FB6DD2">
        <w:trPr>
          <w:trHeight w:val="454"/>
        </w:trPr>
        <w:tc>
          <w:tcPr>
            <w:tcW w:w="1437" w:type="dxa"/>
            <w:vMerge w:val="restart"/>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Author</w:t>
            </w:r>
          </w:p>
        </w:tc>
        <w:tc>
          <w:tcPr>
            <w:tcW w:w="869" w:type="dxa"/>
            <w:vMerge w:val="restart"/>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Year published</w:t>
            </w:r>
          </w:p>
        </w:tc>
        <w:tc>
          <w:tcPr>
            <w:tcW w:w="862" w:type="dxa"/>
            <w:vMerge w:val="restart"/>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Study design</w:t>
            </w:r>
          </w:p>
        </w:tc>
        <w:tc>
          <w:tcPr>
            <w:tcW w:w="5210" w:type="dxa"/>
            <w:gridSpan w:val="4"/>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Selection</w:t>
            </w:r>
          </w:p>
        </w:tc>
        <w:tc>
          <w:tcPr>
            <w:tcW w:w="1646" w:type="dxa"/>
            <w:gridSpan w:val="2"/>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Comparability</w:t>
            </w:r>
          </w:p>
        </w:tc>
        <w:tc>
          <w:tcPr>
            <w:tcW w:w="2581" w:type="dxa"/>
            <w:gridSpan w:val="3"/>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Outcome</w:t>
            </w:r>
          </w:p>
        </w:tc>
        <w:tc>
          <w:tcPr>
            <w:tcW w:w="823" w:type="dxa"/>
            <w:vMerge w:val="restart"/>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NOS score</w:t>
            </w:r>
          </w:p>
          <w:p w:rsidR="0091628B" w:rsidRPr="00474565" w:rsidRDefault="0091628B" w:rsidP="00FB6DD2">
            <w:pPr>
              <w:rPr>
                <w:rFonts w:ascii="Times New Roman" w:hAnsi="Times New Roman" w:cs="Times New Roman"/>
                <w:color w:val="000000"/>
                <w:sz w:val="24"/>
                <w:szCs w:val="24"/>
                <w:shd w:val="clear" w:color="auto" w:fill="FFFFFF"/>
              </w:rPr>
            </w:pPr>
          </w:p>
        </w:tc>
      </w:tr>
      <w:tr w:rsidR="0091628B" w:rsidRPr="00474565" w:rsidTr="00FB6DD2">
        <w:trPr>
          <w:trHeight w:val="488"/>
        </w:trPr>
        <w:tc>
          <w:tcPr>
            <w:tcW w:w="1437" w:type="dxa"/>
            <w:vMerge/>
          </w:tcPr>
          <w:p w:rsidR="0091628B" w:rsidRPr="00474565" w:rsidRDefault="0091628B" w:rsidP="00FB6DD2">
            <w:pPr>
              <w:rPr>
                <w:rFonts w:ascii="Times New Roman" w:hAnsi="Times New Roman" w:cs="Times New Roman"/>
                <w:color w:val="000000"/>
                <w:sz w:val="24"/>
                <w:szCs w:val="24"/>
                <w:shd w:val="clear" w:color="auto" w:fill="FFFFFF"/>
              </w:rPr>
            </w:pPr>
          </w:p>
        </w:tc>
        <w:tc>
          <w:tcPr>
            <w:tcW w:w="869" w:type="dxa"/>
            <w:vMerge/>
          </w:tcPr>
          <w:p w:rsidR="0091628B" w:rsidRPr="00474565" w:rsidRDefault="0091628B" w:rsidP="00FB6DD2">
            <w:pPr>
              <w:rPr>
                <w:rFonts w:ascii="Times New Roman" w:hAnsi="Times New Roman" w:cs="Times New Roman"/>
                <w:color w:val="000000"/>
                <w:sz w:val="24"/>
                <w:szCs w:val="24"/>
                <w:shd w:val="clear" w:color="auto" w:fill="FFFFFF"/>
              </w:rPr>
            </w:pPr>
          </w:p>
        </w:tc>
        <w:tc>
          <w:tcPr>
            <w:tcW w:w="862" w:type="dxa"/>
            <w:vMerge/>
          </w:tcPr>
          <w:p w:rsidR="0091628B" w:rsidRPr="00474565" w:rsidRDefault="0091628B" w:rsidP="00FB6DD2">
            <w:pPr>
              <w:rPr>
                <w:rFonts w:ascii="Times New Roman" w:hAnsi="Times New Roman" w:cs="Times New Roman"/>
                <w:color w:val="000000"/>
                <w:sz w:val="24"/>
                <w:szCs w:val="24"/>
                <w:shd w:val="clear" w:color="auto" w:fill="FFFFFF"/>
              </w:rPr>
            </w:pPr>
          </w:p>
        </w:tc>
        <w:tc>
          <w:tcPr>
            <w:tcW w:w="1295"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Representativeness of exposed cohort</w:t>
            </w:r>
          </w:p>
        </w:tc>
        <w:tc>
          <w:tcPr>
            <w:tcW w:w="1504"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Representativeness of non-exposed cohort</w:t>
            </w:r>
          </w:p>
        </w:tc>
        <w:tc>
          <w:tcPr>
            <w:tcW w:w="1196"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Ascertainment of exposure</w:t>
            </w:r>
          </w:p>
        </w:tc>
        <w:tc>
          <w:tcPr>
            <w:tcW w:w="1215"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Demonstration that outcome of interest was not present at start of study</w:t>
            </w:r>
          </w:p>
        </w:tc>
        <w:tc>
          <w:tcPr>
            <w:tcW w:w="758"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Study controls for age</w:t>
            </w:r>
          </w:p>
        </w:tc>
        <w:tc>
          <w:tcPr>
            <w:tcW w:w="888"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Study controls for any additional factor</w:t>
            </w:r>
          </w:p>
        </w:tc>
        <w:tc>
          <w:tcPr>
            <w:tcW w:w="1010" w:type="dxa"/>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shd w:val="clear" w:color="auto" w:fill="FFFFFF"/>
              </w:rPr>
              <w:t>Assessment of outcome from secure records</w:t>
            </w:r>
          </w:p>
        </w:tc>
        <w:tc>
          <w:tcPr>
            <w:tcW w:w="795" w:type="dxa"/>
          </w:tcPr>
          <w:p w:rsidR="0091628B" w:rsidRPr="00474565" w:rsidRDefault="0091628B" w:rsidP="00FB6DD2">
            <w:pPr>
              <w:rPr>
                <w:rFonts w:ascii="Times New Roman" w:hAnsi="Times New Roman" w:cs="Times New Roman"/>
                <w:color w:val="000000"/>
                <w:sz w:val="24"/>
                <w:szCs w:val="24"/>
              </w:rPr>
            </w:pPr>
            <w:r w:rsidRPr="00474565">
              <w:rPr>
                <w:rFonts w:ascii="Times New Roman" w:hAnsi="Times New Roman" w:cs="Times New Roman"/>
                <w:color w:val="000000"/>
                <w:sz w:val="24"/>
                <w:szCs w:val="24"/>
              </w:rPr>
              <w:t>Delay between episodes ≤ 90 days</w:t>
            </w:r>
          </w:p>
          <w:p w:rsidR="0091628B" w:rsidRPr="00474565" w:rsidRDefault="0091628B" w:rsidP="00FB6DD2">
            <w:pPr>
              <w:rPr>
                <w:rFonts w:ascii="Times New Roman" w:hAnsi="Times New Roman" w:cs="Times New Roman"/>
                <w:color w:val="000000"/>
                <w:sz w:val="24"/>
                <w:szCs w:val="24"/>
                <w:shd w:val="clear" w:color="auto" w:fill="FFFFFF"/>
              </w:rPr>
            </w:pPr>
          </w:p>
        </w:tc>
        <w:tc>
          <w:tcPr>
            <w:tcW w:w="776" w:type="dxa"/>
          </w:tcPr>
          <w:p w:rsidR="0091628B" w:rsidRPr="00474565" w:rsidRDefault="0091628B" w:rsidP="00FB6DD2">
            <w:pPr>
              <w:rPr>
                <w:rFonts w:ascii="Times New Roman" w:hAnsi="Times New Roman" w:cs="Times New Roman"/>
                <w:color w:val="000000"/>
                <w:sz w:val="24"/>
                <w:szCs w:val="24"/>
              </w:rPr>
            </w:pPr>
            <w:r w:rsidRPr="00474565">
              <w:rPr>
                <w:rFonts w:ascii="Times New Roman" w:hAnsi="Times New Roman" w:cs="Times New Roman"/>
                <w:color w:val="000000"/>
                <w:sz w:val="24"/>
                <w:szCs w:val="24"/>
              </w:rPr>
              <w:t>Follow up period clearly reported</w:t>
            </w:r>
          </w:p>
          <w:p w:rsidR="0091628B" w:rsidRPr="00474565" w:rsidRDefault="0091628B" w:rsidP="00FB6DD2">
            <w:pPr>
              <w:rPr>
                <w:rFonts w:ascii="Times New Roman" w:hAnsi="Times New Roman" w:cs="Times New Roman"/>
                <w:color w:val="000000"/>
                <w:sz w:val="24"/>
                <w:szCs w:val="24"/>
                <w:shd w:val="clear" w:color="auto" w:fill="FFFFFF"/>
              </w:rPr>
            </w:pPr>
          </w:p>
        </w:tc>
        <w:tc>
          <w:tcPr>
            <w:tcW w:w="823" w:type="dxa"/>
            <w:vMerge/>
          </w:tcPr>
          <w:p w:rsidR="0091628B" w:rsidRPr="00474565" w:rsidRDefault="0091628B" w:rsidP="00FB6DD2">
            <w:pPr>
              <w:rPr>
                <w:rFonts w:ascii="Times New Roman" w:hAnsi="Times New Roman" w:cs="Times New Roman"/>
                <w:color w:val="000000"/>
                <w:sz w:val="24"/>
                <w:szCs w:val="24"/>
                <w:shd w:val="clear" w:color="auto" w:fill="FFFFFF"/>
              </w:rPr>
            </w:pPr>
          </w:p>
        </w:tc>
      </w:tr>
      <w:tr w:rsidR="0091628B" w:rsidRPr="00474565" w:rsidTr="00FB6DD2">
        <w:trPr>
          <w:trHeight w:val="454"/>
        </w:trPr>
        <w:tc>
          <w:tcPr>
            <w:tcW w:w="1437"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869"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862"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1295"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1504"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1196"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1215"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758"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888"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1010"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795"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776" w:type="dxa"/>
          </w:tcPr>
          <w:p w:rsidR="0091628B" w:rsidRPr="00474565" w:rsidRDefault="0091628B" w:rsidP="00FB6DD2">
            <w:pPr>
              <w:rPr>
                <w:rFonts w:ascii="Times New Roman" w:hAnsi="Times New Roman" w:cs="Times New Roman"/>
                <w:color w:val="000000"/>
                <w:sz w:val="24"/>
                <w:szCs w:val="24"/>
                <w:shd w:val="clear" w:color="auto" w:fill="FFFFFF"/>
              </w:rPr>
            </w:pPr>
          </w:p>
        </w:tc>
        <w:tc>
          <w:tcPr>
            <w:tcW w:w="823" w:type="dxa"/>
          </w:tcPr>
          <w:p w:rsidR="0091628B" w:rsidRPr="00474565" w:rsidRDefault="0091628B" w:rsidP="00FB6DD2">
            <w:pPr>
              <w:rPr>
                <w:rFonts w:ascii="Times New Roman" w:hAnsi="Times New Roman" w:cs="Times New Roman"/>
                <w:color w:val="000000"/>
                <w:sz w:val="24"/>
                <w:szCs w:val="24"/>
                <w:shd w:val="clear" w:color="auto" w:fill="FFFFFF"/>
              </w:rPr>
            </w:pP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Apisarnthanarak</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{"citationID":"b7i0arid9","properties":{"formattedCitation":"{\\rtf \\super 26\\nosupersub{}}","plainCitation":"26"},"citationItems":[{"id":350,"uris":["http://zotero.org/users/3287917/items/VQWPTPAK"],"uri":["http://zotero.org/users/3287917/items/VQWPTPAK"],"itemData":{"id":350,"type":"article-journal","title":"Increase in chlorhexidine minimal inhibitory concentration of Acinetobacter baumannii clinical isolates after implementation of advanced source control","container-title":"Infection Control and Hospital Epidemiology","page":"98-99","volume":"35","issue":"1","source":"PubMed","DOI":"10.1086/674404","ISSN":"1559-6834","note":"PMID: 24334810","journalAbbreviation":"Infect Control Hosp Epidemiol","language":"eng","author":[{"family":"Apisarnthanarak","given":"Anucha"},{"family":"Yang Hsu","given":"Li"},{"family":"Lim","given":"Tze-Peng"},{"family":"Mundy","given":"Linda M."}],"issued":{"date-parts":[["2014",1]]},"PMID":"24334810"}}],"schema":"https://github.com/citation-style-language/schema/raw/master/csl-citation.json"}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26</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2014</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Bleasdale</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{"citationID":"251t3g9m5m","properties":{"formattedCitation":"{\\rtf \\super 20\\nosupersub{}}","plainCitation":"20"},"citationItems":[{"id":352,"uris":["http://zotero.org/users/3287917/items/K9I3SN37"],"uri":["http://zotero.org/users/3287917/items/K9I3SN37"],"itemData":{"id":352,"type":"article-journal","title":"Effectiveness of chlorhexidine bathing to reduce catheter-associated bloodstream infections in medical intensive care unit patients","container-title":"Archives of Internal Medicine","page":"2073-2079","volume":"167","issue":"19","source":"PubMed","abstract":"OBJECTIVE: To determine whether patients bathed daily with chlorhexidine gluconate (CHG) have a lower incidence of primary bloodstream infections (BSIs) compared with patients bathed with soap and water.\nMETHODS: The study design was a 52-week, 2-arm, crossover (ie, concurrent control group) clinical trial with intention-to-treat analysis. The study setting was the 22-bed medical intensive care unit (MICU), which comprises 2 geographically separate, similar 11-bed units, of the John H. Stroger Jr (Cook County) Hospital, a 464-bed public teaching hospital in Chicago, Illinois. The study population comprised 836 MICU patients. During the first of 2 study periods (28 weeks), 1 hospital unit was randomly selected to serve as the intervention unit in which patients were bathed daily with 2% CHG-impregnated washcloths (Sage 2% CHG cloths; Sage Products Inc, Cary, Illinois); patients in the concurrent control unit were bathed daily with soap and water. After a 2-week wash-out period at the end of the first period, cleansing methods were crossed over for 24 more weeks. Main outcome measures included incidences of primary BSIs and clinical (culture-negative) sepsis (primary outcomes) and incidences of other infections (secondary outcomes).\nRESULTS: Patients in the CHG intervention arm were significantly less likely to acquire a primary BSI (4.1 vs 10.4 infections per 1000 patient days; incidence difference, 6.3 [95% confidence interval, 1.2-11.0). The incidences of other infections, including clinical sepsis, were similar between the units. Protection against primary BSI by CHG cleansing was apparent after 5 or more days in the MICU.\nCONCLUSION: Daily cleansing of MICU patients with CHG-impregnated cloths is a simple, effective strategy to decrease the rate of primary BSIs.","DOI":"10.1001/archinte.167.19.2073","ISSN":"0003-9926","note":"PMID: 17954801","journalAbbreviation":"Arch. Intern. Med.","language":"eng","author":[{"family":"Bleasdale","given":"Susan C."},{"family":"Trick","given":"William E."},{"family":"Gonzalez","given":"Ines M."},{"family":"Lyles","given":"Rosie D."},{"family":"Hayden","given":"Mary K."},{"family":"Weinstein","given":"Robert A."}],"issued":{"date-parts":[["2007",10,22]]},"PMID":"17954801"}}],"schema":"https://github.com/citation-style-language/schema/raw/master/csl-citation.json"}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20</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2007</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Cassir</w:t>
            </w:r>
            <w:r>
              <w:rPr>
                <w:rFonts w:ascii="Times New Roman" w:hAnsi="Times New Roman" w:cs="Times New Roman"/>
                <w:sz w:val="24"/>
                <w:szCs w:val="24"/>
                <w:vertAlign w:val="superscript"/>
              </w:rPr>
              <w:t>6</w:t>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2015</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Chung</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{"citationID":"2fih67viu5","properties":{"formattedCitation":"{\\rtf \\super 27\\nosupersub{}}","plainCitation":"27"},"citationItems":[{"id":356,"uris":["http://zotero.org/users/3287917/items/2BQJCNSF"],"uri":["http://zotero.org/users/3287917/items/2BQJCNSF"],"itemData":{"id":356,"type":"article-journal","title":"Effect of daily chlorhexidine bathing on acquisition of carbapenem-resistant Acinetobacter baumannii (CRAB) in the medical intensive care unit with CRAB endemicity","container-title":"American Journal of Infection Control","page":"1171-1177","volume":"43","issue":"11","source":"PubMed","abstract":"BACKGROUND: There is insufficient evidence for daily chlorhexidine bathing to reduce nosocomial spread of carbapenem-resistant Acinetobacter baumannii (CRAB) in endemic situations.\nMETHODS: An interrupted time series study was performed to evaluate the effect of daily chlorhexidine bathing on the acquisition of CRAB in a medical intensive care unit (ICU) with CRAB endemicity. There was a 14-month control period and 12-month chlorhexidine bathing period. Segmented Poisson regression analysis was performed to assess the impact of chlorhexidine bathing on the level and trend of the series of prevalence rates and incidence density. Also, chlorhexidine susceptibility testing was performed on CRAB isolates collected during the chlorhexidine bathing period.\nRESULTS: There was a 51.8% reduction of CRAB acquisition rates after an introduction of daily chlorhexidine bathing (44.0 vs 21.2 cases/1,000 at-risk patient days, P &lt; .001). There was a significant reduction in the level (-0.604; 95% CI, -0.904 to -0.305; P &lt; .001) of incidence density of CRAB, whereas there was no significant change in both level and trend of CRAB prevalence rates. Minimum inhibitory concentration of chlorhexidine against a total of 98 CRAB isolates ranged from 8-64 μg/mL.\nCONCLUSION: Daily chlorhexidine bathing significantly reduces the acquisition of CRAB in a medical ICU with CRAB endemicity.","DOI":"10.1016/j.ajic.2015.07.001","ISSN":"1527-3296","note":"PMID: 26297525","journalAbbreviation":"Am J Infect Control","language":"eng","author":[{"family":"Chung","given":"Yun Kyung"},{"family":"Kim","given":"Jae-Seok"},{"family":"Lee","given":"Seung Soon"},{"family":"Lee","given":"Jeong-A."},{"family":"Kim","given":"Han-Sung"},{"family":"Shin","given":"Kyong-Sok"},{"family":"Park","given":"Eun Young"},{"family":"Kang","given":"Bog Soun"},{"family":"Lee","given":"Hee Jung"},{"family":"Kang","given":"Hyun Joo"}],"issued":{"date-parts":[["2015",11]]},"PMID":"26297525"}}],"schema":"https://github.com/citation-style-language/schema/raw/master/csl-citation.json"}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27</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2015</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6</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Dicks</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{"citationID":"4imq1uau","properties":{"formattedCitation":"{\\rtf \\super 28\\nosupersub{}}","plainCitation":"28"},"citationItems":[{"id":358,"uris":["http://zotero.org/users/3287917/items/2JXTCM9X"],"uri":["http://zotero.org/users/3287917/items/2JXTCM9X"],"itemData":{"id":358,"type":"article-journal","title":"A Multicenter Pragmatic Interrupted Time Series Analysis of Chlorhexidine Gluconate Bathing in Community Hospital Intensive Care Units","container-title":"Infection Control and Hospital Epidemiology","page":"791-797","volume":"37","issue":"7","source":"PubMed","abstract":"OBJECTIVE To determine whether daily chlorhexidine gluconate (CHG) bathing of intensive care unit (ICU) patients leads to a decrease in hospital-acquired infections (HAIs), particularly infections caused by methicillin-resistant Staphylococcus aureus (MRSA) and vancomycin-resistant Enterococcus (VRE). DESIGN Interrupted time series analysis. SETTING The study included 33 community hospitals participating in the Duke Infection Control Outreach Network from January 2008 through December 2013. PARTICIPANTS All ICU patients at study hospitals during the study period. METHODS Of the 33 hospitals, 17 hospitals implemented CHG bathing during the study period, and 16 hospitals that did not perform CHG bathing served as controls. Primary pre-specified outcomes included ICU central-line-associated bloodstream infections (CLABSIs), primary bloodstream infections (BSI), ventilator-associated pneumonia (VAP), and catheter-associated urinary tract infections (CAUTIs). MRSA and VRE HAIs were also evaluated. RESULTS Chlorhexidine gluconate (CHG) bathing was associated with a significant downward trend in incidence rates of ICU CLABSI (incidence rate ratio [IRR], 0.96; 95% confidence interval [CI], 0.93-0.99), ICU primary BSI (IRR, 0.96; 95% CI, 0.94-0.99), VRE CLABSIs (IRR, 0.97; 95% CI, 0.97-0.98), and all combined VRE infections (IRR, 0.96; 95% CI, 0.93-1.00). No significant trend in MRSA infection incidence rates was identified prior to or following the implementation of CHG bathing. CONCLUSIONS In this multicenter, real-world analysis of the impact of CHG bathing, hospitals that implemented CHG bathing attained a decrease in ICU CLABSIs, ICU primary BSIs, and VRE CLABSIs. CHG bathing did not affect rates of specific or overall infections due to MRSA. Our findings support daily CHG bathing of ICU patients. Infect Control Hosp Epidemiol 2016;37:791-797.","DOI":"10.1017/ice.2016.23","ISSN":"1559-6834","note":"PMID: 26861417\nPMCID: PMC5894096","journalAbbreviation":"Infect Control Hosp Epidemiol","language":"eng","author":[{"family":"Dicks","given":"Kristen V."},{"family":"Lofgren","given":"Eric"},{"family":"Lewis","given":"Sarah S."},{"family":"Moehring","given":"Rebekah W."},{"family":"Sexton","given":"Daniel J."},{"family":"Anderson","given":"Deverick J."}],"issued":{"date-parts":[["2016"]]},"PMID":"26861417","PMCID":"PMC5894096"}}],"schema":"https://github.com/citation-style-language/schema/raw/master/csl-citation.json"}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28</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2016</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RC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6</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Evans</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{"citationID":"2pb0uvanrq","properties":{"formattedCitation":"{\\rtf \\super 29\\nosupersub{}}","plainCitation":"29"},"citationItems":[{"id":360,"uris":["http://zotero.org/users/3287917/items/JH5F659S"],"uri":["http://zotero.org/users/3287917/items/JH5F659S"],"itemData":{"id":360,"type":"article-journal","title":"Effect of chlorhexidine whole-body bathing on hospital-acquired infections among trauma patients","container-title":"Archives of Surgery (Chicago, Ill.: 1960)","page":"240-246","volume":"145","issue":"3","source":"PubMed","abstract":"OBJECTIVE: To demonstrate whether daily bathing with cloths impregnated with 2% chlorhexidine gluconate will decrease colonization of resistant bacteria and reduce the rates of health care-associated infections in critically injured patients.\nDESIGN: Retrospective analysis of data collected 6 months before and after institution of a chlorhexidine bathing protocol.\nSETTING: A 12-bed intensive care unit in a level I trauma center.\nPATIENTS: Two hundred eighty-six severely injured patients underwent daily chlorhexidine bathing during the 6-month intervention; 253 patients were bathed without chlorhexidine prior to the intervention.\nINTERVENTIONS: Daily chlorhexidine bathing.\nMAIN OUTCOMES MEASURES: Rates of ventilator-associated pneumonia (VAP), bloodstream infection, and colonization with resistant organisms (methicillin-resistant Staphylococcus aureus [MRSA] or Acinetobacter species).\nRESULTS: Baseline patient and injury characteristics were similar between cohorts. Patients receiving chlorhexidine baths were significantly less likely to acquire a catheter-related bloodstream infection than comparators (2.1 vs 8.4 infections per 1000 catheter-days, P = .01). The incidence of VAP was not affected by chlorhexidine baths (16.9 vs 21.6 infections per 1000 ventilator-days in those with vs those without chlorhexidine baths, respectively, P = .30). However, patients who received chlorhexidine baths were less likely to develop MRSA VAP (1.6 vs 5.7 infections per 1000 ventilator-days, P = .03). The rate of colonization with MRSA (23.3 vs 69.3 per 1000 patient-days, P &lt; .001) and Acinetobacter (1.0 vs 4.6 per 1000 patient-days, P = .36) was significantly lower in the chlorhexidine group than in the comparison group.\nCONCLUSIONS: Daily bathing of trauma patients with cloths impregnated with 2% chlorhexidine gluconate is associated with a decreased rate of colonization by MRSA and Acinetobacter and lower rates of catheter-related bloodstream infection and MRSA VAP.","DOI":"10.1001/archsurg.2010.5","ISSN":"1538-3644","note":"PMID: 20231624","journalAbbreviation":"Arch Surg","language":"eng","author":[{"family":"Evans","given":"Heather L."},{"family":"Dellit","given":"Timothy H."},{"family":"Chan","given":"Jeannie"},{"family":"Nathens","given":"Avery B."},{"family":"Maier","given":"Ronald V."},{"family":"Cuschieri","given":"Joseph"}],"issued":{"date-parts":[["2010",3]]},"PMID":"20231624"}}],"schema":"https://github.com/citation-style-language/schema/raw/master/csl-citation.json"}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29</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2010</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RC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397"/>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Gould</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{"citationID":"1e8r6uj31c","properties":{"formattedCitation":"{\\rtf \\super 4\\nosupersub{}}","plainCitation":"4"},"citationItems":[{"id":286,"uris":["http://zotero.org/users/3287917/items/WSHQG3FC"],"uri":["http://zotero.org/users/3287917/items/WSHQG3FC"],"itemData":{"id":286,"type":"article-journal","title":"Topical antimicrobials in combination with admission screening and barrier precautions to control endemic methicillin-resistant Staphylococcus aureus in an Intensive Care Unit","container-title":"International Journal of Antimicrobial Agents","page":"536-543","volume":"29","issue":"5","source":"PubMed","abstract":"We aimed to establish whether screening for methicillin-resistant Staphylococcus aureus (MRSA) and body decontamination upon admission to an Intensive Care Unit (ICU), in combination with barrier precautions, reduced rates of MRSA infection acquired on the unit. This was an interrupted time series study employing segmented regression analysis of data collected for all patients admitted to a 16-bed adult ICU over 48 months. Before the intervention (24 months; 1232 patients (44% female)), MRSA was sought from clinical cultures only and positive patients were barrier nursed in isolation. During the intervention (24 months; 1421 patients (54% female)), all ICU patients were screened for MRSA on admission and were barrier nursed in single rooms when established as MRSA-positive; all were given topical nasal anti-MRSA preparations and daily bed baths with 4% chlorhexidine throughout their stay. Changes in the proportion of patients colonised or infected with MRSA in the ICU were assessed. Before the intervention, 193 new MRSA cases (16%) were identified from 1232 ICU admissions; during the intervention, this was reduced to 92 cases (6%) of 1421 admissions. By time series regression analysis, the proportion of patients with MRSA decreased by 11.38% from ca. 15% to ca. 5% (ca. three-fold reduction) (95% confidence interval 3.5-19.3%; P=0.005). Thus, treatment of 11 patients prevented 1 clinical case of MRSA. Mean length of stay decreased significantly (P&lt;0.001). Although MRSA and methicillin-susceptible S. aureus bacteraemia rates dropped, the changes detected were not statistically significant. The proportion of patients with coagulase-negative staphylococcal bacteraemia decreased significantly (P&lt;0.001) and the trend changed from increasing to decreasing (P&lt;0.001), as did the trend in glycopeptide use (P=0.014). An inexpensive and easy to implement intervention to control MRSA in the ICU was highly successful without compromising antimicrobial susceptibility.","DOI":"10.1016/j.ijantimicag.2006.12.019","ISSN":"0924-8579","note":"PMID: 17337163","journalAbbreviation":"Int. J. Antimicrob. Agents","language":"eng","author":[{"family":"Gould","given":"Ian M."},{"family":"MacKenzie","given":"Fiona M."},{"family":"MacLennan","given":"Graeme"},{"family":"Pacitti","given":"Diane"},{"family":"Watson","given":"Emma J."},{"family":"Noble","given":"David W."}],"issued":{"date-parts":[["2007",5]]},"PMID":"17337163"}}],"schema":"https://github.com/citation-style-language/schema/raw/master/csl-citation.json"}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4</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2007</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RC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966"/>
        </w:trPr>
        <w:tc>
          <w:tcPr>
            <w:tcW w:w="1437" w:type="dxa"/>
            <w:vAlign w:val="bottom"/>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Martínez-Reséndez</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{"citationID":"n1u6eatcc","properties":{"formattedCitation":"{\\rtf \\super 30\\nosupersub{}}","plainCitation":"30"},"citationItems":[{"id":362,"uris":["http://zotero.org/users/3287917/items/M939PWKA"],"uri":["http://zotero.org/users/3287917/items/M939PWKA"],"itemData":{"id":362,"type":"article-journal","title":"Impact of daily chlorhexidine baths and hand hygiene compliance on nosocomial infection rates in critically ill patients","container-title":"American Journal of Infection Control","page":"713-717","volume":"42","issue":"7","source":"PubMed","abstract":"BACKGROUND: Up to 25% of all nosocomial infections (NIs) develop in critically ill patients. Our objective was to evaluate chlorhexidine (CHX) bathing and hand hygiene (HH) compliance in the reduction of NIs in the intensive care unit.\nMETHODS: The study comprised three 6-month periods: preintervention (PIP; soap/water bathing), intervention (IP; bathing with CHX-impregnated wipes), and postintervention (PoIP; soap/water bathing). An HH program was implemented during the IP and PoIP. Primary outcomes were global and specific NI rates.\nRESULTS: A total of 1007 patients were included. Infection rates per 100 discharges were higher in the PIP compared with the IP and also higher in the PoIP compared with the IP (P = .0004 and .0109, respectively). Global infection rates per 1000 hospital-days were higher in the PIP than in the IP (P = .0268). The rates of ventilator-associated pneumonia (VAP) and catheter-associated urinary tract infection (CAUTI) were higher in the PIP than in the IP (P = .036 and .0001, respectively). Isolation of Acinetobacter baumannii from VAP specimens (P = .0204) and isolation of Candida spp from CAUTI specimens (P = .0005) decreased as well.\nCONCLUSION: The combined intervention reduced global and specific infection rates, including rates of VAP associated with A baumannii and CAUTI associated with Candida spp.","DOI":"10.1016/j.ajic.2014.03.354","ISSN":"1527-3296","note":"PMID: 24836435","journalAbbreviation":"Am J Infect Control","language":"eng","author":[{"family":"Martínez-Reséndez","given":"Michel Fernando"},{"family":"Garza-González","given":"Elvira"},{"family":"Mendoza-Olazaran","given":"Soraya"},{"family":"Herrera-Guerra","given":"Alexis"},{"family":"Rodríguez-López","given":"Juan Manuel"},{"family":"Pérez-Rodriguez","given":"Edelmiro"},{"family":"Mercado-Longoria","given":"Roberto"},{"family":"Camacho-Ortiz","given":"Adrián"}],"issued":{"date-parts":[["2014",7]]},"PMID":"24836435"}}],"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30</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2014</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397"/>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Montecalvo</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{"citationID":"2am4k22mb3","properties":{"formattedCitation":"{\\rtf \\super 31\\nosupersub{}}","plainCitation":"31"},"citationItems":[{"id":364,"uris":["http://zotero.org/users/3287917/items/WZHDTETG"],"uri":["http://zotero.org/users/3287917/items/WZHDTETG"],"itemData":{"id":364,"type":"article-journal","title":"Chlorhexidine bathing to reduce central venous catheter-associated bloodstream infection: impact and sustainability","container-title":"The American Journal of Medicine","page":"505-511","volume":"125","issue":"5","source":"PubMed","abstract":"BACKGROUND: Chlorhexidine bathing has been associated with reductions in healthcare-associated bloodstream infection. To determine the impact and sustainability of the effect of chlorhexidine bathing on central venous catheter-associated bloodstream infection, we performed a prospective, 3-phase, multiple-hospital study.\nMETHODS: In the medical intensive care unit and the respiratory care unit of a tertiary care hospital and the medical-surgical intensive care units of 4 community hospitals, rates of central venous catheter-associated bloodstream infection were collected prospectively for each period. Pre-intervention (phase 1) patients were bathed with soap and water or nonmedicated bathing cloths; active intervention (phase 2) patients were bathed with 2% chlorhexidine gluconate cloths with the number of baths administered and skin tolerability assessed; post-intervention (phase 3) chlorhexidine bathing was continued but without oversight by research personnel. Central venous catheter-associated bloodstream infection rates were compared over study periods using Poisson regression.\nRESULTS: Compared with pre-intervention, during active intervention there were significantly fewer central venous catheter-associated bloodstream infections (6.4/1000 central venous catheter days vs 2.6/1000 central venous catheter days, relative risk, 0.42; 95% confidence interval, 0.25-0.68; P&lt;.001), and this reduction was sustained during post-intervention (2.9/1000 central venous catheter days; relative risk, 0.46; 95% confidence interval, 0.30-0.70; P&lt;.001). During the active intervention period, compliance with chlorhexidine bathing was 82%. Few adverse events were observed.\nCONCLUSION: In this multiple-hospital study, chlorhexidine bathing was associated with significant reductions in central venous catheter-associated bloodstream infection, and these reductions were sustained post-intervention when chlorhexidine bathing was unmonitored. Chlorhexidine bathing was well tolerated and is a useful adjunct to reduce central venous catheter-associated bloodstream infection.","DOI":"10.1016/j.amjmed.2011.10.032","ISSN":"1555-7162","note":"PMID: 22482848","shortTitle":"Chlorhexidine bathing to reduce central venous catheter-associated bloodstream infection","journalAbbreviation":"Am. J. Med.","language":"eng","author":[{"family":"Montecalvo","given":"Marisa A."},{"family":"McKenna","given":"Donna"},{"family":"Yarrish","given":"Robert"},{"family":"Mack","given":"Lynda"},{"family":"Maguire","given":"George"},{"family":"Haas","given":"Janet"},{"family":"DeLorenzo","given":"Lawrence"},{"family":"Dellarocco","given":"Norine"},{"family":"Savatteri","given":"Barbara"},{"family":"Rosenthal","given":"Addie"},{"family":"Watson","given":"Anita"},{"family":"Spicehandler","given":"Debra"},{"family":"Shi","given":"Qiuhu"},{"family":"Visintainer","given":"Paul"},{"family":"Wormser","given":"Gary P."}],"issued":{"date-parts":[["2012",5]]},"PMID":"22482848"}}],"schema":"https://github.com/citation-style-language/schema/raw/master/csl-citation.json"}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31</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2012</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6</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lastRenderedPageBreak/>
              <w:t>Hong</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{"citationID":"2nqoa1oj21","properties":{"formattedCitation":"{\\rtf \\super 32\\nosupersub{}}","plainCitation":"32"},"citationItems":[{"id":331,"uris":["http://zotero.org/users/3287917/items/J2D9AXAK"],"uri":["http://zotero.org/users/3287917/items/J2D9AXAK"],"itemData":{"id":331,"type":"article-journal","title":"Management of carbapenem-resistant Acinetobacter baumannii epidemic in an intensive care unit using multifaceted intervention strategy","container-title":"The Korean Journal of Internal Medicine","source":"PubMed","abstract":"Background/Aims: We evaluated the effects of a multifaceted intervention for controlling a carbapenem-resistant Acinetobacter baumannii (CRAB) epidemic in an intensive care unit (ICU) with no restrictions on carbapenem use.\nMethods: This study was conducted in a medical ICU between April 2012 and June 2016. The baseline infection control programs included surveillance cultures, contact precautions, and environmental cleaning. However, increases in the detection of CRAB isolates beginning in May 2013 led to the implementation of a new protocol, consisting of universal glove and gown use with daily chlorhexidine bathing for all patients in combination with baseline programs. The efficacy of the intervention was subjected to interrupted time series (ITS) analysis.\nResults: The multifaceted intervention led to a decrease in the incidence of CRAB from 17.65 to 0.89 cases per 1,000 patient-days, during the study period (p &lt; 0.001). ITS analysis revealed a significant change in the trend of CRAB incidence (-0.413, p &lt; 0.001). Over this same period, mean monthly use of carbapenems increased from 143.54 ± 95.73 to 204.95 ± 78.43 doses per 1,000 patient-days (p = 0.018).\nConclusions: Our multifaceted intervention reduced the incidence of CRAB acquisition in an ICU where carbapenem use was not restricted.","DOI":"10.3904/kjim.2016.323","ISSN":"2005-6648","note":"PMID: 29172401","journalAbbreviation":"Korean J. Intern. Med.","language":"eng","author":[{"family":"Hong","given":"Jeongmin"},{"family":"Jang","given":"Ok Jeom"},{"family":"Bak","given":"Mi Hui"},{"family":"Baek","given":"Eun Hwa"},{"family":"Park","given":"Ki-Ho"},{"family":"Hong","given":"Sun In"},{"family":"Cho","given":"Oh-Hyun"},{"family":"Bae","given":"In-Gyu"}],"issued":{"date-parts":[["2017",11,27]]},"PMID":"29172401"}}],"schema":"https://github.com/citation-style-language/schema/raw/master/csl-citation.json"}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32</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2017</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RC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9</w:t>
            </w:r>
          </w:p>
        </w:tc>
      </w:tr>
      <w:tr w:rsidR="0091628B" w:rsidRPr="00474565" w:rsidTr="00FB6DD2">
        <w:trPr>
          <w:trHeight w:val="454"/>
        </w:trPr>
        <w:tc>
          <w:tcPr>
            <w:tcW w:w="1437"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Urbancic</w:t>
            </w:r>
            <w:r w:rsidRPr="00474565">
              <w:rPr>
                <w:rFonts w:ascii="Times New Roman" w:hAnsi="Times New Roman" w:cs="Times New Roman"/>
                <w:color w:val="000000"/>
                <w:sz w:val="24"/>
                <w:szCs w:val="24"/>
              </w:rPr>
              <w:fldChar w:fldCharType="begin"/>
            </w:r>
            <w:r w:rsidRPr="00474565">
              <w:rPr>
                <w:rFonts w:ascii="Times New Roman" w:hAnsi="Times New Roman" w:cs="Times New Roman"/>
                <w:color w:val="000000"/>
                <w:sz w:val="24"/>
                <w:szCs w:val="24"/>
              </w:rPr>
              <w:instrText xml:space="preserve"> ADDIN ZOTERO_ITEM CSL_CITATION {"citationID":"j24iku3r0","properties":{"formattedCitation":"{\\rtf \\super 33\\nosupersub{}}","plainCitation":"33"},"citationItems":[{"id":333,"uris":["http://zotero.org/users/3287917/items/VKFWEKVR"],"uri":["http://zotero.org/users/3287917/items/VKFWEKVR"],"itemData":{"id":333,"type":"article-journal","title":"Impact of unit-wide chlorhexidine bathing in intensive care on bloodstream infection and drug-resistant organism acquisition","container-title":"Critical Care and Resuscitation: Journal of the Australasian Academy of Critical Care Medicine","page":"109-116","volume":"20","issue":"2","source":"PubMed","abstract":"BACKGROUND: Chlorhexidine gluconate (CHG) bathing has been reported to decrease bloodstream infections and colonisation of multidrug-resistant organisms (MROs) in intensive care units (ICUs). However, its effectiveness in an Australian setting has not been assessed.\nOBJECTIVE: To test whether the introduction of ICU-wide CHG bathing in place of triclosan would affect rates of the primary outcome of central line-associated bloodstream infections (CLABSI), or the secondary outcomes of ICU-acquired positive blood cultures or other clinical specimens, and MRO colonisation including methicillin-resistant Staphylococcus aureus (MRSA) and vancomycin-resistant enterococci (VRE).\nMETHODS: We conducted a single-centre, sequential, before-and-after observational study. Patient microbiological and clinical data were compared in the 12 months before and after the introduction of CHG bathing in the ICU.\nRESULTS: A total of 4262 ICU admissions were studied, 2117 before and 2145 during the CHG-bathing period. There were no significant changes in the rates of CLABSI (from 1.69/1000 central venous catheter-days [95% CI, 0.68-3.48] to 1.33 [95% CI, 0.49-2.90]; P = 0.68), or ICU-acquired positive blood cultures (from 5.14/1000 patientdays [95% CI, 3.45-7.39] to 4.45 [95% CI, 3.00-6.36]; P = 0.58). However, we observed a lower incidence of MRSA acquisition during the CHG-bathing period (mean difference, -2.13 [95% CI, -3.65 to -0.60] per 1000 patient-days; P = 0.007). There was no difference in the rate of isolates involving other pathogens including VRE.\nCONCLUSIONS: In a tertiary Australian ICU, routine CHG bathing compared with triclosan did not affect the rates of ICU-acquired CLABSI or positive blood cultures. However, it significantly decreased the incidence of MRSA acquisition.","ISSN":"1441-2772","note":"PMID: 29852849","journalAbbreviation":"Crit Care Resusc","language":"eng","author":[{"family":"Urbancic","given":"Karen F."},{"family":"Mårtensson","given":"Johan"},{"family":"Glassford","given":"Neil"},{"family":"Eyeington","given":"Christopher"},{"family":"Robbins","given":"Raymond"},{"family":"Ward","given":"Peter B."},{"family":"Williams","given":"Darren"},{"family":"Johnson","given":"Paul Dr"},{"family":"Bellomo","given":"Rinaldo"}],"issued":{"date-parts":[["2018",6]]},"PMID":"29852849"}}],"schema":"https://github.com/citation-style-language/schema/raw/master/csl-citation.json"} </w:instrText>
            </w:r>
            <w:r w:rsidRPr="00474565">
              <w:rPr>
                <w:rFonts w:ascii="Times New Roman" w:hAnsi="Times New Roman" w:cs="Times New Roman"/>
                <w:color w:val="000000"/>
                <w:sz w:val="24"/>
                <w:szCs w:val="24"/>
              </w:rPr>
              <w:fldChar w:fldCharType="separate"/>
            </w:r>
            <w:r w:rsidRPr="00474565">
              <w:rPr>
                <w:rFonts w:ascii="Times New Roman" w:hAnsi="Times New Roman" w:cs="Times New Roman"/>
                <w:sz w:val="24"/>
                <w:szCs w:val="24"/>
                <w:vertAlign w:val="superscript"/>
              </w:rPr>
              <w:t>33</w:t>
            </w:r>
            <w:r w:rsidRPr="00474565">
              <w:rPr>
                <w:rFonts w:ascii="Times New Roman" w:hAnsi="Times New Roman" w:cs="Times New Roman"/>
                <w:color w:val="000000"/>
                <w:sz w:val="24"/>
                <w:szCs w:val="24"/>
              </w:rPr>
              <w:fldChar w:fldCharType="end"/>
            </w:r>
          </w:p>
        </w:tc>
        <w:tc>
          <w:tcPr>
            <w:tcW w:w="869"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2018</w:t>
            </w:r>
          </w:p>
        </w:tc>
        <w:tc>
          <w:tcPr>
            <w:tcW w:w="862"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PC</w:t>
            </w:r>
          </w:p>
        </w:tc>
        <w:tc>
          <w:tcPr>
            <w:tcW w:w="12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504"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19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21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0</w:t>
            </w:r>
          </w:p>
        </w:tc>
        <w:tc>
          <w:tcPr>
            <w:tcW w:w="75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88"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1010"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95"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776"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1</w:t>
            </w:r>
          </w:p>
        </w:tc>
        <w:tc>
          <w:tcPr>
            <w:tcW w:w="823" w:type="dxa"/>
            <w:vAlign w:val="center"/>
          </w:tcPr>
          <w:p w:rsidR="0091628B" w:rsidRPr="00474565" w:rsidRDefault="0091628B" w:rsidP="00FB6DD2">
            <w:pPr>
              <w:rPr>
                <w:rFonts w:ascii="Times New Roman" w:hAnsi="Times New Roman" w:cs="Times New Roman"/>
                <w:color w:val="000000"/>
                <w:sz w:val="24"/>
                <w:szCs w:val="24"/>
                <w:shd w:val="clear" w:color="auto" w:fill="FFFFFF"/>
              </w:rPr>
            </w:pPr>
            <w:r w:rsidRPr="00474565">
              <w:rPr>
                <w:rFonts w:ascii="Times New Roman" w:hAnsi="Times New Roman" w:cs="Times New Roman"/>
                <w:color w:val="000000"/>
                <w:sz w:val="24"/>
                <w:szCs w:val="24"/>
              </w:rPr>
              <w:t>8</w:t>
            </w:r>
          </w:p>
        </w:tc>
      </w:tr>
      <w:tr w:rsidR="0091628B" w:rsidRPr="00474565" w:rsidTr="00FB6DD2">
        <w:trPr>
          <w:trHeight w:val="454"/>
        </w:trPr>
        <w:tc>
          <w:tcPr>
            <w:tcW w:w="13428" w:type="dxa"/>
            <w:gridSpan w:val="13"/>
            <w:vAlign w:val="center"/>
          </w:tcPr>
          <w:p w:rsidR="0091628B" w:rsidRPr="00474565" w:rsidRDefault="0091628B" w:rsidP="00FB6DD2">
            <w:pPr>
              <w:rPr>
                <w:rFonts w:ascii="Times New Roman" w:hAnsi="Times New Roman" w:cs="Times New Roman"/>
                <w:color w:val="000000"/>
                <w:sz w:val="24"/>
                <w:szCs w:val="24"/>
              </w:rPr>
            </w:pPr>
            <w:r w:rsidRPr="00474565">
              <w:rPr>
                <w:rFonts w:ascii="Times New Roman" w:hAnsi="Times New Roman" w:cs="Times New Roman"/>
                <w:color w:val="000000"/>
                <w:sz w:val="24"/>
                <w:szCs w:val="24"/>
              </w:rPr>
              <w:t>PC = Prospective cohort; RC = Retrospective Cohort</w:t>
            </w:r>
          </w:p>
        </w:tc>
      </w:tr>
    </w:tbl>
    <w:p w:rsidR="0091628B" w:rsidRDefault="0091628B" w:rsidP="0091628B">
      <w:pPr>
        <w:suppressAutoHyphens/>
        <w:autoSpaceDN w:val="0"/>
        <w:spacing w:after="0" w:line="480" w:lineRule="auto"/>
        <w:textAlignment w:val="baseline"/>
        <w:rPr>
          <w:rFonts w:ascii="Times New Roman" w:eastAsia="Calibri" w:hAnsi="Times New Roman" w:cs="Times New Roman"/>
          <w:b/>
          <w:kern w:val="3"/>
          <w:sz w:val="24"/>
          <w:lang w:eastAsia="zh-CN" w:bidi="hi-IN"/>
        </w:rPr>
      </w:pPr>
    </w:p>
    <w:p w:rsidR="0091628B" w:rsidRDefault="0091628B" w:rsidP="0091628B">
      <w:pPr>
        <w:suppressAutoHyphens/>
        <w:autoSpaceDN w:val="0"/>
        <w:spacing w:after="0" w:line="48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Supplemental Table 2</w:t>
      </w:r>
      <w:r w:rsidRPr="00415A3C">
        <w:rPr>
          <w:rFonts w:ascii="Times New Roman" w:hAnsi="Times New Roman" w:cs="Times New Roman"/>
          <w:color w:val="000000"/>
          <w:sz w:val="24"/>
          <w:szCs w:val="24"/>
          <w:shd w:val="clear" w:color="auto" w:fill="FFFFFF"/>
        </w:rPr>
        <w:t xml:space="preserve">. Evaluation of </w:t>
      </w:r>
      <w:r>
        <w:rPr>
          <w:rFonts w:ascii="Times New Roman" w:hAnsi="Times New Roman" w:cs="Times New Roman"/>
          <w:color w:val="000000"/>
          <w:sz w:val="24"/>
          <w:szCs w:val="24"/>
          <w:shd w:val="clear" w:color="auto" w:fill="FFFFFF"/>
        </w:rPr>
        <w:t>risk of bias</w:t>
      </w:r>
      <w:r w:rsidRPr="00415A3C">
        <w:rPr>
          <w:rFonts w:ascii="Times New Roman" w:hAnsi="Times New Roman" w:cs="Times New Roman"/>
          <w:color w:val="000000"/>
          <w:sz w:val="24"/>
          <w:szCs w:val="24"/>
          <w:shd w:val="clear" w:color="auto" w:fill="FFFFFF"/>
        </w:rPr>
        <w:t xml:space="preserve"> of included </w:t>
      </w:r>
      <w:r>
        <w:rPr>
          <w:rFonts w:ascii="Times New Roman" w:hAnsi="Times New Roman" w:cs="Times New Roman"/>
          <w:color w:val="000000"/>
          <w:sz w:val="24"/>
          <w:szCs w:val="24"/>
          <w:shd w:val="clear" w:color="auto" w:fill="FFFFFF"/>
        </w:rPr>
        <w:t>RCTs</w:t>
      </w:r>
      <w:r w:rsidRPr="00415A3C">
        <w:rPr>
          <w:rFonts w:ascii="Times New Roman" w:hAnsi="Times New Roman" w:cs="Times New Roman"/>
          <w:color w:val="000000"/>
          <w:sz w:val="24"/>
          <w:szCs w:val="24"/>
          <w:shd w:val="clear" w:color="auto" w:fill="FFFFFF"/>
        </w:rPr>
        <w:t xml:space="preserve"> using the</w:t>
      </w:r>
      <w:r>
        <w:rPr>
          <w:rFonts w:ascii="Times New Roman" w:hAnsi="Times New Roman" w:cs="Times New Roman"/>
          <w:color w:val="000000"/>
          <w:sz w:val="24"/>
          <w:szCs w:val="24"/>
          <w:shd w:val="clear" w:color="auto" w:fill="FFFFFF"/>
        </w:rPr>
        <w:t xml:space="preserve"> Cochrane Risk of Bias tool</w:t>
      </w:r>
    </w:p>
    <w:tbl>
      <w:tblPr>
        <w:tblStyle w:val="TableGrid"/>
        <w:tblW w:w="0" w:type="auto"/>
        <w:tblLook w:val="04A0" w:firstRow="1" w:lastRow="0" w:firstColumn="1" w:lastColumn="0" w:noHBand="0" w:noVBand="1"/>
      </w:tblPr>
      <w:tblGrid>
        <w:gridCol w:w="1561"/>
        <w:gridCol w:w="1478"/>
        <w:gridCol w:w="1688"/>
        <w:gridCol w:w="1644"/>
        <w:gridCol w:w="1508"/>
        <w:gridCol w:w="1538"/>
        <w:gridCol w:w="1337"/>
        <w:gridCol w:w="972"/>
      </w:tblGrid>
      <w:tr w:rsidR="0091628B" w:rsidRPr="004E0937" w:rsidTr="00FB6DD2">
        <w:trPr>
          <w:trHeight w:val="2047"/>
        </w:trPr>
        <w:tc>
          <w:tcPr>
            <w:tcW w:w="1561"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First author, year published</w:t>
            </w:r>
          </w:p>
        </w:tc>
        <w:tc>
          <w:tcPr>
            <w:tcW w:w="1478"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Random sequence generation</w:t>
            </w:r>
          </w:p>
        </w:tc>
        <w:tc>
          <w:tcPr>
            <w:tcW w:w="1688"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Allocation concealment</w:t>
            </w:r>
          </w:p>
        </w:tc>
        <w:tc>
          <w:tcPr>
            <w:tcW w:w="1644"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Blinding of participants and personnel</w:t>
            </w:r>
          </w:p>
        </w:tc>
        <w:tc>
          <w:tcPr>
            <w:tcW w:w="1508"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Blinding of outcome assessment</w:t>
            </w:r>
          </w:p>
        </w:tc>
        <w:tc>
          <w:tcPr>
            <w:tcW w:w="1538"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Incomplete outcome data</w:t>
            </w:r>
          </w:p>
        </w:tc>
        <w:tc>
          <w:tcPr>
            <w:tcW w:w="1337"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Selective reporting</w:t>
            </w:r>
          </w:p>
        </w:tc>
        <w:tc>
          <w:tcPr>
            <w:tcW w:w="972"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Other bias</w:t>
            </w:r>
          </w:p>
        </w:tc>
      </w:tr>
      <w:tr w:rsidR="0091628B" w:rsidRPr="004E0937" w:rsidTr="00FB6DD2">
        <w:trPr>
          <w:trHeight w:val="1019"/>
        </w:trPr>
        <w:tc>
          <w:tcPr>
            <w:tcW w:w="1561"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vertAlign w:val="superscript"/>
                <w:lang w:eastAsia="zh-CN" w:bidi="hi-IN"/>
              </w:rPr>
            </w:pPr>
            <w:proofErr w:type="spellStart"/>
            <w:r w:rsidRPr="00FB6DD2">
              <w:rPr>
                <w:rFonts w:ascii="Times New Roman" w:eastAsia="Calibri" w:hAnsi="Times New Roman" w:cs="Times New Roman"/>
                <w:kern w:val="3"/>
                <w:sz w:val="24"/>
                <w:lang w:eastAsia="zh-CN" w:bidi="hi-IN"/>
              </w:rPr>
              <w:t>Boonyasiri</w:t>
            </w:r>
            <w:proofErr w:type="spellEnd"/>
            <w:r w:rsidRPr="00FB6DD2">
              <w:rPr>
                <w:rFonts w:ascii="Times New Roman" w:eastAsia="Calibri" w:hAnsi="Times New Roman" w:cs="Times New Roman"/>
                <w:kern w:val="3"/>
                <w:sz w:val="24"/>
                <w:lang w:eastAsia="zh-CN" w:bidi="hi-IN"/>
              </w:rPr>
              <w:t>, 2015</w:t>
            </w:r>
            <w:r>
              <w:rPr>
                <w:rFonts w:ascii="Times New Roman" w:eastAsia="Calibri" w:hAnsi="Times New Roman" w:cs="Times New Roman"/>
                <w:kern w:val="3"/>
                <w:sz w:val="24"/>
                <w:vertAlign w:val="superscript"/>
                <w:lang w:eastAsia="zh-CN" w:bidi="hi-IN"/>
              </w:rPr>
              <w:t>7</w:t>
            </w:r>
          </w:p>
        </w:tc>
        <w:tc>
          <w:tcPr>
            <w:tcW w:w="147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8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44"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150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53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337"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972"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r>
      <w:tr w:rsidR="0091628B" w:rsidRPr="004E0937" w:rsidTr="00FB6DD2">
        <w:trPr>
          <w:trHeight w:val="1019"/>
        </w:trPr>
        <w:tc>
          <w:tcPr>
            <w:tcW w:w="1561"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vertAlign w:val="superscript"/>
                <w:lang w:eastAsia="zh-CN" w:bidi="hi-IN"/>
              </w:rPr>
            </w:pPr>
            <w:r w:rsidRPr="00FB6DD2">
              <w:rPr>
                <w:rFonts w:ascii="Times New Roman" w:eastAsia="Calibri" w:hAnsi="Times New Roman" w:cs="Times New Roman"/>
                <w:kern w:val="3"/>
                <w:sz w:val="24"/>
                <w:lang w:eastAsia="zh-CN" w:bidi="hi-IN"/>
              </w:rPr>
              <w:t>Camus, 2005</w:t>
            </w:r>
            <w:r>
              <w:rPr>
                <w:rFonts w:ascii="Times New Roman" w:eastAsia="Calibri" w:hAnsi="Times New Roman" w:cs="Times New Roman"/>
                <w:kern w:val="3"/>
                <w:sz w:val="24"/>
                <w:vertAlign w:val="superscript"/>
                <w:lang w:eastAsia="zh-CN" w:bidi="hi-IN"/>
              </w:rPr>
              <w:t>8</w:t>
            </w:r>
          </w:p>
        </w:tc>
        <w:tc>
          <w:tcPr>
            <w:tcW w:w="147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8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44"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50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53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337"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972"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r>
      <w:tr w:rsidR="0091628B" w:rsidRPr="004E0937" w:rsidTr="00FB6DD2">
        <w:trPr>
          <w:trHeight w:val="1028"/>
        </w:trPr>
        <w:tc>
          <w:tcPr>
            <w:tcW w:w="1561"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vertAlign w:val="superscript"/>
                <w:lang w:eastAsia="zh-CN" w:bidi="hi-IN"/>
              </w:rPr>
            </w:pPr>
            <w:proofErr w:type="spellStart"/>
            <w:r w:rsidRPr="00FB6DD2">
              <w:rPr>
                <w:rFonts w:ascii="Times New Roman" w:eastAsia="Calibri" w:hAnsi="Times New Roman" w:cs="Times New Roman"/>
                <w:kern w:val="3"/>
                <w:sz w:val="24"/>
                <w:lang w:eastAsia="zh-CN" w:bidi="hi-IN"/>
              </w:rPr>
              <w:t>Climo</w:t>
            </w:r>
            <w:proofErr w:type="spellEnd"/>
            <w:r w:rsidRPr="00FB6DD2">
              <w:rPr>
                <w:rFonts w:ascii="Times New Roman" w:eastAsia="Calibri" w:hAnsi="Times New Roman" w:cs="Times New Roman"/>
                <w:kern w:val="3"/>
                <w:sz w:val="24"/>
                <w:lang w:eastAsia="zh-CN" w:bidi="hi-IN"/>
              </w:rPr>
              <w:t>, 2013</w:t>
            </w:r>
            <w:r>
              <w:rPr>
                <w:rFonts w:ascii="Times New Roman" w:eastAsia="Calibri" w:hAnsi="Times New Roman" w:cs="Times New Roman"/>
                <w:kern w:val="3"/>
                <w:sz w:val="24"/>
                <w:vertAlign w:val="superscript"/>
                <w:lang w:eastAsia="zh-CN" w:bidi="hi-IN"/>
              </w:rPr>
              <w:t>3</w:t>
            </w:r>
          </w:p>
        </w:tc>
        <w:tc>
          <w:tcPr>
            <w:tcW w:w="147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8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44"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150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53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337"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972"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r>
      <w:tr w:rsidR="0091628B" w:rsidRPr="004E0937" w:rsidTr="00FB6DD2">
        <w:trPr>
          <w:trHeight w:val="509"/>
        </w:trPr>
        <w:tc>
          <w:tcPr>
            <w:tcW w:w="1561" w:type="dxa"/>
          </w:tcPr>
          <w:p w:rsidR="0091628B" w:rsidRPr="00FB6DD2" w:rsidRDefault="0091628B" w:rsidP="00FB6DD2">
            <w:pPr>
              <w:suppressAutoHyphens/>
              <w:autoSpaceDN w:val="0"/>
              <w:spacing w:line="480" w:lineRule="auto"/>
              <w:textAlignment w:val="baseline"/>
              <w:rPr>
                <w:rFonts w:ascii="Times New Roman" w:eastAsia="Calibri" w:hAnsi="Times New Roman" w:cs="Times New Roman"/>
                <w:kern w:val="3"/>
                <w:sz w:val="24"/>
                <w:vertAlign w:val="superscript"/>
                <w:lang w:eastAsia="zh-CN" w:bidi="hi-IN"/>
              </w:rPr>
            </w:pPr>
            <w:r w:rsidRPr="00FB6DD2">
              <w:rPr>
                <w:rFonts w:ascii="Times New Roman" w:eastAsia="Calibri" w:hAnsi="Times New Roman" w:cs="Times New Roman"/>
                <w:kern w:val="3"/>
                <w:sz w:val="24"/>
                <w:lang w:eastAsia="zh-CN" w:bidi="hi-IN"/>
              </w:rPr>
              <w:t>Noto, 2015</w:t>
            </w:r>
            <w:r w:rsidRPr="00FB6DD2">
              <w:rPr>
                <w:rFonts w:ascii="Times New Roman" w:eastAsia="Calibri" w:hAnsi="Times New Roman" w:cs="Times New Roman"/>
                <w:kern w:val="3"/>
                <w:sz w:val="24"/>
                <w:vertAlign w:val="superscript"/>
                <w:lang w:eastAsia="zh-CN" w:bidi="hi-IN"/>
              </w:rPr>
              <w:t>5</w:t>
            </w:r>
          </w:p>
        </w:tc>
        <w:tc>
          <w:tcPr>
            <w:tcW w:w="147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8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644"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c>
          <w:tcPr>
            <w:tcW w:w="150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538"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1337"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sidRPr="004E0937">
              <w:rPr>
                <w:rFonts w:ascii="Times New Roman" w:eastAsia="Calibri" w:hAnsi="Times New Roman" w:cs="Times New Roman"/>
                <w:b/>
                <w:kern w:val="3"/>
                <w:sz w:val="24"/>
                <w:lang w:eastAsia="zh-CN" w:bidi="hi-IN"/>
              </w:rPr>
              <w:t>+</w:t>
            </w:r>
          </w:p>
        </w:tc>
        <w:tc>
          <w:tcPr>
            <w:tcW w:w="972" w:type="dxa"/>
          </w:tcPr>
          <w:p w:rsidR="0091628B" w:rsidRPr="004E0937" w:rsidRDefault="0091628B" w:rsidP="00FB6DD2">
            <w:pPr>
              <w:suppressAutoHyphens/>
              <w:autoSpaceDN w:val="0"/>
              <w:spacing w:line="480" w:lineRule="auto"/>
              <w:textAlignment w:val="baseline"/>
              <w:rPr>
                <w:rFonts w:ascii="Times New Roman" w:eastAsia="Calibri" w:hAnsi="Times New Roman" w:cs="Times New Roman"/>
                <w:b/>
                <w:kern w:val="3"/>
                <w:sz w:val="24"/>
                <w:lang w:eastAsia="zh-CN" w:bidi="hi-IN"/>
              </w:rPr>
            </w:pPr>
            <w:r>
              <w:rPr>
                <w:rFonts w:ascii="Times New Roman" w:eastAsia="Calibri" w:hAnsi="Times New Roman" w:cs="Times New Roman"/>
                <w:b/>
                <w:kern w:val="3"/>
                <w:sz w:val="24"/>
                <w:lang w:eastAsia="zh-CN" w:bidi="hi-IN"/>
              </w:rPr>
              <w:t>+</w:t>
            </w:r>
          </w:p>
        </w:tc>
      </w:tr>
    </w:tbl>
    <w:p w:rsidR="0091628B" w:rsidRPr="00FB6DD2" w:rsidRDefault="0091628B" w:rsidP="0091628B">
      <w:pPr>
        <w:suppressAutoHyphens/>
        <w:autoSpaceDN w:val="0"/>
        <w:spacing w:after="0" w:line="480" w:lineRule="auto"/>
        <w:textAlignment w:val="baseline"/>
        <w:rPr>
          <w:rFonts w:ascii="Times New Roman" w:eastAsia="Calibri" w:hAnsi="Times New Roman" w:cs="Times New Roman"/>
          <w:kern w:val="3"/>
          <w:sz w:val="24"/>
          <w:lang w:eastAsia="zh-CN" w:bidi="hi-IN"/>
        </w:rPr>
      </w:pPr>
      <w:r w:rsidRPr="00FB6DD2">
        <w:rPr>
          <w:rFonts w:ascii="Times New Roman" w:eastAsia="Calibri" w:hAnsi="Times New Roman" w:cs="Times New Roman"/>
          <w:kern w:val="3"/>
          <w:sz w:val="24"/>
          <w:lang w:eastAsia="zh-CN" w:bidi="hi-IN"/>
        </w:rPr>
        <w:t>+ = low risk, - = high risk, ? = unknown risk</w:t>
      </w:r>
    </w:p>
    <w:p w:rsidR="0091628B" w:rsidRDefault="0091628B" w:rsidP="0091628B">
      <w:pPr>
        <w:suppressAutoHyphens/>
        <w:autoSpaceDN w:val="0"/>
        <w:spacing w:after="0" w:line="480" w:lineRule="auto"/>
        <w:textAlignment w:val="baseline"/>
        <w:rPr>
          <w:rFonts w:ascii="Times New Roman" w:eastAsia="Calibri" w:hAnsi="Times New Roman" w:cs="Times New Roman"/>
          <w:b/>
          <w:kern w:val="3"/>
          <w:sz w:val="24"/>
          <w:lang w:eastAsia="zh-CN" w:bidi="hi-IN"/>
        </w:rPr>
        <w:sectPr w:rsidR="0091628B" w:rsidSect="00474565">
          <w:pgSz w:w="15840" w:h="12240" w:orient="landscape"/>
          <w:pgMar w:top="1440" w:right="1440" w:bottom="1440" w:left="1440" w:header="720" w:footer="720" w:gutter="0"/>
          <w:cols w:space="720"/>
          <w:docGrid w:linePitch="360"/>
        </w:sectPr>
      </w:pP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b/>
          <w:kern w:val="3"/>
          <w:sz w:val="24"/>
          <w:lang w:eastAsia="zh-CN" w:bidi="hi-IN"/>
        </w:rPr>
      </w:pPr>
      <w:r w:rsidRPr="000410AE">
        <w:rPr>
          <w:rFonts w:ascii="Times New Roman" w:eastAsia="Calibri" w:hAnsi="Times New Roman" w:cs="Times New Roman"/>
          <w:b/>
          <w:kern w:val="3"/>
          <w:sz w:val="24"/>
          <w:lang w:eastAsia="zh-CN" w:bidi="hi-IN"/>
        </w:rPr>
        <w:lastRenderedPageBreak/>
        <w:t>Supplemental Figure 1:</w:t>
      </w: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kern w:val="3"/>
          <w:sz w:val="24"/>
          <w:lang w:eastAsia="zh-CN" w:bidi="hi-IN"/>
        </w:rPr>
      </w:pPr>
      <w:r w:rsidRPr="000410AE">
        <w:rPr>
          <w:rFonts w:ascii="Times New Roman" w:eastAsia="Calibri" w:hAnsi="Times New Roman" w:cs="Times New Roman"/>
          <w:b/>
          <w:kern w:val="3"/>
          <w:sz w:val="24"/>
          <w:lang w:eastAsia="zh-CN" w:bidi="hi-IN"/>
        </w:rPr>
        <w:t xml:space="preserve">1A: </w:t>
      </w:r>
      <w:r w:rsidRPr="000410AE">
        <w:rPr>
          <w:rFonts w:ascii="Times New Roman" w:eastAsia="Calibri" w:hAnsi="Times New Roman" w:cs="Times New Roman"/>
          <w:sz w:val="24"/>
        </w:rPr>
        <w:t>Funnel Plot illustrating the risk of Acinetobacter infection with chlorhexidine bathing versus comparator</w:t>
      </w:r>
      <w:r w:rsidRPr="000410AE">
        <w:rPr>
          <w:rFonts w:ascii="Times New Roman" w:eastAsia="Calibri" w:hAnsi="Times New Roman" w:cs="Times New Roman"/>
          <w:kern w:val="3"/>
          <w:sz w:val="24"/>
          <w:lang w:eastAsia="zh-CN" w:bidi="hi-IN"/>
        </w:rPr>
        <w:t>. Dashed line indicates pooled relative risk of 0.67.</w:t>
      </w: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kern w:val="3"/>
          <w:sz w:val="24"/>
          <w:lang w:eastAsia="zh-CN" w:bidi="hi-IN"/>
        </w:rPr>
      </w:pPr>
      <w:r w:rsidRPr="000410AE">
        <w:rPr>
          <w:rFonts w:ascii="Times New Roman" w:eastAsia="Calibri" w:hAnsi="Times New Roman" w:cs="Times New Roman"/>
          <w:noProof/>
          <w:kern w:val="3"/>
          <w:sz w:val="24"/>
        </w:rPr>
        <w:drawing>
          <wp:inline distT="0" distB="0" distL="0" distR="0" wp14:anchorId="29532195" wp14:editId="753C0906">
            <wp:extent cx="4114800" cy="27432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b/>
          <w:kern w:val="3"/>
          <w:sz w:val="24"/>
          <w:lang w:eastAsia="zh-CN" w:bidi="hi-IN"/>
        </w:rPr>
      </w:pP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kern w:val="3"/>
          <w:sz w:val="24"/>
          <w:lang w:eastAsia="zh-CN" w:bidi="hi-IN"/>
        </w:rPr>
      </w:pPr>
      <w:r w:rsidRPr="000410AE">
        <w:rPr>
          <w:rFonts w:ascii="Times New Roman" w:eastAsia="Calibri" w:hAnsi="Times New Roman" w:cs="Times New Roman"/>
          <w:b/>
          <w:kern w:val="3"/>
          <w:sz w:val="24"/>
          <w:lang w:eastAsia="zh-CN" w:bidi="hi-IN"/>
        </w:rPr>
        <w:t xml:space="preserve">1B: </w:t>
      </w:r>
      <w:r w:rsidRPr="000410AE">
        <w:rPr>
          <w:rFonts w:ascii="Times New Roman" w:eastAsia="Calibri" w:hAnsi="Times New Roman" w:cs="Times New Roman"/>
          <w:sz w:val="24"/>
        </w:rPr>
        <w:t>Funnel Plot illustrating the risk of Klebsiella species infections with chlorhexidine bathing versus comparator</w:t>
      </w:r>
      <w:r w:rsidRPr="000410AE">
        <w:rPr>
          <w:rFonts w:ascii="Times New Roman" w:eastAsia="Calibri" w:hAnsi="Times New Roman" w:cs="Times New Roman"/>
          <w:kern w:val="3"/>
          <w:sz w:val="24"/>
          <w:lang w:eastAsia="zh-CN" w:bidi="hi-IN"/>
        </w:rPr>
        <w:t>. Dashed line indicates pooled relative risk of 0.57.</w:t>
      </w:r>
    </w:p>
    <w:p w:rsidR="0091628B" w:rsidRPr="000410AE" w:rsidRDefault="0091628B" w:rsidP="0091628B">
      <w:pPr>
        <w:suppressAutoHyphens/>
        <w:autoSpaceDN w:val="0"/>
        <w:spacing w:after="0" w:line="480" w:lineRule="auto"/>
        <w:textAlignment w:val="baseline"/>
        <w:rPr>
          <w:rFonts w:ascii="Times New Roman" w:eastAsia="Calibri" w:hAnsi="Times New Roman" w:cs="Times New Roman"/>
          <w:kern w:val="3"/>
          <w:sz w:val="24"/>
          <w:lang w:eastAsia="zh-CN" w:bidi="hi-IN"/>
        </w:rPr>
      </w:pPr>
      <w:r w:rsidRPr="000410AE">
        <w:rPr>
          <w:rFonts w:ascii="Times New Roman" w:eastAsia="Calibri" w:hAnsi="Times New Roman" w:cs="Times New Roman"/>
          <w:noProof/>
          <w:kern w:val="3"/>
          <w:sz w:val="24"/>
        </w:rPr>
        <w:drawing>
          <wp:inline distT="0" distB="0" distL="0" distR="0" wp14:anchorId="1B33185A" wp14:editId="123A0133">
            <wp:extent cx="4114800" cy="27432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91628B" w:rsidRPr="000410AE" w:rsidRDefault="0091628B" w:rsidP="0091628B">
      <w:pPr>
        <w:pStyle w:val="Standarduseruser"/>
        <w:spacing w:line="480" w:lineRule="auto"/>
        <w:rPr>
          <w:rFonts w:eastAsia="Calibri"/>
          <w:b/>
          <w:szCs w:val="22"/>
        </w:rPr>
      </w:pPr>
    </w:p>
    <w:p w:rsidR="0091628B" w:rsidRPr="000410AE" w:rsidRDefault="0091628B" w:rsidP="0091628B">
      <w:pPr>
        <w:pStyle w:val="Standarduseruser"/>
        <w:spacing w:line="480" w:lineRule="auto"/>
        <w:rPr>
          <w:rFonts w:eastAsia="Calibri"/>
          <w:szCs w:val="22"/>
        </w:rPr>
      </w:pPr>
      <w:r w:rsidRPr="000410AE">
        <w:rPr>
          <w:rFonts w:eastAsia="Calibri"/>
          <w:b/>
          <w:szCs w:val="22"/>
        </w:rPr>
        <w:lastRenderedPageBreak/>
        <w:t xml:space="preserve">1C: </w:t>
      </w:r>
      <w:r w:rsidRPr="000410AE">
        <w:rPr>
          <w:rFonts w:eastAsia="Calibri"/>
          <w:szCs w:val="22"/>
        </w:rPr>
        <w:t xml:space="preserve">Funnel Plot illustrating the risk of </w:t>
      </w:r>
      <w:r w:rsidRPr="000410AE">
        <w:rPr>
          <w:rFonts w:eastAsia="Calibri"/>
          <w:i/>
          <w:szCs w:val="22"/>
        </w:rPr>
        <w:t>E.coli</w:t>
      </w:r>
      <w:r w:rsidRPr="000410AE">
        <w:rPr>
          <w:rFonts w:eastAsia="Calibri"/>
          <w:szCs w:val="22"/>
        </w:rPr>
        <w:t xml:space="preserve"> infection with chlorhexidine bathing versus comparator. Dashed line indicates pooled relative risk of 1.74.</w:t>
      </w:r>
    </w:p>
    <w:p w:rsidR="0091628B" w:rsidRPr="000410AE" w:rsidRDefault="0091628B" w:rsidP="0091628B">
      <w:pPr>
        <w:pStyle w:val="Standarduseruser"/>
        <w:spacing w:line="480" w:lineRule="auto"/>
        <w:rPr>
          <w:rFonts w:eastAsia="Calibri"/>
          <w:szCs w:val="22"/>
        </w:rPr>
      </w:pPr>
      <w:r w:rsidRPr="000410AE">
        <w:rPr>
          <w:rFonts w:eastAsia="Calibri"/>
          <w:noProof/>
          <w:szCs w:val="22"/>
          <w:lang w:eastAsia="en-US" w:bidi="ar-SA"/>
        </w:rPr>
        <w:drawing>
          <wp:inline distT="0" distB="0" distL="0" distR="0" wp14:anchorId="564CC676" wp14:editId="5A667AE7">
            <wp:extent cx="4114800" cy="27432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91628B" w:rsidRPr="000410AE" w:rsidRDefault="0091628B" w:rsidP="0091628B">
      <w:pPr>
        <w:pStyle w:val="Standarduseruser"/>
        <w:spacing w:line="480" w:lineRule="auto"/>
        <w:rPr>
          <w:rFonts w:eastAsia="Calibri"/>
          <w:b/>
          <w:szCs w:val="22"/>
        </w:rPr>
      </w:pPr>
    </w:p>
    <w:p w:rsidR="0091628B" w:rsidRPr="000410AE" w:rsidRDefault="0091628B" w:rsidP="0091628B">
      <w:pPr>
        <w:pStyle w:val="Standarduseruser"/>
        <w:spacing w:line="480" w:lineRule="auto"/>
        <w:rPr>
          <w:rFonts w:eastAsia="Calibri"/>
          <w:szCs w:val="22"/>
        </w:rPr>
      </w:pPr>
      <w:r w:rsidRPr="000410AE">
        <w:rPr>
          <w:rFonts w:eastAsia="Calibri"/>
          <w:b/>
          <w:szCs w:val="22"/>
        </w:rPr>
        <w:t xml:space="preserve">1D: </w:t>
      </w:r>
      <w:r w:rsidRPr="000410AE">
        <w:rPr>
          <w:rFonts w:eastAsia="Calibri"/>
          <w:szCs w:val="22"/>
        </w:rPr>
        <w:t>Funnel Plot illustrating the risk of Enterobacter infection with chlorhexidine bathing versus comparator. Dashed line indicates pooled relative risk of 0.75.</w:t>
      </w:r>
    </w:p>
    <w:p w:rsidR="0091628B" w:rsidRPr="000410AE" w:rsidRDefault="0091628B" w:rsidP="0091628B">
      <w:pPr>
        <w:pStyle w:val="Standarduseruser"/>
        <w:spacing w:line="480" w:lineRule="auto"/>
        <w:rPr>
          <w:rFonts w:eastAsia="Calibri"/>
          <w:szCs w:val="22"/>
        </w:rPr>
      </w:pPr>
      <w:r w:rsidRPr="000410AE">
        <w:rPr>
          <w:rFonts w:eastAsia="Calibri"/>
          <w:noProof/>
          <w:szCs w:val="22"/>
          <w:lang w:eastAsia="en-US" w:bidi="ar-SA"/>
        </w:rPr>
        <w:drawing>
          <wp:inline distT="0" distB="0" distL="0" distR="0" wp14:anchorId="2885C82F" wp14:editId="2F5D8BDE">
            <wp:extent cx="41148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91628B" w:rsidRPr="000410AE" w:rsidRDefault="0091628B" w:rsidP="0091628B">
      <w:pPr>
        <w:pStyle w:val="Standarduseruser"/>
        <w:spacing w:line="480" w:lineRule="auto"/>
        <w:rPr>
          <w:rFonts w:eastAsia="Calibri"/>
          <w:szCs w:val="22"/>
        </w:rPr>
      </w:pPr>
    </w:p>
    <w:p w:rsidR="0091628B" w:rsidRPr="000410AE" w:rsidRDefault="0091628B" w:rsidP="0091628B">
      <w:pPr>
        <w:pStyle w:val="Standarduseruser"/>
        <w:spacing w:line="480" w:lineRule="auto"/>
        <w:rPr>
          <w:rFonts w:eastAsia="Calibri"/>
          <w:b/>
          <w:szCs w:val="22"/>
        </w:rPr>
      </w:pPr>
    </w:p>
    <w:p w:rsidR="0091628B" w:rsidRPr="000410AE" w:rsidRDefault="0091628B" w:rsidP="0091628B">
      <w:pPr>
        <w:pStyle w:val="Standarduseruser"/>
        <w:spacing w:line="480" w:lineRule="auto"/>
        <w:rPr>
          <w:rFonts w:eastAsia="Calibri"/>
          <w:szCs w:val="22"/>
        </w:rPr>
      </w:pPr>
      <w:r w:rsidRPr="000410AE">
        <w:rPr>
          <w:rFonts w:eastAsia="Calibri"/>
          <w:b/>
          <w:szCs w:val="22"/>
        </w:rPr>
        <w:lastRenderedPageBreak/>
        <w:t xml:space="preserve">1E: </w:t>
      </w:r>
      <w:r w:rsidRPr="000410AE">
        <w:rPr>
          <w:rFonts w:eastAsia="Calibri"/>
          <w:szCs w:val="22"/>
        </w:rPr>
        <w:t>Funnel Plot illustrating the risk of Pseudomonas infection with chlorhexidine bathing versus comparator. Dashed line indicates pooled relative risk of 0.92.</w:t>
      </w:r>
    </w:p>
    <w:p w:rsidR="0091628B" w:rsidRPr="000410AE" w:rsidRDefault="0091628B" w:rsidP="0091628B">
      <w:pPr>
        <w:pStyle w:val="Standarduseruser"/>
        <w:spacing w:line="480" w:lineRule="auto"/>
        <w:rPr>
          <w:rFonts w:eastAsia="Calibri"/>
          <w:szCs w:val="22"/>
        </w:rPr>
      </w:pPr>
      <w:r w:rsidRPr="000410AE">
        <w:rPr>
          <w:rFonts w:eastAsia="Calibri"/>
          <w:noProof/>
          <w:szCs w:val="22"/>
          <w:lang w:eastAsia="en-US" w:bidi="ar-SA"/>
        </w:rPr>
        <w:drawing>
          <wp:inline distT="0" distB="0" distL="0" distR="0" wp14:anchorId="32CB807E" wp14:editId="440D2822">
            <wp:extent cx="4114800" cy="27432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91628B" w:rsidRPr="000410AE" w:rsidRDefault="0091628B" w:rsidP="0091628B">
      <w:pPr>
        <w:pStyle w:val="Standarduseruser"/>
        <w:spacing w:line="480" w:lineRule="auto"/>
        <w:rPr>
          <w:rFonts w:eastAsia="Calibri"/>
          <w:szCs w:val="22"/>
        </w:rPr>
      </w:pPr>
    </w:p>
    <w:p w:rsidR="00544435" w:rsidRPr="0091628B" w:rsidRDefault="0091628B" w:rsidP="0091628B"/>
    <w:sectPr w:rsidR="00544435" w:rsidRPr="0091628B" w:rsidSect="007A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35"/>
    <w:rsid w:val="000B4C55"/>
    <w:rsid w:val="00161ACC"/>
    <w:rsid w:val="004C5E1D"/>
    <w:rsid w:val="00507E20"/>
    <w:rsid w:val="005F0835"/>
    <w:rsid w:val="006A23B9"/>
    <w:rsid w:val="008D2A65"/>
    <w:rsid w:val="0091628B"/>
    <w:rsid w:val="00C85C03"/>
    <w:rsid w:val="00FC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B92D-FCF8-4B99-8AFA-E86B602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user">
    <w:name w:val="Standard (user) (user)"/>
    <w:rsid w:val="0091628B"/>
    <w:pPr>
      <w:suppressAutoHyphens/>
      <w:autoSpaceDN w:val="0"/>
      <w:spacing w:after="0" w:line="240" w:lineRule="auto"/>
      <w:textAlignment w:val="baseline"/>
    </w:pPr>
    <w:rPr>
      <w:rFonts w:ascii="Times New Roman" w:eastAsia="Arial"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nm-edits</dc:creator>
  <cp:keywords/>
  <dc:description/>
  <cp:lastModifiedBy>nm-edits</cp:lastModifiedBy>
  <cp:revision>2</cp:revision>
  <dcterms:created xsi:type="dcterms:W3CDTF">2019-01-29T00:00:00Z</dcterms:created>
  <dcterms:modified xsi:type="dcterms:W3CDTF">2019-01-29T00:02:00Z</dcterms:modified>
</cp:coreProperties>
</file>