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42D" w:rsidRDefault="001D342D" w:rsidP="001D342D">
      <w:pPr>
        <w:spacing w:after="200" w:line="276" w:lineRule="auto"/>
        <w:rPr>
          <w:b/>
        </w:rPr>
      </w:pPr>
      <w:r>
        <w:rPr>
          <w:b/>
        </w:rPr>
        <w:t xml:space="preserve">Appendix Table 1. </w:t>
      </w:r>
      <w:r w:rsidRPr="007875C0">
        <w:t>ICD-9-CM Diagnosis Codes for Acute Conditions and Frailty Indicators</w:t>
      </w:r>
    </w:p>
    <w:tbl>
      <w:tblPr>
        <w:tblStyle w:val="TableGrid"/>
        <w:tblW w:w="428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68"/>
        <w:gridCol w:w="100"/>
        <w:gridCol w:w="5990"/>
      </w:tblGrid>
      <w:tr w:rsidR="001D342D" w:rsidRPr="00201791" w:rsidTr="00C12DDF">
        <w:trPr>
          <w:tblHeader/>
        </w:trPr>
        <w:tc>
          <w:tcPr>
            <w:tcW w:w="1765" w:type="pct"/>
            <w:gridSpan w:val="2"/>
            <w:tcBorders>
              <w:top w:val="single" w:sz="4" w:space="0" w:color="auto"/>
              <w:bottom w:val="single" w:sz="4" w:space="0" w:color="auto"/>
            </w:tcBorders>
          </w:tcPr>
          <w:p w:rsidR="001D342D" w:rsidRPr="0011722F" w:rsidRDefault="001D342D" w:rsidP="00C12DDF">
            <w:pPr>
              <w:rPr>
                <w:rFonts w:cs="Arial"/>
                <w:b/>
              </w:rPr>
            </w:pPr>
            <w:r w:rsidRPr="0011722F">
              <w:rPr>
                <w:rFonts w:cs="Arial"/>
                <w:b/>
              </w:rPr>
              <w:t>Risk factor</w:t>
            </w:r>
          </w:p>
        </w:tc>
        <w:tc>
          <w:tcPr>
            <w:tcW w:w="3235" w:type="pct"/>
            <w:tcBorders>
              <w:top w:val="single" w:sz="4" w:space="0" w:color="auto"/>
              <w:bottom w:val="single" w:sz="4" w:space="0" w:color="auto"/>
            </w:tcBorders>
          </w:tcPr>
          <w:p w:rsidR="001D342D" w:rsidRPr="0011722F" w:rsidRDefault="001D342D" w:rsidP="00C12DDF">
            <w:pPr>
              <w:rPr>
                <w:rFonts w:cs="Arial"/>
                <w:b/>
              </w:rPr>
            </w:pPr>
            <w:r w:rsidRPr="0011722F">
              <w:rPr>
                <w:rFonts w:cs="Arial"/>
                <w:b/>
              </w:rPr>
              <w:t>ICD-9-CM diagnosis code</w:t>
            </w:r>
          </w:p>
        </w:tc>
      </w:tr>
      <w:tr w:rsidR="001D342D" w:rsidRPr="00201791" w:rsidTr="00C12DDF">
        <w:tc>
          <w:tcPr>
            <w:tcW w:w="1711" w:type="pct"/>
            <w:tcBorders>
              <w:top w:val="single" w:sz="4" w:space="0" w:color="auto"/>
              <w:bottom w:val="single" w:sz="4" w:space="0" w:color="auto"/>
            </w:tcBorders>
          </w:tcPr>
          <w:p w:rsidR="001D342D" w:rsidRPr="0011722F" w:rsidRDefault="001D342D" w:rsidP="00C12DDF">
            <w:pPr>
              <w:rPr>
                <w:rFonts w:cs="Arial"/>
                <w:b/>
              </w:rPr>
            </w:pPr>
            <w:r w:rsidRPr="0011722F">
              <w:rPr>
                <w:rFonts w:cs="Arial"/>
                <w:b/>
              </w:rPr>
              <w:t>Acute Noninfectious Conditions</w:t>
            </w:r>
          </w:p>
        </w:tc>
        <w:tc>
          <w:tcPr>
            <w:tcW w:w="3289" w:type="pct"/>
            <w:gridSpan w:val="2"/>
            <w:tcBorders>
              <w:top w:val="single" w:sz="4" w:space="0" w:color="auto"/>
              <w:bottom w:val="single" w:sz="4" w:space="0" w:color="auto"/>
            </w:tcBorders>
          </w:tcPr>
          <w:p w:rsidR="001D342D" w:rsidRPr="0011722F" w:rsidRDefault="001D342D" w:rsidP="00C12DDF">
            <w:pPr>
              <w:rPr>
                <w:rFonts w:cs="Arial"/>
              </w:rPr>
            </w:pPr>
          </w:p>
        </w:tc>
      </w:tr>
      <w:tr w:rsidR="001D342D" w:rsidRPr="00201791" w:rsidTr="00C12DDF">
        <w:tc>
          <w:tcPr>
            <w:tcW w:w="1711" w:type="pct"/>
            <w:tcBorders>
              <w:top w:val="single" w:sz="4" w:space="0" w:color="auto"/>
              <w:bottom w:val="single" w:sz="4" w:space="0" w:color="auto"/>
            </w:tcBorders>
          </w:tcPr>
          <w:p w:rsidR="001D342D" w:rsidRPr="0011722F" w:rsidRDefault="001D342D" w:rsidP="00C12DDF">
            <w:pPr>
              <w:rPr>
                <w:rFonts w:cs="Arial"/>
              </w:rPr>
            </w:pPr>
            <w:r w:rsidRPr="0011722F">
              <w:rPr>
                <w:rFonts w:cs="Arial"/>
              </w:rPr>
              <w:t>Acute myocardial infarction</w:t>
            </w:r>
          </w:p>
        </w:tc>
        <w:tc>
          <w:tcPr>
            <w:tcW w:w="3289" w:type="pct"/>
            <w:gridSpan w:val="2"/>
            <w:tcBorders>
              <w:top w:val="single" w:sz="4" w:space="0" w:color="auto"/>
              <w:bottom w:val="single" w:sz="4" w:space="0" w:color="auto"/>
            </w:tcBorders>
          </w:tcPr>
          <w:p w:rsidR="001D342D" w:rsidRPr="0011722F" w:rsidRDefault="001D342D" w:rsidP="00C12DDF">
            <w:pPr>
              <w:rPr>
                <w:rFonts w:cs="Arial"/>
              </w:rPr>
            </w:pPr>
            <w:r>
              <w:rPr>
                <w:rFonts w:cs="Arial"/>
              </w:rPr>
              <w:t>410.00-410.92</w:t>
            </w:r>
          </w:p>
        </w:tc>
      </w:tr>
      <w:tr w:rsidR="001D342D" w:rsidRPr="00201791" w:rsidTr="00C12DDF">
        <w:tc>
          <w:tcPr>
            <w:tcW w:w="1711" w:type="pct"/>
            <w:tcBorders>
              <w:top w:val="single" w:sz="4" w:space="0" w:color="auto"/>
              <w:bottom w:val="single" w:sz="4" w:space="0" w:color="auto"/>
            </w:tcBorders>
          </w:tcPr>
          <w:p w:rsidR="001D342D" w:rsidRPr="0011722F" w:rsidRDefault="001D342D" w:rsidP="00C12DDF">
            <w:pPr>
              <w:rPr>
                <w:rFonts w:cs="Arial"/>
              </w:rPr>
            </w:pPr>
            <w:r w:rsidRPr="0011722F">
              <w:rPr>
                <w:rFonts w:cs="Arial"/>
              </w:rPr>
              <w:t>COPD exacerbation</w:t>
            </w:r>
          </w:p>
        </w:tc>
        <w:tc>
          <w:tcPr>
            <w:tcW w:w="3289" w:type="pct"/>
            <w:gridSpan w:val="2"/>
            <w:tcBorders>
              <w:top w:val="single" w:sz="4" w:space="0" w:color="auto"/>
              <w:bottom w:val="single" w:sz="4" w:space="0" w:color="auto"/>
            </w:tcBorders>
          </w:tcPr>
          <w:p w:rsidR="001D342D" w:rsidRPr="00C463F0" w:rsidRDefault="001D342D" w:rsidP="00C12DDF">
            <w:pPr>
              <w:rPr>
                <w:rFonts w:cs="Arial"/>
                <w:color w:val="000000" w:themeColor="text1"/>
              </w:rPr>
            </w:pPr>
            <w:r w:rsidRPr="00C463F0">
              <w:rPr>
                <w:rFonts w:cs="Arial"/>
                <w:color w:val="000000" w:themeColor="text1"/>
                <w:shd w:val="clear" w:color="auto" w:fill="FFFFFF"/>
              </w:rPr>
              <w:t>491.21, 493.22</w:t>
            </w:r>
          </w:p>
        </w:tc>
      </w:tr>
      <w:tr w:rsidR="001D342D" w:rsidRPr="00201791" w:rsidTr="00C12DDF">
        <w:tc>
          <w:tcPr>
            <w:tcW w:w="1711" w:type="pct"/>
            <w:tcBorders>
              <w:top w:val="single" w:sz="4" w:space="0" w:color="auto"/>
              <w:bottom w:val="single" w:sz="4" w:space="0" w:color="auto"/>
            </w:tcBorders>
          </w:tcPr>
          <w:p w:rsidR="001D342D" w:rsidRPr="0011722F" w:rsidRDefault="001D342D" w:rsidP="00C12DDF">
            <w:pPr>
              <w:rPr>
                <w:rFonts w:cs="Arial"/>
              </w:rPr>
            </w:pPr>
            <w:r w:rsidRPr="0011722F">
              <w:rPr>
                <w:rFonts w:cs="Arial"/>
              </w:rPr>
              <w:t>Gastrointestinal bleed</w:t>
            </w:r>
          </w:p>
        </w:tc>
        <w:tc>
          <w:tcPr>
            <w:tcW w:w="3289" w:type="pct"/>
            <w:gridSpan w:val="2"/>
            <w:tcBorders>
              <w:top w:val="single" w:sz="4" w:space="0" w:color="auto"/>
              <w:bottom w:val="single" w:sz="4" w:space="0" w:color="auto"/>
            </w:tcBorders>
          </w:tcPr>
          <w:p w:rsidR="001D342D" w:rsidRPr="0011722F" w:rsidRDefault="001D342D" w:rsidP="00C12DDF">
            <w:pPr>
              <w:autoSpaceDE w:val="0"/>
              <w:autoSpaceDN w:val="0"/>
              <w:adjustRightInd w:val="0"/>
              <w:rPr>
                <w:rFonts w:cs="Arial"/>
              </w:rPr>
            </w:pPr>
            <w:r>
              <w:rPr>
                <w:rFonts w:cs="Arial"/>
                <w:color w:val="000000"/>
                <w:shd w:val="clear" w:color="auto" w:fill="FFFFFF"/>
              </w:rPr>
              <w:t xml:space="preserve">531.00, 531.01, </w:t>
            </w:r>
            <w:r w:rsidRPr="00824440">
              <w:rPr>
                <w:rFonts w:cs="Arial"/>
                <w:shd w:val="clear" w:color="auto" w:fill="FFFFFF"/>
              </w:rPr>
              <w:t>531.20, 531.21, 531.40, 531.41, 531</w:t>
            </w:r>
            <w:r>
              <w:rPr>
                <w:rFonts w:cs="Arial"/>
                <w:shd w:val="clear" w:color="auto" w:fill="FFFFFF"/>
              </w:rPr>
              <w:t>.</w:t>
            </w:r>
            <w:r w:rsidRPr="00824440">
              <w:rPr>
                <w:rFonts w:cs="Arial"/>
                <w:shd w:val="clear" w:color="auto" w:fill="FFFFFF"/>
              </w:rPr>
              <w:t>6</w:t>
            </w:r>
            <w:r>
              <w:rPr>
                <w:rFonts w:cs="Arial"/>
                <w:shd w:val="clear" w:color="auto" w:fill="FFFFFF"/>
              </w:rPr>
              <w:t>0, 531.61</w:t>
            </w:r>
            <w:r w:rsidRPr="00824440">
              <w:rPr>
                <w:rFonts w:cs="Arial"/>
                <w:shd w:val="clear" w:color="auto" w:fill="FFFFFF"/>
              </w:rPr>
              <w:t>, 532</w:t>
            </w:r>
            <w:r>
              <w:rPr>
                <w:rFonts w:cs="Arial"/>
                <w:shd w:val="clear" w:color="auto" w:fill="FFFFFF"/>
              </w:rPr>
              <w:t>.</w:t>
            </w:r>
            <w:r w:rsidRPr="00824440">
              <w:rPr>
                <w:rFonts w:cs="Arial"/>
                <w:shd w:val="clear" w:color="auto" w:fill="FFFFFF"/>
              </w:rPr>
              <w:t>0</w:t>
            </w:r>
            <w:r>
              <w:rPr>
                <w:rFonts w:cs="Arial"/>
                <w:shd w:val="clear" w:color="auto" w:fill="FFFFFF"/>
              </w:rPr>
              <w:t>0</w:t>
            </w:r>
            <w:r w:rsidRPr="00824440">
              <w:rPr>
                <w:rFonts w:cs="Arial"/>
                <w:shd w:val="clear" w:color="auto" w:fill="FFFFFF"/>
              </w:rPr>
              <w:t xml:space="preserve">, </w:t>
            </w:r>
            <w:r>
              <w:rPr>
                <w:rFonts w:cs="Arial"/>
                <w:shd w:val="clear" w:color="auto" w:fill="FFFFFF"/>
              </w:rPr>
              <w:t xml:space="preserve">532.01, </w:t>
            </w:r>
            <w:r w:rsidRPr="00824440">
              <w:rPr>
                <w:rFonts w:cs="Arial"/>
                <w:shd w:val="clear" w:color="auto" w:fill="FFFFFF"/>
              </w:rPr>
              <w:t>532</w:t>
            </w:r>
            <w:r>
              <w:rPr>
                <w:rFonts w:cs="Arial"/>
                <w:shd w:val="clear" w:color="auto" w:fill="FFFFFF"/>
              </w:rPr>
              <w:t>.</w:t>
            </w:r>
            <w:r w:rsidRPr="00824440">
              <w:rPr>
                <w:rFonts w:cs="Arial"/>
                <w:shd w:val="clear" w:color="auto" w:fill="FFFFFF"/>
              </w:rPr>
              <w:t>2</w:t>
            </w:r>
            <w:r>
              <w:rPr>
                <w:rFonts w:cs="Arial"/>
                <w:shd w:val="clear" w:color="auto" w:fill="FFFFFF"/>
              </w:rPr>
              <w:t>0, 532.21</w:t>
            </w:r>
            <w:r w:rsidRPr="00824440">
              <w:rPr>
                <w:rFonts w:cs="Arial"/>
                <w:shd w:val="clear" w:color="auto" w:fill="FFFFFF"/>
              </w:rPr>
              <w:t>, 532</w:t>
            </w:r>
            <w:r>
              <w:rPr>
                <w:rFonts w:cs="Arial"/>
                <w:shd w:val="clear" w:color="auto" w:fill="FFFFFF"/>
              </w:rPr>
              <w:t>.</w:t>
            </w:r>
            <w:r w:rsidRPr="00824440">
              <w:rPr>
                <w:rFonts w:cs="Arial"/>
                <w:shd w:val="clear" w:color="auto" w:fill="FFFFFF"/>
              </w:rPr>
              <w:t>4</w:t>
            </w:r>
            <w:r>
              <w:rPr>
                <w:rFonts w:cs="Arial"/>
                <w:shd w:val="clear" w:color="auto" w:fill="FFFFFF"/>
              </w:rPr>
              <w:t>0, 532.41</w:t>
            </w:r>
            <w:r w:rsidRPr="00824440">
              <w:rPr>
                <w:rFonts w:cs="Arial"/>
                <w:shd w:val="clear" w:color="auto" w:fill="FFFFFF"/>
              </w:rPr>
              <w:t>, 532</w:t>
            </w:r>
            <w:r>
              <w:rPr>
                <w:rFonts w:cs="Arial"/>
                <w:shd w:val="clear" w:color="auto" w:fill="FFFFFF"/>
              </w:rPr>
              <w:t>.</w:t>
            </w:r>
            <w:r w:rsidRPr="00824440">
              <w:rPr>
                <w:rFonts w:cs="Arial"/>
                <w:shd w:val="clear" w:color="auto" w:fill="FFFFFF"/>
              </w:rPr>
              <w:t>6</w:t>
            </w:r>
            <w:r>
              <w:rPr>
                <w:rFonts w:cs="Arial"/>
                <w:shd w:val="clear" w:color="auto" w:fill="FFFFFF"/>
              </w:rPr>
              <w:t>0, 532.61</w:t>
            </w:r>
            <w:r w:rsidRPr="00824440">
              <w:rPr>
                <w:rFonts w:cs="Arial"/>
                <w:shd w:val="clear" w:color="auto" w:fill="FFFFFF"/>
              </w:rPr>
              <w:t>, 533.00, 533.01, 533.20, 533.21, 533.40, 533.41, 533.60, 533.61, 534.00, 534.01, 534</w:t>
            </w:r>
            <w:r>
              <w:rPr>
                <w:rFonts w:cs="Arial"/>
                <w:shd w:val="clear" w:color="auto" w:fill="FFFFFF"/>
              </w:rPr>
              <w:t>.</w:t>
            </w:r>
            <w:r w:rsidRPr="00824440">
              <w:rPr>
                <w:rFonts w:cs="Arial"/>
                <w:shd w:val="clear" w:color="auto" w:fill="FFFFFF"/>
              </w:rPr>
              <w:t>2</w:t>
            </w:r>
            <w:r>
              <w:rPr>
                <w:rFonts w:cs="Arial"/>
                <w:shd w:val="clear" w:color="auto" w:fill="FFFFFF"/>
              </w:rPr>
              <w:t>0, 534.21</w:t>
            </w:r>
            <w:r w:rsidRPr="00824440">
              <w:rPr>
                <w:rFonts w:cs="Arial"/>
                <w:shd w:val="clear" w:color="auto" w:fill="FFFFFF"/>
              </w:rPr>
              <w:t>, 534</w:t>
            </w:r>
            <w:r>
              <w:rPr>
                <w:rFonts w:cs="Arial"/>
                <w:shd w:val="clear" w:color="auto" w:fill="FFFFFF"/>
              </w:rPr>
              <w:t>.</w:t>
            </w:r>
            <w:r w:rsidRPr="00824440">
              <w:rPr>
                <w:rFonts w:cs="Arial"/>
                <w:shd w:val="clear" w:color="auto" w:fill="FFFFFF"/>
              </w:rPr>
              <w:t>4</w:t>
            </w:r>
            <w:r>
              <w:rPr>
                <w:rFonts w:cs="Arial"/>
                <w:shd w:val="clear" w:color="auto" w:fill="FFFFFF"/>
              </w:rPr>
              <w:t>0, 534.41</w:t>
            </w:r>
            <w:r w:rsidRPr="00824440">
              <w:rPr>
                <w:rFonts w:cs="Arial"/>
                <w:shd w:val="clear" w:color="auto" w:fill="FFFFFF"/>
              </w:rPr>
              <w:t>, 534</w:t>
            </w:r>
            <w:r>
              <w:rPr>
                <w:rFonts w:cs="Arial"/>
                <w:shd w:val="clear" w:color="auto" w:fill="FFFFFF"/>
              </w:rPr>
              <w:t>.</w:t>
            </w:r>
            <w:r w:rsidRPr="00824440">
              <w:rPr>
                <w:rFonts w:cs="Arial"/>
                <w:shd w:val="clear" w:color="auto" w:fill="FFFFFF"/>
              </w:rPr>
              <w:t>6</w:t>
            </w:r>
            <w:r>
              <w:rPr>
                <w:rFonts w:cs="Arial"/>
                <w:shd w:val="clear" w:color="auto" w:fill="FFFFFF"/>
              </w:rPr>
              <w:t>0, 534.61</w:t>
            </w:r>
            <w:r w:rsidRPr="00824440">
              <w:rPr>
                <w:rFonts w:cs="Arial"/>
                <w:shd w:val="clear" w:color="auto" w:fill="FFFFFF"/>
              </w:rPr>
              <w:t>, 535</w:t>
            </w:r>
            <w:r>
              <w:rPr>
                <w:rFonts w:cs="Arial"/>
                <w:shd w:val="clear" w:color="auto" w:fill="FFFFFF"/>
              </w:rPr>
              <w:t>.</w:t>
            </w:r>
            <w:r w:rsidRPr="00824440">
              <w:rPr>
                <w:rFonts w:cs="Arial"/>
                <w:shd w:val="clear" w:color="auto" w:fill="FFFFFF"/>
              </w:rPr>
              <w:t>01, 535</w:t>
            </w:r>
            <w:r>
              <w:rPr>
                <w:rFonts w:cs="Arial"/>
                <w:shd w:val="clear" w:color="auto" w:fill="FFFFFF"/>
              </w:rPr>
              <w:t>.</w:t>
            </w:r>
            <w:r w:rsidRPr="00824440">
              <w:rPr>
                <w:rFonts w:cs="Arial"/>
                <w:shd w:val="clear" w:color="auto" w:fill="FFFFFF"/>
              </w:rPr>
              <w:t>11, 535</w:t>
            </w:r>
            <w:r>
              <w:rPr>
                <w:rFonts w:cs="Arial"/>
                <w:shd w:val="clear" w:color="auto" w:fill="FFFFFF"/>
              </w:rPr>
              <w:t>.</w:t>
            </w:r>
            <w:r w:rsidRPr="00824440">
              <w:rPr>
                <w:rFonts w:cs="Arial"/>
                <w:shd w:val="clear" w:color="auto" w:fill="FFFFFF"/>
              </w:rPr>
              <w:t>21, 535</w:t>
            </w:r>
            <w:r>
              <w:rPr>
                <w:rFonts w:cs="Arial"/>
                <w:shd w:val="clear" w:color="auto" w:fill="FFFFFF"/>
              </w:rPr>
              <w:t>.</w:t>
            </w:r>
            <w:r w:rsidRPr="00824440">
              <w:rPr>
                <w:rFonts w:cs="Arial"/>
                <w:shd w:val="clear" w:color="auto" w:fill="FFFFFF"/>
              </w:rPr>
              <w:t>31, 535</w:t>
            </w:r>
            <w:r>
              <w:rPr>
                <w:rFonts w:cs="Arial"/>
                <w:shd w:val="clear" w:color="auto" w:fill="FFFFFF"/>
              </w:rPr>
              <w:t>.</w:t>
            </w:r>
            <w:r w:rsidRPr="00824440">
              <w:rPr>
                <w:rFonts w:cs="Arial"/>
                <w:shd w:val="clear" w:color="auto" w:fill="FFFFFF"/>
              </w:rPr>
              <w:t>41, 535</w:t>
            </w:r>
            <w:r>
              <w:rPr>
                <w:rFonts w:cs="Arial"/>
                <w:shd w:val="clear" w:color="auto" w:fill="FFFFFF"/>
              </w:rPr>
              <w:t>.</w:t>
            </w:r>
            <w:r w:rsidRPr="00824440">
              <w:rPr>
                <w:rFonts w:cs="Arial"/>
                <w:shd w:val="clear" w:color="auto" w:fill="FFFFFF"/>
              </w:rPr>
              <w:t>51, 535</w:t>
            </w:r>
            <w:r>
              <w:rPr>
                <w:rFonts w:cs="Arial"/>
                <w:shd w:val="clear" w:color="auto" w:fill="FFFFFF"/>
              </w:rPr>
              <w:t>.</w:t>
            </w:r>
            <w:r w:rsidRPr="00824440">
              <w:rPr>
                <w:rFonts w:cs="Arial"/>
                <w:shd w:val="clear" w:color="auto" w:fill="FFFFFF"/>
              </w:rPr>
              <w:t>61,</w:t>
            </w:r>
            <w:r>
              <w:rPr>
                <w:rFonts w:cs="Arial"/>
                <w:shd w:val="clear" w:color="auto" w:fill="FFFFFF"/>
              </w:rPr>
              <w:t xml:space="preserve"> 535.71, </w:t>
            </w:r>
            <w:r w:rsidRPr="00824440">
              <w:rPr>
                <w:rFonts w:cs="Arial"/>
                <w:shd w:val="clear" w:color="auto" w:fill="FFFFFF"/>
              </w:rPr>
              <w:t>537</w:t>
            </w:r>
            <w:r>
              <w:rPr>
                <w:rFonts w:cs="Arial"/>
                <w:shd w:val="clear" w:color="auto" w:fill="FFFFFF"/>
              </w:rPr>
              <w:t>.</w:t>
            </w:r>
            <w:r w:rsidRPr="00824440">
              <w:rPr>
                <w:rFonts w:cs="Arial"/>
                <w:shd w:val="clear" w:color="auto" w:fill="FFFFFF"/>
              </w:rPr>
              <w:t>83, 562</w:t>
            </w:r>
            <w:r>
              <w:rPr>
                <w:rFonts w:cs="Arial"/>
                <w:shd w:val="clear" w:color="auto" w:fill="FFFFFF"/>
              </w:rPr>
              <w:t>.</w:t>
            </w:r>
            <w:r w:rsidRPr="00824440">
              <w:rPr>
                <w:rFonts w:cs="Arial"/>
                <w:shd w:val="clear" w:color="auto" w:fill="FFFFFF"/>
              </w:rPr>
              <w:t>02, 562</w:t>
            </w:r>
            <w:r>
              <w:rPr>
                <w:rFonts w:cs="Arial"/>
                <w:shd w:val="clear" w:color="auto" w:fill="FFFFFF"/>
              </w:rPr>
              <w:t>.</w:t>
            </w:r>
            <w:r w:rsidRPr="00824440">
              <w:rPr>
                <w:rFonts w:cs="Arial"/>
                <w:shd w:val="clear" w:color="auto" w:fill="FFFFFF"/>
              </w:rPr>
              <w:t>03, 562</w:t>
            </w:r>
            <w:r>
              <w:rPr>
                <w:rFonts w:cs="Arial"/>
                <w:shd w:val="clear" w:color="auto" w:fill="FFFFFF"/>
              </w:rPr>
              <w:t>.</w:t>
            </w:r>
            <w:r w:rsidRPr="00824440">
              <w:rPr>
                <w:rFonts w:cs="Arial"/>
                <w:shd w:val="clear" w:color="auto" w:fill="FFFFFF"/>
              </w:rPr>
              <w:t>12, 562</w:t>
            </w:r>
            <w:r>
              <w:rPr>
                <w:rFonts w:cs="Arial"/>
                <w:shd w:val="clear" w:color="auto" w:fill="FFFFFF"/>
              </w:rPr>
              <w:t>.</w:t>
            </w:r>
            <w:r w:rsidRPr="00824440">
              <w:rPr>
                <w:rFonts w:cs="Arial"/>
                <w:shd w:val="clear" w:color="auto" w:fill="FFFFFF"/>
              </w:rPr>
              <w:t>13,</w:t>
            </w:r>
            <w:r>
              <w:rPr>
                <w:rFonts w:cs="Arial"/>
                <w:shd w:val="clear" w:color="auto" w:fill="FFFFFF"/>
              </w:rPr>
              <w:t xml:space="preserve"> </w:t>
            </w:r>
            <w:r w:rsidRPr="00824440">
              <w:rPr>
                <w:rFonts w:cs="Arial"/>
                <w:shd w:val="clear" w:color="auto" w:fill="FFFFFF"/>
              </w:rPr>
              <w:t>569</w:t>
            </w:r>
            <w:r>
              <w:rPr>
                <w:rFonts w:cs="Arial"/>
                <w:shd w:val="clear" w:color="auto" w:fill="FFFFFF"/>
              </w:rPr>
              <w:t>.</w:t>
            </w:r>
            <w:r w:rsidRPr="00824440">
              <w:rPr>
                <w:rFonts w:cs="Arial"/>
                <w:shd w:val="clear" w:color="auto" w:fill="FFFFFF"/>
              </w:rPr>
              <w:t>3</w:t>
            </w:r>
            <w:r>
              <w:rPr>
                <w:rFonts w:cs="Arial"/>
                <w:shd w:val="clear" w:color="auto" w:fill="FFFFFF"/>
              </w:rPr>
              <w:t xml:space="preserve">, </w:t>
            </w:r>
            <w:r w:rsidRPr="00824440">
              <w:rPr>
                <w:rFonts w:cs="Arial"/>
                <w:shd w:val="clear" w:color="auto" w:fill="FFFFFF"/>
              </w:rPr>
              <w:t>569</w:t>
            </w:r>
            <w:r>
              <w:rPr>
                <w:rFonts w:cs="Arial"/>
                <w:shd w:val="clear" w:color="auto" w:fill="FFFFFF"/>
              </w:rPr>
              <w:t>.</w:t>
            </w:r>
            <w:r w:rsidRPr="00824440">
              <w:rPr>
                <w:rFonts w:cs="Arial"/>
                <w:shd w:val="clear" w:color="auto" w:fill="FFFFFF"/>
              </w:rPr>
              <w:t>85, 569.86</w:t>
            </w:r>
            <w:r>
              <w:rPr>
                <w:rFonts w:cs="Arial"/>
                <w:shd w:val="clear" w:color="auto" w:fill="FFFFFF"/>
              </w:rPr>
              <w:t>, 578.0, 578.1, 578.9</w:t>
            </w:r>
          </w:p>
        </w:tc>
      </w:tr>
      <w:tr w:rsidR="001D342D" w:rsidRPr="00201791" w:rsidTr="00C12DDF">
        <w:tc>
          <w:tcPr>
            <w:tcW w:w="1711" w:type="pct"/>
            <w:tcBorders>
              <w:top w:val="single" w:sz="4" w:space="0" w:color="auto"/>
              <w:bottom w:val="single" w:sz="4" w:space="0" w:color="auto"/>
            </w:tcBorders>
          </w:tcPr>
          <w:p w:rsidR="001D342D" w:rsidRPr="0011722F" w:rsidRDefault="001D342D" w:rsidP="00C12DDF">
            <w:pPr>
              <w:rPr>
                <w:rFonts w:cs="Arial"/>
              </w:rPr>
            </w:pPr>
            <w:r w:rsidRPr="0011722F">
              <w:rPr>
                <w:rFonts w:cs="Arial"/>
              </w:rPr>
              <w:t>Diverticulosis</w:t>
            </w:r>
          </w:p>
        </w:tc>
        <w:tc>
          <w:tcPr>
            <w:tcW w:w="3289" w:type="pct"/>
            <w:gridSpan w:val="2"/>
            <w:tcBorders>
              <w:top w:val="single" w:sz="4" w:space="0" w:color="auto"/>
              <w:bottom w:val="single" w:sz="4" w:space="0" w:color="auto"/>
            </w:tcBorders>
          </w:tcPr>
          <w:p w:rsidR="001D342D" w:rsidRPr="00C463F0" w:rsidRDefault="001D342D" w:rsidP="00C12DDF">
            <w:pPr>
              <w:rPr>
                <w:rFonts w:cs="Arial"/>
                <w:color w:val="000000" w:themeColor="text1"/>
              </w:rPr>
            </w:pPr>
            <w:r w:rsidRPr="00C463F0">
              <w:rPr>
                <w:rFonts w:cs="Arial"/>
                <w:color w:val="000000" w:themeColor="text1"/>
                <w:shd w:val="clear" w:color="auto" w:fill="FFFFFF"/>
              </w:rPr>
              <w:t>562.00, 562.02, 562.10, 562.12</w:t>
            </w:r>
          </w:p>
        </w:tc>
      </w:tr>
      <w:tr w:rsidR="001D342D" w:rsidRPr="00201791" w:rsidTr="00C12DDF">
        <w:tc>
          <w:tcPr>
            <w:tcW w:w="1711" w:type="pct"/>
            <w:tcBorders>
              <w:top w:val="single" w:sz="4" w:space="0" w:color="auto"/>
              <w:bottom w:val="single" w:sz="4" w:space="0" w:color="auto"/>
            </w:tcBorders>
          </w:tcPr>
          <w:p w:rsidR="001D342D" w:rsidRPr="0011722F" w:rsidRDefault="001D342D" w:rsidP="00C12DDF">
            <w:pPr>
              <w:rPr>
                <w:rFonts w:cs="Arial"/>
              </w:rPr>
            </w:pPr>
            <w:r w:rsidRPr="0011722F">
              <w:rPr>
                <w:rFonts w:cs="Arial"/>
              </w:rPr>
              <w:t>Subdural hematoma</w:t>
            </w:r>
          </w:p>
        </w:tc>
        <w:tc>
          <w:tcPr>
            <w:tcW w:w="3289" w:type="pct"/>
            <w:gridSpan w:val="2"/>
            <w:tcBorders>
              <w:top w:val="single" w:sz="4" w:space="0" w:color="auto"/>
              <w:bottom w:val="single" w:sz="4" w:space="0" w:color="auto"/>
            </w:tcBorders>
          </w:tcPr>
          <w:p w:rsidR="001D342D" w:rsidRPr="00C463F0" w:rsidRDefault="001D342D" w:rsidP="00C12DDF">
            <w:pPr>
              <w:rPr>
                <w:rFonts w:cs="Arial"/>
                <w:color w:val="000000" w:themeColor="text1"/>
                <w:highlight w:val="green"/>
              </w:rPr>
            </w:pPr>
            <w:r w:rsidRPr="00C463F0">
              <w:rPr>
                <w:rFonts w:cs="Arial"/>
                <w:color w:val="000000" w:themeColor="text1"/>
                <w:shd w:val="clear" w:color="auto" w:fill="FFFFFF"/>
              </w:rPr>
              <w:t>852.20, 852.39</w:t>
            </w:r>
          </w:p>
        </w:tc>
      </w:tr>
      <w:tr w:rsidR="001D342D" w:rsidRPr="00201791" w:rsidTr="00C12DDF">
        <w:tc>
          <w:tcPr>
            <w:tcW w:w="1711" w:type="pct"/>
            <w:tcBorders>
              <w:top w:val="single" w:sz="4" w:space="0" w:color="auto"/>
              <w:bottom w:val="single" w:sz="4" w:space="0" w:color="auto"/>
            </w:tcBorders>
          </w:tcPr>
          <w:p w:rsidR="001D342D" w:rsidRPr="0011722F" w:rsidRDefault="001D342D" w:rsidP="00C12DDF">
            <w:pPr>
              <w:rPr>
                <w:rFonts w:cs="Arial"/>
              </w:rPr>
            </w:pPr>
            <w:r w:rsidRPr="0011722F">
              <w:rPr>
                <w:rFonts w:cs="Arial"/>
              </w:rPr>
              <w:t>Cerebrovascular accident</w:t>
            </w:r>
          </w:p>
        </w:tc>
        <w:tc>
          <w:tcPr>
            <w:tcW w:w="3289" w:type="pct"/>
            <w:gridSpan w:val="2"/>
            <w:tcBorders>
              <w:top w:val="single" w:sz="4" w:space="0" w:color="auto"/>
              <w:bottom w:val="single" w:sz="4" w:space="0" w:color="auto"/>
            </w:tcBorders>
          </w:tcPr>
          <w:p w:rsidR="001D342D" w:rsidRPr="00C463F0" w:rsidRDefault="001D342D" w:rsidP="00C12DDF">
            <w:pPr>
              <w:autoSpaceDE w:val="0"/>
              <w:autoSpaceDN w:val="0"/>
              <w:adjustRightInd w:val="0"/>
              <w:rPr>
                <w:rFonts w:cs="Arial"/>
                <w:color w:val="000000" w:themeColor="text1"/>
              </w:rPr>
            </w:pPr>
            <w:r w:rsidRPr="00C463F0">
              <w:rPr>
                <w:rFonts w:cs="Arial"/>
                <w:color w:val="000000" w:themeColor="text1"/>
                <w:shd w:val="clear" w:color="auto" w:fill="FFFFFF"/>
              </w:rPr>
              <w:t>430-437.9</w:t>
            </w:r>
          </w:p>
        </w:tc>
      </w:tr>
      <w:tr w:rsidR="001D342D" w:rsidRPr="00201791" w:rsidTr="00C12DDF">
        <w:tc>
          <w:tcPr>
            <w:tcW w:w="1711" w:type="pct"/>
            <w:tcBorders>
              <w:top w:val="single" w:sz="4" w:space="0" w:color="auto"/>
              <w:bottom w:val="single" w:sz="4" w:space="0" w:color="auto"/>
            </w:tcBorders>
          </w:tcPr>
          <w:p w:rsidR="001D342D" w:rsidRPr="0011722F" w:rsidRDefault="001D342D" w:rsidP="00C12DDF">
            <w:pPr>
              <w:rPr>
                <w:rFonts w:cs="Arial"/>
              </w:rPr>
            </w:pPr>
            <w:r w:rsidRPr="0011722F">
              <w:rPr>
                <w:rFonts w:cs="Arial"/>
              </w:rPr>
              <w:t>Closed fracture – lower extremity</w:t>
            </w:r>
          </w:p>
        </w:tc>
        <w:tc>
          <w:tcPr>
            <w:tcW w:w="3289" w:type="pct"/>
            <w:gridSpan w:val="2"/>
            <w:tcBorders>
              <w:top w:val="single" w:sz="4" w:space="0" w:color="auto"/>
              <w:bottom w:val="single" w:sz="4" w:space="0" w:color="auto"/>
            </w:tcBorders>
          </w:tcPr>
          <w:p w:rsidR="001D342D" w:rsidRPr="00A1326E" w:rsidRDefault="001D342D" w:rsidP="00C12DDF">
            <w:pPr>
              <w:autoSpaceDE w:val="0"/>
              <w:autoSpaceDN w:val="0"/>
              <w:adjustRightInd w:val="0"/>
              <w:rPr>
                <w:rFonts w:cs="Arial"/>
              </w:rPr>
            </w:pPr>
            <w:r w:rsidRPr="00A1326E">
              <w:rPr>
                <w:rFonts w:cs="Arial"/>
                <w:shd w:val="clear" w:color="auto" w:fill="FFFFFF"/>
              </w:rPr>
              <w:t>820.00-820.09, 820.20-820.2</w:t>
            </w:r>
            <w:r>
              <w:rPr>
                <w:rFonts w:cs="Arial"/>
                <w:shd w:val="clear" w:color="auto" w:fill="FFFFFF"/>
              </w:rPr>
              <w:t>2</w:t>
            </w:r>
            <w:r w:rsidRPr="00A1326E">
              <w:rPr>
                <w:rFonts w:cs="Arial"/>
                <w:shd w:val="clear" w:color="auto" w:fill="FFFFFF"/>
              </w:rPr>
              <w:t>, 820.8, 821.00, 821.01, 821.20-821.29, 822.0, 823.00-823.02, , 823.20-823.22, 823.40-823.42, 823.80-823.82, 824.0, 824.2, 824.4, 824.6, 824.8, 825.0, 825.20-825.29, 827.0, 828.0, 829.0</w:t>
            </w:r>
          </w:p>
        </w:tc>
      </w:tr>
      <w:tr w:rsidR="001D342D" w:rsidRPr="00201791" w:rsidTr="00C12DDF">
        <w:tc>
          <w:tcPr>
            <w:tcW w:w="1711" w:type="pct"/>
            <w:tcBorders>
              <w:top w:val="single" w:sz="4" w:space="0" w:color="auto"/>
              <w:bottom w:val="single" w:sz="4" w:space="0" w:color="auto"/>
            </w:tcBorders>
          </w:tcPr>
          <w:p w:rsidR="001D342D" w:rsidRPr="0011722F" w:rsidRDefault="001D342D" w:rsidP="00C12DDF">
            <w:pPr>
              <w:rPr>
                <w:rFonts w:cs="Arial"/>
              </w:rPr>
            </w:pPr>
            <w:r w:rsidRPr="0011722F">
              <w:rPr>
                <w:rFonts w:cs="Arial"/>
              </w:rPr>
              <w:t>Open fracture – lower extremity</w:t>
            </w:r>
          </w:p>
        </w:tc>
        <w:tc>
          <w:tcPr>
            <w:tcW w:w="3289" w:type="pct"/>
            <w:gridSpan w:val="2"/>
            <w:tcBorders>
              <w:top w:val="single" w:sz="4" w:space="0" w:color="auto"/>
              <w:bottom w:val="single" w:sz="4" w:space="0" w:color="auto"/>
            </w:tcBorders>
          </w:tcPr>
          <w:p w:rsidR="001D342D" w:rsidRPr="00A1326E" w:rsidRDefault="001D342D" w:rsidP="00C12DDF">
            <w:pPr>
              <w:autoSpaceDE w:val="0"/>
              <w:autoSpaceDN w:val="0"/>
              <w:adjustRightInd w:val="0"/>
              <w:rPr>
                <w:rFonts w:cs="Arial"/>
              </w:rPr>
            </w:pPr>
            <w:r w:rsidRPr="00A1326E">
              <w:rPr>
                <w:rFonts w:cs="Arial"/>
                <w:shd w:val="clear" w:color="auto" w:fill="FFFFFF"/>
              </w:rPr>
              <w:t>820</w:t>
            </w:r>
            <w:r>
              <w:rPr>
                <w:rFonts w:cs="Arial"/>
                <w:shd w:val="clear" w:color="auto" w:fill="FFFFFF"/>
              </w:rPr>
              <w:t>.</w:t>
            </w:r>
            <w:r w:rsidRPr="00A1326E">
              <w:rPr>
                <w:rFonts w:cs="Arial"/>
                <w:shd w:val="clear" w:color="auto" w:fill="FFFFFF"/>
              </w:rPr>
              <w:t>1</w:t>
            </w:r>
            <w:r>
              <w:rPr>
                <w:rFonts w:cs="Arial"/>
                <w:shd w:val="clear" w:color="auto" w:fill="FFFFFF"/>
              </w:rPr>
              <w:t>0-820.19</w:t>
            </w:r>
            <w:r w:rsidRPr="00A1326E">
              <w:rPr>
                <w:rFonts w:cs="Arial"/>
                <w:shd w:val="clear" w:color="auto" w:fill="FFFFFF"/>
              </w:rPr>
              <w:t>, 820</w:t>
            </w:r>
            <w:r>
              <w:rPr>
                <w:rFonts w:cs="Arial"/>
                <w:shd w:val="clear" w:color="auto" w:fill="FFFFFF"/>
              </w:rPr>
              <w:t>.</w:t>
            </w:r>
            <w:r w:rsidRPr="00A1326E">
              <w:rPr>
                <w:rFonts w:cs="Arial"/>
                <w:shd w:val="clear" w:color="auto" w:fill="FFFFFF"/>
              </w:rPr>
              <w:t>3</w:t>
            </w:r>
            <w:r>
              <w:rPr>
                <w:rFonts w:cs="Arial"/>
                <w:shd w:val="clear" w:color="auto" w:fill="FFFFFF"/>
              </w:rPr>
              <w:t>0-820.32</w:t>
            </w:r>
            <w:r w:rsidRPr="00A1326E">
              <w:rPr>
                <w:rFonts w:cs="Arial"/>
                <w:shd w:val="clear" w:color="auto" w:fill="FFFFFF"/>
              </w:rPr>
              <w:t>, 820</w:t>
            </w:r>
            <w:r>
              <w:rPr>
                <w:rFonts w:cs="Arial"/>
                <w:shd w:val="clear" w:color="auto" w:fill="FFFFFF"/>
              </w:rPr>
              <w:t>.</w:t>
            </w:r>
            <w:r w:rsidRPr="00A1326E">
              <w:rPr>
                <w:rFonts w:cs="Arial"/>
                <w:shd w:val="clear" w:color="auto" w:fill="FFFFFF"/>
              </w:rPr>
              <w:t>9, 821</w:t>
            </w:r>
            <w:r>
              <w:rPr>
                <w:rFonts w:cs="Arial"/>
                <w:shd w:val="clear" w:color="auto" w:fill="FFFFFF"/>
              </w:rPr>
              <w:t>.</w:t>
            </w:r>
            <w:r w:rsidRPr="00A1326E">
              <w:rPr>
                <w:rFonts w:cs="Arial"/>
                <w:shd w:val="clear" w:color="auto" w:fill="FFFFFF"/>
              </w:rPr>
              <w:t>1</w:t>
            </w:r>
            <w:r>
              <w:rPr>
                <w:rFonts w:cs="Arial"/>
                <w:shd w:val="clear" w:color="auto" w:fill="FFFFFF"/>
              </w:rPr>
              <w:t>0, 821.11</w:t>
            </w:r>
            <w:r w:rsidRPr="00A1326E">
              <w:rPr>
                <w:rFonts w:cs="Arial"/>
                <w:shd w:val="clear" w:color="auto" w:fill="FFFFFF"/>
              </w:rPr>
              <w:t>, 821</w:t>
            </w:r>
            <w:r>
              <w:rPr>
                <w:rFonts w:cs="Arial"/>
                <w:shd w:val="clear" w:color="auto" w:fill="FFFFFF"/>
              </w:rPr>
              <w:t>.</w:t>
            </w:r>
            <w:r w:rsidRPr="00A1326E">
              <w:rPr>
                <w:rFonts w:cs="Arial"/>
                <w:shd w:val="clear" w:color="auto" w:fill="FFFFFF"/>
              </w:rPr>
              <w:t>3</w:t>
            </w:r>
            <w:r>
              <w:rPr>
                <w:rFonts w:cs="Arial"/>
                <w:shd w:val="clear" w:color="auto" w:fill="FFFFFF"/>
              </w:rPr>
              <w:t>0-821.39</w:t>
            </w:r>
            <w:r w:rsidRPr="00A1326E">
              <w:rPr>
                <w:rFonts w:cs="Arial"/>
                <w:shd w:val="clear" w:color="auto" w:fill="FFFFFF"/>
              </w:rPr>
              <w:t>, 822</w:t>
            </w:r>
            <w:r>
              <w:rPr>
                <w:rFonts w:cs="Arial"/>
                <w:shd w:val="clear" w:color="auto" w:fill="FFFFFF"/>
              </w:rPr>
              <w:t>.</w:t>
            </w:r>
            <w:r w:rsidRPr="00A1326E">
              <w:rPr>
                <w:rFonts w:cs="Arial"/>
                <w:shd w:val="clear" w:color="auto" w:fill="FFFFFF"/>
              </w:rPr>
              <w:t>1, 823</w:t>
            </w:r>
            <w:r>
              <w:rPr>
                <w:rFonts w:cs="Arial"/>
                <w:shd w:val="clear" w:color="auto" w:fill="FFFFFF"/>
              </w:rPr>
              <w:t>.</w:t>
            </w:r>
            <w:r w:rsidRPr="00A1326E">
              <w:rPr>
                <w:rFonts w:cs="Arial"/>
                <w:shd w:val="clear" w:color="auto" w:fill="FFFFFF"/>
              </w:rPr>
              <w:t>1</w:t>
            </w:r>
            <w:r>
              <w:rPr>
                <w:rFonts w:cs="Arial"/>
                <w:shd w:val="clear" w:color="auto" w:fill="FFFFFF"/>
              </w:rPr>
              <w:t>0-823.12</w:t>
            </w:r>
            <w:r w:rsidRPr="00A1326E">
              <w:rPr>
                <w:rFonts w:cs="Arial"/>
                <w:shd w:val="clear" w:color="auto" w:fill="FFFFFF"/>
              </w:rPr>
              <w:t>, 823</w:t>
            </w:r>
            <w:r>
              <w:rPr>
                <w:rFonts w:cs="Arial"/>
                <w:shd w:val="clear" w:color="auto" w:fill="FFFFFF"/>
              </w:rPr>
              <w:t>.</w:t>
            </w:r>
            <w:r w:rsidRPr="00A1326E">
              <w:rPr>
                <w:rFonts w:cs="Arial"/>
                <w:shd w:val="clear" w:color="auto" w:fill="FFFFFF"/>
              </w:rPr>
              <w:t>3</w:t>
            </w:r>
            <w:r>
              <w:rPr>
                <w:rFonts w:cs="Arial"/>
                <w:shd w:val="clear" w:color="auto" w:fill="FFFFFF"/>
              </w:rPr>
              <w:t>0-823.32</w:t>
            </w:r>
            <w:r w:rsidRPr="00A1326E">
              <w:rPr>
                <w:rFonts w:cs="Arial"/>
                <w:shd w:val="clear" w:color="auto" w:fill="FFFFFF"/>
              </w:rPr>
              <w:t>, 823</w:t>
            </w:r>
            <w:r>
              <w:rPr>
                <w:rFonts w:cs="Arial"/>
                <w:shd w:val="clear" w:color="auto" w:fill="FFFFFF"/>
              </w:rPr>
              <w:t>.</w:t>
            </w:r>
            <w:r w:rsidRPr="00A1326E">
              <w:rPr>
                <w:rFonts w:cs="Arial"/>
                <w:shd w:val="clear" w:color="auto" w:fill="FFFFFF"/>
              </w:rPr>
              <w:t>9</w:t>
            </w:r>
            <w:r>
              <w:rPr>
                <w:rFonts w:cs="Arial"/>
                <w:shd w:val="clear" w:color="auto" w:fill="FFFFFF"/>
              </w:rPr>
              <w:t>0-823.92</w:t>
            </w:r>
            <w:r w:rsidRPr="00A1326E">
              <w:rPr>
                <w:rFonts w:cs="Arial"/>
                <w:shd w:val="clear" w:color="auto" w:fill="FFFFFF"/>
              </w:rPr>
              <w:t>,</w:t>
            </w:r>
            <w:r>
              <w:rPr>
                <w:rFonts w:cs="Arial"/>
                <w:shd w:val="clear" w:color="auto" w:fill="FFFFFF"/>
              </w:rPr>
              <w:t xml:space="preserve"> </w:t>
            </w:r>
            <w:r w:rsidRPr="00A1326E">
              <w:rPr>
                <w:rFonts w:cs="Arial"/>
                <w:shd w:val="clear" w:color="auto" w:fill="FFFFFF"/>
              </w:rPr>
              <w:t>824</w:t>
            </w:r>
            <w:r>
              <w:rPr>
                <w:rFonts w:cs="Arial"/>
                <w:shd w:val="clear" w:color="auto" w:fill="FFFFFF"/>
              </w:rPr>
              <w:t>.</w:t>
            </w:r>
            <w:r w:rsidRPr="00A1326E">
              <w:rPr>
                <w:rFonts w:cs="Arial"/>
                <w:shd w:val="clear" w:color="auto" w:fill="FFFFFF"/>
              </w:rPr>
              <w:t>1, 824</w:t>
            </w:r>
            <w:r>
              <w:rPr>
                <w:rFonts w:cs="Arial"/>
                <w:shd w:val="clear" w:color="auto" w:fill="FFFFFF"/>
              </w:rPr>
              <w:t>.</w:t>
            </w:r>
            <w:r w:rsidRPr="00A1326E">
              <w:rPr>
                <w:rFonts w:cs="Arial"/>
                <w:shd w:val="clear" w:color="auto" w:fill="FFFFFF"/>
              </w:rPr>
              <w:t>3, 824</w:t>
            </w:r>
            <w:r>
              <w:rPr>
                <w:rFonts w:cs="Arial"/>
                <w:shd w:val="clear" w:color="auto" w:fill="FFFFFF"/>
              </w:rPr>
              <w:t>.</w:t>
            </w:r>
            <w:r w:rsidRPr="00A1326E">
              <w:rPr>
                <w:rFonts w:cs="Arial"/>
                <w:shd w:val="clear" w:color="auto" w:fill="FFFFFF"/>
              </w:rPr>
              <w:t>5, 824</w:t>
            </w:r>
            <w:r>
              <w:rPr>
                <w:rFonts w:cs="Arial"/>
                <w:shd w:val="clear" w:color="auto" w:fill="FFFFFF"/>
              </w:rPr>
              <w:t>.</w:t>
            </w:r>
            <w:r w:rsidRPr="00A1326E">
              <w:rPr>
                <w:rFonts w:cs="Arial"/>
                <w:shd w:val="clear" w:color="auto" w:fill="FFFFFF"/>
              </w:rPr>
              <w:t>7, 824</w:t>
            </w:r>
            <w:r>
              <w:rPr>
                <w:rFonts w:cs="Arial"/>
                <w:shd w:val="clear" w:color="auto" w:fill="FFFFFF"/>
              </w:rPr>
              <w:t>.</w:t>
            </w:r>
            <w:r w:rsidRPr="00A1326E">
              <w:rPr>
                <w:rFonts w:cs="Arial"/>
                <w:shd w:val="clear" w:color="auto" w:fill="FFFFFF"/>
              </w:rPr>
              <w:t>9, 825</w:t>
            </w:r>
            <w:r>
              <w:rPr>
                <w:rFonts w:cs="Arial"/>
                <w:shd w:val="clear" w:color="auto" w:fill="FFFFFF"/>
              </w:rPr>
              <w:t>.</w:t>
            </w:r>
            <w:r w:rsidRPr="00A1326E">
              <w:rPr>
                <w:rFonts w:cs="Arial"/>
                <w:shd w:val="clear" w:color="auto" w:fill="FFFFFF"/>
              </w:rPr>
              <w:t>1, 825</w:t>
            </w:r>
            <w:r>
              <w:rPr>
                <w:rFonts w:cs="Arial"/>
                <w:shd w:val="clear" w:color="auto" w:fill="FFFFFF"/>
              </w:rPr>
              <w:t>.</w:t>
            </w:r>
            <w:r w:rsidRPr="00A1326E">
              <w:rPr>
                <w:rFonts w:cs="Arial"/>
                <w:shd w:val="clear" w:color="auto" w:fill="FFFFFF"/>
              </w:rPr>
              <w:t>3</w:t>
            </w:r>
            <w:r>
              <w:rPr>
                <w:rFonts w:cs="Arial"/>
                <w:shd w:val="clear" w:color="auto" w:fill="FFFFFF"/>
              </w:rPr>
              <w:t>0-825.39</w:t>
            </w:r>
            <w:r w:rsidRPr="00A1326E">
              <w:rPr>
                <w:rFonts w:cs="Arial"/>
                <w:shd w:val="clear" w:color="auto" w:fill="FFFFFF"/>
              </w:rPr>
              <w:t>, 827</w:t>
            </w:r>
            <w:r>
              <w:rPr>
                <w:rFonts w:cs="Arial"/>
                <w:shd w:val="clear" w:color="auto" w:fill="FFFFFF"/>
              </w:rPr>
              <w:t>.</w:t>
            </w:r>
            <w:r w:rsidRPr="00A1326E">
              <w:rPr>
                <w:rFonts w:cs="Arial"/>
                <w:shd w:val="clear" w:color="auto" w:fill="FFFFFF"/>
              </w:rPr>
              <w:t>1, 828</w:t>
            </w:r>
            <w:r>
              <w:rPr>
                <w:rFonts w:cs="Arial"/>
                <w:shd w:val="clear" w:color="auto" w:fill="FFFFFF"/>
              </w:rPr>
              <w:t>.</w:t>
            </w:r>
            <w:r w:rsidRPr="00A1326E">
              <w:rPr>
                <w:rFonts w:cs="Arial"/>
                <w:shd w:val="clear" w:color="auto" w:fill="FFFFFF"/>
              </w:rPr>
              <w:t>1, 829</w:t>
            </w:r>
            <w:r>
              <w:rPr>
                <w:rFonts w:cs="Arial"/>
                <w:shd w:val="clear" w:color="auto" w:fill="FFFFFF"/>
              </w:rPr>
              <w:t>.</w:t>
            </w:r>
            <w:r w:rsidRPr="00A1326E">
              <w:rPr>
                <w:rFonts w:cs="Arial"/>
                <w:shd w:val="clear" w:color="auto" w:fill="FFFFFF"/>
              </w:rPr>
              <w:t>1</w:t>
            </w:r>
          </w:p>
        </w:tc>
      </w:tr>
      <w:tr w:rsidR="001D342D" w:rsidRPr="00201791" w:rsidTr="00C12DDF">
        <w:tc>
          <w:tcPr>
            <w:tcW w:w="1711" w:type="pct"/>
            <w:tcBorders>
              <w:top w:val="single" w:sz="4" w:space="0" w:color="auto"/>
              <w:bottom w:val="single" w:sz="4" w:space="0" w:color="auto"/>
            </w:tcBorders>
          </w:tcPr>
          <w:p w:rsidR="001D342D" w:rsidRPr="0011722F" w:rsidRDefault="001D342D" w:rsidP="00C12DDF">
            <w:pPr>
              <w:rPr>
                <w:rFonts w:cs="Arial"/>
              </w:rPr>
            </w:pPr>
            <w:r w:rsidRPr="0011722F">
              <w:rPr>
                <w:rFonts w:cs="Arial"/>
              </w:rPr>
              <w:t>Closed fracture – other</w:t>
            </w:r>
          </w:p>
        </w:tc>
        <w:tc>
          <w:tcPr>
            <w:tcW w:w="3289" w:type="pct"/>
            <w:gridSpan w:val="2"/>
            <w:tcBorders>
              <w:top w:val="single" w:sz="4" w:space="0" w:color="auto"/>
              <w:bottom w:val="single" w:sz="4" w:space="0" w:color="auto"/>
            </w:tcBorders>
          </w:tcPr>
          <w:p w:rsidR="001D342D" w:rsidRPr="00A1326E" w:rsidRDefault="001D342D" w:rsidP="00C12DDF">
            <w:pPr>
              <w:autoSpaceDE w:val="0"/>
              <w:autoSpaceDN w:val="0"/>
              <w:adjustRightInd w:val="0"/>
              <w:rPr>
                <w:rFonts w:cs="Arial"/>
              </w:rPr>
            </w:pPr>
            <w:r w:rsidRPr="00A1326E">
              <w:rPr>
                <w:rFonts w:cs="Arial"/>
                <w:shd w:val="clear" w:color="auto" w:fill="FFFFFF"/>
              </w:rPr>
              <w:t>805.00-805.08, 805.2, 805.4, 805.6, 805.8, 806.00-806.09, 806.20-806.29, 806.4, 806.60-806.69, 806.8, 807.00-807.09, 807.2, 807.5, 808.0, 808.2, 808.41-808.49, 808.8, 809.0</w:t>
            </w:r>
            <w:r>
              <w:rPr>
                <w:rFonts w:cs="Arial"/>
                <w:shd w:val="clear" w:color="auto" w:fill="FFFFFF"/>
              </w:rPr>
              <w:t xml:space="preserve">, </w:t>
            </w:r>
            <w:r w:rsidRPr="00A1326E">
              <w:rPr>
                <w:rFonts w:cs="Arial"/>
                <w:shd w:val="clear" w:color="auto" w:fill="FFFFFF"/>
              </w:rPr>
              <w:t>810.00-810.03, 811.00-811.09, 812.00-812.09, 812.20, 812.21, 812.40-812.49, 813.00-813.08, 813.20-813.23, 813.40-813.47, 813.80-813.83, 814.00-814.09, 815.00-815.09, 817.0, 818.0, 819.0</w:t>
            </w:r>
          </w:p>
        </w:tc>
      </w:tr>
      <w:tr w:rsidR="001D342D" w:rsidRPr="00201791" w:rsidTr="00C12DDF">
        <w:tc>
          <w:tcPr>
            <w:tcW w:w="1711" w:type="pct"/>
            <w:tcBorders>
              <w:top w:val="single" w:sz="4" w:space="0" w:color="auto"/>
              <w:bottom w:val="single" w:sz="4" w:space="0" w:color="auto"/>
            </w:tcBorders>
          </w:tcPr>
          <w:p w:rsidR="001D342D" w:rsidRPr="0011722F" w:rsidRDefault="001D342D" w:rsidP="00C12DDF">
            <w:pPr>
              <w:rPr>
                <w:rFonts w:cs="Arial"/>
              </w:rPr>
            </w:pPr>
            <w:r w:rsidRPr="0011722F">
              <w:rPr>
                <w:rFonts w:cs="Arial"/>
              </w:rPr>
              <w:t>Open fracture – other</w:t>
            </w:r>
          </w:p>
        </w:tc>
        <w:tc>
          <w:tcPr>
            <w:tcW w:w="3289" w:type="pct"/>
            <w:gridSpan w:val="2"/>
            <w:tcBorders>
              <w:top w:val="single" w:sz="4" w:space="0" w:color="auto"/>
              <w:bottom w:val="single" w:sz="4" w:space="0" w:color="auto"/>
            </w:tcBorders>
          </w:tcPr>
          <w:p w:rsidR="001D342D" w:rsidRPr="0011722F" w:rsidRDefault="001D342D" w:rsidP="00C12DDF">
            <w:pPr>
              <w:autoSpaceDE w:val="0"/>
              <w:autoSpaceDN w:val="0"/>
              <w:adjustRightInd w:val="0"/>
              <w:rPr>
                <w:rFonts w:cs="Arial"/>
              </w:rPr>
            </w:pPr>
            <w:r w:rsidRPr="008C6E6D">
              <w:rPr>
                <w:rFonts w:cs="Arial"/>
                <w:shd w:val="clear" w:color="auto" w:fill="FFFFFF"/>
              </w:rPr>
              <w:t>805.10-805.18, 805.3, 805.5, 805.7, 805.9, 806.10-806.19, 806.30-806.39, 806.5, 806.70-806.79, 806.9, 807.10-807.19, 807.3, 807.6, 808.1, 808.3, 808.51-808.59, 808.9, 809.1,</w:t>
            </w:r>
            <w:r>
              <w:rPr>
                <w:rFonts w:ascii="Courier New" w:hAnsi="Courier New" w:cs="Courier New"/>
                <w:shd w:val="clear" w:color="auto" w:fill="FFFFFF"/>
              </w:rPr>
              <w:t xml:space="preserve"> </w:t>
            </w:r>
            <w:r w:rsidRPr="002E61A4">
              <w:rPr>
                <w:rFonts w:cs="Arial"/>
                <w:shd w:val="clear" w:color="auto" w:fill="FFFFFF"/>
              </w:rPr>
              <w:t>810</w:t>
            </w:r>
            <w:r>
              <w:rPr>
                <w:rFonts w:cs="Arial"/>
                <w:shd w:val="clear" w:color="auto" w:fill="FFFFFF"/>
              </w:rPr>
              <w:t>.</w:t>
            </w:r>
            <w:r w:rsidRPr="002E61A4">
              <w:rPr>
                <w:rFonts w:cs="Arial"/>
                <w:shd w:val="clear" w:color="auto" w:fill="FFFFFF"/>
              </w:rPr>
              <w:t>1</w:t>
            </w:r>
            <w:r>
              <w:rPr>
                <w:rFonts w:cs="Arial"/>
                <w:shd w:val="clear" w:color="auto" w:fill="FFFFFF"/>
              </w:rPr>
              <w:t>0-810.13</w:t>
            </w:r>
            <w:r w:rsidRPr="002E61A4">
              <w:rPr>
                <w:rFonts w:cs="Arial"/>
                <w:shd w:val="clear" w:color="auto" w:fill="FFFFFF"/>
              </w:rPr>
              <w:t>, 811</w:t>
            </w:r>
            <w:r>
              <w:rPr>
                <w:rFonts w:cs="Arial"/>
                <w:shd w:val="clear" w:color="auto" w:fill="FFFFFF"/>
              </w:rPr>
              <w:t>.</w:t>
            </w:r>
            <w:r w:rsidRPr="002E61A4">
              <w:rPr>
                <w:rFonts w:cs="Arial"/>
                <w:shd w:val="clear" w:color="auto" w:fill="FFFFFF"/>
              </w:rPr>
              <w:t>1</w:t>
            </w:r>
            <w:r>
              <w:rPr>
                <w:rFonts w:cs="Arial"/>
                <w:shd w:val="clear" w:color="auto" w:fill="FFFFFF"/>
              </w:rPr>
              <w:t>0-811.13</w:t>
            </w:r>
            <w:r w:rsidRPr="002E61A4">
              <w:rPr>
                <w:rFonts w:cs="Arial"/>
                <w:shd w:val="clear" w:color="auto" w:fill="FFFFFF"/>
              </w:rPr>
              <w:t>, 812</w:t>
            </w:r>
            <w:r>
              <w:rPr>
                <w:rFonts w:cs="Arial"/>
                <w:shd w:val="clear" w:color="auto" w:fill="FFFFFF"/>
              </w:rPr>
              <w:t>.</w:t>
            </w:r>
            <w:r w:rsidRPr="002E61A4">
              <w:rPr>
                <w:rFonts w:cs="Arial"/>
                <w:shd w:val="clear" w:color="auto" w:fill="FFFFFF"/>
              </w:rPr>
              <w:t>1</w:t>
            </w:r>
            <w:r>
              <w:rPr>
                <w:rFonts w:cs="Arial"/>
                <w:shd w:val="clear" w:color="auto" w:fill="FFFFFF"/>
              </w:rPr>
              <w:t>0-812.19</w:t>
            </w:r>
            <w:r w:rsidRPr="002E61A4">
              <w:rPr>
                <w:rFonts w:cs="Arial"/>
                <w:shd w:val="clear" w:color="auto" w:fill="FFFFFF"/>
              </w:rPr>
              <w:t>, 812</w:t>
            </w:r>
            <w:r>
              <w:rPr>
                <w:rFonts w:cs="Arial"/>
                <w:shd w:val="clear" w:color="auto" w:fill="FFFFFF"/>
              </w:rPr>
              <w:t>.</w:t>
            </w:r>
            <w:r w:rsidRPr="002E61A4">
              <w:rPr>
                <w:rFonts w:cs="Arial"/>
                <w:shd w:val="clear" w:color="auto" w:fill="FFFFFF"/>
              </w:rPr>
              <w:t>3</w:t>
            </w:r>
            <w:r>
              <w:rPr>
                <w:rFonts w:cs="Arial"/>
                <w:shd w:val="clear" w:color="auto" w:fill="FFFFFF"/>
              </w:rPr>
              <w:t>0, 812.31</w:t>
            </w:r>
            <w:r w:rsidRPr="002E61A4">
              <w:rPr>
                <w:rFonts w:cs="Arial"/>
                <w:shd w:val="clear" w:color="auto" w:fill="FFFFFF"/>
              </w:rPr>
              <w:t>, 812</w:t>
            </w:r>
            <w:r>
              <w:rPr>
                <w:rFonts w:cs="Arial"/>
                <w:shd w:val="clear" w:color="auto" w:fill="FFFFFF"/>
              </w:rPr>
              <w:t>.</w:t>
            </w:r>
            <w:r w:rsidRPr="002E61A4">
              <w:rPr>
                <w:rFonts w:cs="Arial"/>
                <w:shd w:val="clear" w:color="auto" w:fill="FFFFFF"/>
              </w:rPr>
              <w:t>5</w:t>
            </w:r>
            <w:r>
              <w:rPr>
                <w:rFonts w:cs="Arial"/>
                <w:shd w:val="clear" w:color="auto" w:fill="FFFFFF"/>
              </w:rPr>
              <w:t>0-812.59</w:t>
            </w:r>
            <w:r w:rsidRPr="002E61A4">
              <w:rPr>
                <w:rFonts w:cs="Arial"/>
                <w:shd w:val="clear" w:color="auto" w:fill="FFFFFF"/>
              </w:rPr>
              <w:t>, 813</w:t>
            </w:r>
            <w:r>
              <w:rPr>
                <w:rFonts w:cs="Arial"/>
                <w:shd w:val="clear" w:color="auto" w:fill="FFFFFF"/>
              </w:rPr>
              <w:t>.</w:t>
            </w:r>
            <w:r w:rsidRPr="002E61A4">
              <w:rPr>
                <w:rFonts w:cs="Arial"/>
                <w:shd w:val="clear" w:color="auto" w:fill="FFFFFF"/>
              </w:rPr>
              <w:t>1</w:t>
            </w:r>
            <w:r>
              <w:rPr>
                <w:rFonts w:cs="Arial"/>
                <w:shd w:val="clear" w:color="auto" w:fill="FFFFFF"/>
              </w:rPr>
              <w:t>0-813.18</w:t>
            </w:r>
            <w:r w:rsidRPr="002E61A4">
              <w:rPr>
                <w:rFonts w:cs="Arial"/>
                <w:shd w:val="clear" w:color="auto" w:fill="FFFFFF"/>
              </w:rPr>
              <w:t>, 813</w:t>
            </w:r>
            <w:r>
              <w:rPr>
                <w:rFonts w:cs="Arial"/>
                <w:shd w:val="clear" w:color="auto" w:fill="FFFFFF"/>
              </w:rPr>
              <w:t>.</w:t>
            </w:r>
            <w:r w:rsidRPr="002E61A4">
              <w:rPr>
                <w:rFonts w:cs="Arial"/>
                <w:shd w:val="clear" w:color="auto" w:fill="FFFFFF"/>
              </w:rPr>
              <w:t>3</w:t>
            </w:r>
            <w:r>
              <w:rPr>
                <w:rFonts w:cs="Arial"/>
                <w:shd w:val="clear" w:color="auto" w:fill="FFFFFF"/>
              </w:rPr>
              <w:t>0-813.33</w:t>
            </w:r>
            <w:r w:rsidRPr="002E61A4">
              <w:rPr>
                <w:rFonts w:cs="Arial"/>
                <w:shd w:val="clear" w:color="auto" w:fill="FFFFFF"/>
              </w:rPr>
              <w:t>, 813</w:t>
            </w:r>
            <w:r>
              <w:rPr>
                <w:rFonts w:cs="Arial"/>
                <w:shd w:val="clear" w:color="auto" w:fill="FFFFFF"/>
              </w:rPr>
              <w:t>.</w:t>
            </w:r>
            <w:r w:rsidRPr="002E61A4">
              <w:rPr>
                <w:rFonts w:cs="Arial"/>
                <w:shd w:val="clear" w:color="auto" w:fill="FFFFFF"/>
              </w:rPr>
              <w:t>5</w:t>
            </w:r>
            <w:r>
              <w:rPr>
                <w:rFonts w:cs="Arial"/>
                <w:shd w:val="clear" w:color="auto" w:fill="FFFFFF"/>
              </w:rPr>
              <w:t>0-813.34</w:t>
            </w:r>
            <w:r w:rsidRPr="002E61A4">
              <w:rPr>
                <w:rFonts w:cs="Arial"/>
                <w:shd w:val="clear" w:color="auto" w:fill="FFFFFF"/>
              </w:rPr>
              <w:t>, 813</w:t>
            </w:r>
            <w:r>
              <w:rPr>
                <w:rFonts w:cs="Arial"/>
                <w:shd w:val="clear" w:color="auto" w:fill="FFFFFF"/>
              </w:rPr>
              <w:t>.</w:t>
            </w:r>
            <w:r w:rsidRPr="002E61A4">
              <w:rPr>
                <w:rFonts w:cs="Arial"/>
                <w:shd w:val="clear" w:color="auto" w:fill="FFFFFF"/>
              </w:rPr>
              <w:t>9</w:t>
            </w:r>
            <w:r>
              <w:rPr>
                <w:rFonts w:cs="Arial"/>
                <w:shd w:val="clear" w:color="auto" w:fill="FFFFFF"/>
              </w:rPr>
              <w:t>0-813.93</w:t>
            </w:r>
            <w:r w:rsidRPr="002E61A4">
              <w:rPr>
                <w:rFonts w:cs="Arial"/>
                <w:shd w:val="clear" w:color="auto" w:fill="FFFFFF"/>
              </w:rPr>
              <w:t>,</w:t>
            </w:r>
            <w:r>
              <w:rPr>
                <w:rFonts w:cs="Arial"/>
                <w:shd w:val="clear" w:color="auto" w:fill="FFFFFF"/>
              </w:rPr>
              <w:t xml:space="preserve"> </w:t>
            </w:r>
            <w:r w:rsidRPr="002E61A4">
              <w:rPr>
                <w:rFonts w:cs="Arial"/>
                <w:shd w:val="clear" w:color="auto" w:fill="FFFFFF"/>
              </w:rPr>
              <w:t>814</w:t>
            </w:r>
            <w:r>
              <w:rPr>
                <w:rFonts w:cs="Arial"/>
                <w:shd w:val="clear" w:color="auto" w:fill="FFFFFF"/>
              </w:rPr>
              <w:t>.</w:t>
            </w:r>
            <w:r w:rsidRPr="002E61A4">
              <w:rPr>
                <w:rFonts w:cs="Arial"/>
                <w:shd w:val="clear" w:color="auto" w:fill="FFFFFF"/>
              </w:rPr>
              <w:t>1</w:t>
            </w:r>
            <w:r>
              <w:rPr>
                <w:rFonts w:cs="Arial"/>
                <w:shd w:val="clear" w:color="auto" w:fill="FFFFFF"/>
              </w:rPr>
              <w:t>0-814.19</w:t>
            </w:r>
            <w:r w:rsidRPr="002E61A4">
              <w:rPr>
                <w:rFonts w:cs="Arial"/>
                <w:shd w:val="clear" w:color="auto" w:fill="FFFFFF"/>
              </w:rPr>
              <w:t>, 815</w:t>
            </w:r>
            <w:r>
              <w:rPr>
                <w:rFonts w:cs="Arial"/>
                <w:shd w:val="clear" w:color="auto" w:fill="FFFFFF"/>
              </w:rPr>
              <w:t>.</w:t>
            </w:r>
            <w:r w:rsidRPr="002E61A4">
              <w:rPr>
                <w:rFonts w:cs="Arial"/>
                <w:shd w:val="clear" w:color="auto" w:fill="FFFFFF"/>
              </w:rPr>
              <w:t>1</w:t>
            </w:r>
            <w:r>
              <w:rPr>
                <w:rFonts w:cs="Arial"/>
                <w:shd w:val="clear" w:color="auto" w:fill="FFFFFF"/>
              </w:rPr>
              <w:t>0-815.19</w:t>
            </w:r>
            <w:r w:rsidRPr="002E61A4">
              <w:rPr>
                <w:rFonts w:cs="Arial"/>
                <w:shd w:val="clear" w:color="auto" w:fill="FFFFFF"/>
              </w:rPr>
              <w:t>, 817</w:t>
            </w:r>
            <w:r>
              <w:rPr>
                <w:rFonts w:cs="Arial"/>
                <w:shd w:val="clear" w:color="auto" w:fill="FFFFFF"/>
              </w:rPr>
              <w:t>.</w:t>
            </w:r>
            <w:r w:rsidRPr="002E61A4">
              <w:rPr>
                <w:rFonts w:cs="Arial"/>
                <w:shd w:val="clear" w:color="auto" w:fill="FFFFFF"/>
              </w:rPr>
              <w:t>1, 818</w:t>
            </w:r>
            <w:r>
              <w:rPr>
                <w:rFonts w:cs="Arial"/>
                <w:shd w:val="clear" w:color="auto" w:fill="FFFFFF"/>
              </w:rPr>
              <w:t>.</w:t>
            </w:r>
            <w:r w:rsidRPr="002E61A4">
              <w:rPr>
                <w:rFonts w:cs="Arial"/>
                <w:shd w:val="clear" w:color="auto" w:fill="FFFFFF"/>
              </w:rPr>
              <w:t>1, 819</w:t>
            </w:r>
            <w:r>
              <w:rPr>
                <w:rFonts w:cs="Arial"/>
                <w:shd w:val="clear" w:color="auto" w:fill="FFFFFF"/>
              </w:rPr>
              <w:t>.</w:t>
            </w:r>
            <w:r w:rsidRPr="002E61A4">
              <w:rPr>
                <w:rFonts w:cs="Arial"/>
                <w:shd w:val="clear" w:color="auto" w:fill="FFFFFF"/>
              </w:rPr>
              <w:t>1</w:t>
            </w:r>
          </w:p>
        </w:tc>
      </w:tr>
      <w:tr w:rsidR="001D342D" w:rsidRPr="00201791" w:rsidTr="00C12DDF">
        <w:tc>
          <w:tcPr>
            <w:tcW w:w="1711" w:type="pct"/>
            <w:tcBorders>
              <w:top w:val="single" w:sz="4" w:space="0" w:color="auto"/>
              <w:bottom w:val="single" w:sz="4" w:space="0" w:color="auto"/>
            </w:tcBorders>
          </w:tcPr>
          <w:p w:rsidR="001D342D" w:rsidRPr="0011722F" w:rsidRDefault="001D342D" w:rsidP="00C12DDF">
            <w:pPr>
              <w:rPr>
                <w:rFonts w:cs="Arial"/>
                <w:b/>
              </w:rPr>
            </w:pPr>
            <w:r w:rsidRPr="0011722F">
              <w:rPr>
                <w:rFonts w:cs="Arial"/>
                <w:b/>
              </w:rPr>
              <w:t>Frailty indicators</w:t>
            </w:r>
          </w:p>
        </w:tc>
        <w:tc>
          <w:tcPr>
            <w:tcW w:w="3289" w:type="pct"/>
            <w:gridSpan w:val="2"/>
            <w:tcBorders>
              <w:top w:val="single" w:sz="4" w:space="0" w:color="auto"/>
              <w:bottom w:val="single" w:sz="4" w:space="0" w:color="auto"/>
            </w:tcBorders>
          </w:tcPr>
          <w:p w:rsidR="001D342D" w:rsidRPr="0011722F" w:rsidRDefault="001D342D" w:rsidP="00C12DDF">
            <w:pPr>
              <w:rPr>
                <w:rFonts w:cs="Arial"/>
              </w:rPr>
            </w:pPr>
          </w:p>
        </w:tc>
      </w:tr>
      <w:tr w:rsidR="001D342D" w:rsidRPr="00201791" w:rsidTr="00C12DDF">
        <w:tc>
          <w:tcPr>
            <w:tcW w:w="1711" w:type="pct"/>
            <w:tcBorders>
              <w:top w:val="single" w:sz="4" w:space="0" w:color="auto"/>
              <w:bottom w:val="single" w:sz="4" w:space="0" w:color="auto"/>
            </w:tcBorders>
          </w:tcPr>
          <w:p w:rsidR="001D342D" w:rsidRPr="0011722F" w:rsidRDefault="001D342D" w:rsidP="00C12DDF">
            <w:pPr>
              <w:rPr>
                <w:rFonts w:cs="Arial"/>
              </w:rPr>
            </w:pPr>
            <w:r w:rsidRPr="0011722F">
              <w:rPr>
                <w:rFonts w:cs="Arial"/>
              </w:rPr>
              <w:t>Decubitus ulcer</w:t>
            </w:r>
          </w:p>
        </w:tc>
        <w:tc>
          <w:tcPr>
            <w:tcW w:w="3289" w:type="pct"/>
            <w:gridSpan w:val="2"/>
            <w:tcBorders>
              <w:top w:val="single" w:sz="4" w:space="0" w:color="auto"/>
              <w:bottom w:val="single" w:sz="4" w:space="0" w:color="auto"/>
            </w:tcBorders>
          </w:tcPr>
          <w:p w:rsidR="001D342D" w:rsidRPr="0011722F" w:rsidRDefault="001D342D" w:rsidP="00C12DDF">
            <w:pPr>
              <w:rPr>
                <w:rFonts w:cs="Arial"/>
              </w:rPr>
            </w:pPr>
            <w:r w:rsidRPr="00B57AB8">
              <w:rPr>
                <w:rFonts w:cs="Arial"/>
                <w:color w:val="000000" w:themeColor="text1"/>
                <w:shd w:val="clear" w:color="auto" w:fill="FFFFFF"/>
              </w:rPr>
              <w:t>707.00-707.09, 707.20-707.29</w:t>
            </w:r>
          </w:p>
        </w:tc>
      </w:tr>
      <w:tr w:rsidR="001D342D" w:rsidRPr="00201791" w:rsidTr="00C12DDF">
        <w:tc>
          <w:tcPr>
            <w:tcW w:w="1711" w:type="pct"/>
            <w:tcBorders>
              <w:top w:val="single" w:sz="4" w:space="0" w:color="auto"/>
              <w:bottom w:val="single" w:sz="4" w:space="0" w:color="auto"/>
            </w:tcBorders>
          </w:tcPr>
          <w:p w:rsidR="001D342D" w:rsidRPr="0011722F" w:rsidRDefault="001D342D" w:rsidP="00C12DDF">
            <w:pPr>
              <w:rPr>
                <w:rFonts w:cs="Arial"/>
              </w:rPr>
            </w:pPr>
            <w:r w:rsidRPr="0011722F">
              <w:rPr>
                <w:rFonts w:cs="Arial"/>
              </w:rPr>
              <w:t>Dementia</w:t>
            </w:r>
          </w:p>
        </w:tc>
        <w:tc>
          <w:tcPr>
            <w:tcW w:w="3289" w:type="pct"/>
            <w:gridSpan w:val="2"/>
            <w:tcBorders>
              <w:top w:val="single" w:sz="4" w:space="0" w:color="auto"/>
              <w:bottom w:val="single" w:sz="4" w:space="0" w:color="auto"/>
            </w:tcBorders>
          </w:tcPr>
          <w:p w:rsidR="001D342D" w:rsidRPr="0069644D" w:rsidRDefault="001D342D" w:rsidP="00C12DDF">
            <w:pPr>
              <w:autoSpaceDE w:val="0"/>
              <w:autoSpaceDN w:val="0"/>
              <w:adjustRightInd w:val="0"/>
              <w:rPr>
                <w:rFonts w:cs="Arial"/>
              </w:rPr>
            </w:pPr>
            <w:r w:rsidRPr="0069644D">
              <w:rPr>
                <w:rFonts w:cs="Arial"/>
                <w:shd w:val="clear" w:color="auto" w:fill="FFFFFF"/>
              </w:rPr>
              <w:t>290.0-290.9, 292.82, 294.10, 294.11, 331.0, 331.11, 331.19, 331.2 331.82</w:t>
            </w:r>
          </w:p>
        </w:tc>
      </w:tr>
      <w:tr w:rsidR="001D342D" w:rsidRPr="00201791" w:rsidTr="00C12DDF">
        <w:tc>
          <w:tcPr>
            <w:tcW w:w="1711" w:type="pct"/>
            <w:tcBorders>
              <w:top w:val="single" w:sz="4" w:space="0" w:color="auto"/>
              <w:bottom w:val="single" w:sz="4" w:space="0" w:color="auto"/>
            </w:tcBorders>
          </w:tcPr>
          <w:p w:rsidR="001D342D" w:rsidRPr="0011722F" w:rsidRDefault="001D342D" w:rsidP="00C12DDF">
            <w:pPr>
              <w:rPr>
                <w:rFonts w:cs="Arial"/>
              </w:rPr>
            </w:pPr>
            <w:r w:rsidRPr="0011722F">
              <w:rPr>
                <w:rFonts w:cs="Arial"/>
              </w:rPr>
              <w:t>Dehydration, past 30 days</w:t>
            </w:r>
          </w:p>
        </w:tc>
        <w:tc>
          <w:tcPr>
            <w:tcW w:w="3289" w:type="pct"/>
            <w:gridSpan w:val="2"/>
            <w:tcBorders>
              <w:top w:val="single" w:sz="4" w:space="0" w:color="auto"/>
              <w:bottom w:val="single" w:sz="4" w:space="0" w:color="auto"/>
            </w:tcBorders>
          </w:tcPr>
          <w:p w:rsidR="001D342D" w:rsidRPr="0011722F" w:rsidRDefault="001D342D" w:rsidP="00C12DDF">
            <w:pPr>
              <w:rPr>
                <w:rFonts w:cs="Arial"/>
              </w:rPr>
            </w:pPr>
            <w:r>
              <w:rPr>
                <w:rFonts w:cs="Arial"/>
              </w:rPr>
              <w:t>276.50-276.52</w:t>
            </w:r>
          </w:p>
        </w:tc>
      </w:tr>
      <w:tr w:rsidR="001D342D" w:rsidRPr="00201791" w:rsidTr="00C12DDF">
        <w:tc>
          <w:tcPr>
            <w:tcW w:w="1711" w:type="pct"/>
            <w:tcBorders>
              <w:top w:val="single" w:sz="4" w:space="0" w:color="auto"/>
              <w:bottom w:val="single" w:sz="4" w:space="0" w:color="auto"/>
            </w:tcBorders>
          </w:tcPr>
          <w:p w:rsidR="001D342D" w:rsidRPr="0011722F" w:rsidRDefault="001D342D" w:rsidP="00C12DDF">
            <w:pPr>
              <w:rPr>
                <w:rFonts w:cs="Arial"/>
              </w:rPr>
            </w:pPr>
            <w:r w:rsidRPr="0011722F">
              <w:rPr>
                <w:rFonts w:cs="Arial"/>
              </w:rPr>
              <w:t>Deep venous thrombosis</w:t>
            </w:r>
          </w:p>
        </w:tc>
        <w:tc>
          <w:tcPr>
            <w:tcW w:w="3289" w:type="pct"/>
            <w:gridSpan w:val="2"/>
            <w:tcBorders>
              <w:top w:val="single" w:sz="4" w:space="0" w:color="auto"/>
              <w:bottom w:val="single" w:sz="4" w:space="0" w:color="auto"/>
            </w:tcBorders>
          </w:tcPr>
          <w:p w:rsidR="001D342D" w:rsidRPr="002C5ACA" w:rsidRDefault="001D342D" w:rsidP="00C12DDF">
            <w:pPr>
              <w:autoSpaceDE w:val="0"/>
              <w:autoSpaceDN w:val="0"/>
              <w:adjustRightInd w:val="0"/>
              <w:rPr>
                <w:rFonts w:cs="Arial"/>
              </w:rPr>
            </w:pPr>
            <w:r w:rsidRPr="002C5ACA">
              <w:rPr>
                <w:rFonts w:cs="Arial"/>
                <w:shd w:val="clear" w:color="auto" w:fill="FFFFFF"/>
              </w:rPr>
              <w:t xml:space="preserve">451.11, 451.19, 451.2, 451.81, 451.83, 451.9, 453.40-453.42, 453.81-453.89, 453.9 </w:t>
            </w:r>
          </w:p>
        </w:tc>
      </w:tr>
      <w:tr w:rsidR="001D342D" w:rsidRPr="00201791" w:rsidTr="00C12DDF">
        <w:tc>
          <w:tcPr>
            <w:tcW w:w="1711" w:type="pct"/>
            <w:tcBorders>
              <w:top w:val="single" w:sz="4" w:space="0" w:color="auto"/>
              <w:bottom w:val="single" w:sz="4" w:space="0" w:color="auto"/>
            </w:tcBorders>
          </w:tcPr>
          <w:p w:rsidR="001D342D" w:rsidRPr="0011722F" w:rsidRDefault="001D342D" w:rsidP="00C12DDF">
            <w:pPr>
              <w:rPr>
                <w:rFonts w:cs="Arial"/>
              </w:rPr>
            </w:pPr>
            <w:r w:rsidRPr="0011722F">
              <w:rPr>
                <w:rFonts w:cs="Arial"/>
              </w:rPr>
              <w:t>Pulmonary embolism</w:t>
            </w:r>
          </w:p>
        </w:tc>
        <w:tc>
          <w:tcPr>
            <w:tcW w:w="3289" w:type="pct"/>
            <w:gridSpan w:val="2"/>
            <w:tcBorders>
              <w:top w:val="single" w:sz="4" w:space="0" w:color="auto"/>
              <w:bottom w:val="single" w:sz="4" w:space="0" w:color="auto"/>
            </w:tcBorders>
          </w:tcPr>
          <w:p w:rsidR="001D342D" w:rsidRPr="002C5ACA" w:rsidRDefault="001D342D" w:rsidP="00C12DDF">
            <w:pPr>
              <w:rPr>
                <w:rFonts w:cs="Arial"/>
              </w:rPr>
            </w:pPr>
            <w:r w:rsidRPr="002C5ACA">
              <w:rPr>
                <w:rFonts w:cs="Arial"/>
                <w:shd w:val="clear" w:color="auto" w:fill="FFFFFF"/>
              </w:rPr>
              <w:t>415.11, 415.13, 415.19</w:t>
            </w:r>
          </w:p>
        </w:tc>
      </w:tr>
      <w:tr w:rsidR="001D342D" w:rsidRPr="00201791" w:rsidTr="00C12DDF">
        <w:tc>
          <w:tcPr>
            <w:tcW w:w="1711" w:type="pct"/>
            <w:tcBorders>
              <w:top w:val="single" w:sz="4" w:space="0" w:color="auto"/>
              <w:bottom w:val="single" w:sz="4" w:space="0" w:color="auto"/>
            </w:tcBorders>
          </w:tcPr>
          <w:p w:rsidR="001D342D" w:rsidRPr="0011722F" w:rsidRDefault="001D342D" w:rsidP="00C12DDF">
            <w:pPr>
              <w:rPr>
                <w:rFonts w:cs="Arial"/>
              </w:rPr>
            </w:pPr>
            <w:r w:rsidRPr="0011722F">
              <w:rPr>
                <w:rFonts w:cs="Arial"/>
              </w:rPr>
              <w:t>Urinary incontinence</w:t>
            </w:r>
          </w:p>
        </w:tc>
        <w:tc>
          <w:tcPr>
            <w:tcW w:w="3289" w:type="pct"/>
            <w:gridSpan w:val="2"/>
            <w:tcBorders>
              <w:top w:val="single" w:sz="4" w:space="0" w:color="auto"/>
              <w:bottom w:val="single" w:sz="4" w:space="0" w:color="auto"/>
            </w:tcBorders>
          </w:tcPr>
          <w:p w:rsidR="001D342D" w:rsidRPr="002C5ACA" w:rsidRDefault="001D342D" w:rsidP="00C12DDF">
            <w:pPr>
              <w:rPr>
                <w:rFonts w:cs="Arial"/>
              </w:rPr>
            </w:pPr>
            <w:r w:rsidRPr="002C5ACA">
              <w:rPr>
                <w:rFonts w:cs="Arial"/>
                <w:shd w:val="clear" w:color="auto" w:fill="FFFFFF"/>
              </w:rPr>
              <w:t>625.6, 788.30-788.39</w:t>
            </w:r>
          </w:p>
        </w:tc>
      </w:tr>
      <w:tr w:rsidR="001D342D" w:rsidRPr="00201791" w:rsidTr="00C12DDF">
        <w:tc>
          <w:tcPr>
            <w:tcW w:w="1711" w:type="pct"/>
            <w:tcBorders>
              <w:top w:val="single" w:sz="4" w:space="0" w:color="auto"/>
              <w:bottom w:val="single" w:sz="4" w:space="0" w:color="auto"/>
            </w:tcBorders>
          </w:tcPr>
          <w:p w:rsidR="001D342D" w:rsidRPr="0011722F" w:rsidRDefault="001D342D" w:rsidP="00C12DDF">
            <w:pPr>
              <w:rPr>
                <w:rFonts w:cs="Arial"/>
              </w:rPr>
            </w:pPr>
            <w:r w:rsidRPr="0011722F">
              <w:rPr>
                <w:rFonts w:cs="Arial"/>
              </w:rPr>
              <w:t>Parkinson</w:t>
            </w:r>
            <w:r>
              <w:rPr>
                <w:rFonts w:cs="Arial"/>
              </w:rPr>
              <w:t>’</w:t>
            </w:r>
            <w:r w:rsidRPr="0011722F">
              <w:rPr>
                <w:rFonts w:cs="Arial"/>
              </w:rPr>
              <w:t>s disease</w:t>
            </w:r>
          </w:p>
        </w:tc>
        <w:tc>
          <w:tcPr>
            <w:tcW w:w="3289" w:type="pct"/>
            <w:gridSpan w:val="2"/>
            <w:tcBorders>
              <w:top w:val="single" w:sz="4" w:space="0" w:color="auto"/>
              <w:bottom w:val="single" w:sz="4" w:space="0" w:color="auto"/>
            </w:tcBorders>
          </w:tcPr>
          <w:p w:rsidR="001D342D" w:rsidRPr="00507ACB" w:rsidRDefault="001D342D" w:rsidP="00C12DDF">
            <w:pPr>
              <w:rPr>
                <w:rFonts w:eastAsia="Times New Roman" w:cs="Arial"/>
              </w:rPr>
            </w:pPr>
            <w:r w:rsidRPr="00507ACB">
              <w:rPr>
                <w:rFonts w:eastAsia="Times New Roman" w:cs="Arial"/>
              </w:rPr>
              <w:t>332.0, 332.1</w:t>
            </w:r>
          </w:p>
        </w:tc>
      </w:tr>
      <w:tr w:rsidR="001D342D" w:rsidRPr="00201791" w:rsidTr="00C12DDF">
        <w:tc>
          <w:tcPr>
            <w:tcW w:w="1711" w:type="pct"/>
            <w:tcBorders>
              <w:top w:val="single" w:sz="4" w:space="0" w:color="auto"/>
              <w:bottom w:val="single" w:sz="4" w:space="0" w:color="auto"/>
            </w:tcBorders>
          </w:tcPr>
          <w:p w:rsidR="001D342D" w:rsidRPr="0011722F" w:rsidRDefault="001D342D" w:rsidP="00C12DDF">
            <w:pPr>
              <w:rPr>
                <w:rFonts w:cs="Arial"/>
              </w:rPr>
            </w:pPr>
            <w:r w:rsidRPr="0011722F">
              <w:rPr>
                <w:rFonts w:cs="Arial"/>
              </w:rPr>
              <w:t>Senility/frailty</w:t>
            </w:r>
          </w:p>
        </w:tc>
        <w:tc>
          <w:tcPr>
            <w:tcW w:w="3289" w:type="pct"/>
            <w:gridSpan w:val="2"/>
            <w:tcBorders>
              <w:top w:val="single" w:sz="4" w:space="0" w:color="auto"/>
              <w:bottom w:val="single" w:sz="4" w:space="0" w:color="auto"/>
            </w:tcBorders>
          </w:tcPr>
          <w:p w:rsidR="001D342D" w:rsidRPr="0011722F" w:rsidRDefault="001D342D" w:rsidP="00C12DDF">
            <w:pPr>
              <w:autoSpaceDE w:val="0"/>
              <w:autoSpaceDN w:val="0"/>
              <w:adjustRightInd w:val="0"/>
              <w:rPr>
                <w:rFonts w:cs="Arial"/>
              </w:rPr>
            </w:pPr>
            <w:r w:rsidRPr="002C5ACA">
              <w:rPr>
                <w:rFonts w:cs="Arial"/>
                <w:shd w:val="clear" w:color="auto" w:fill="FFFFFF"/>
              </w:rPr>
              <w:t>797, 799.3</w:t>
            </w:r>
          </w:p>
        </w:tc>
      </w:tr>
      <w:tr w:rsidR="001D342D" w:rsidRPr="00201791" w:rsidTr="00C12DDF">
        <w:tc>
          <w:tcPr>
            <w:tcW w:w="1711" w:type="pct"/>
            <w:tcBorders>
              <w:top w:val="single" w:sz="4" w:space="0" w:color="auto"/>
              <w:bottom w:val="single" w:sz="4" w:space="0" w:color="auto"/>
            </w:tcBorders>
          </w:tcPr>
          <w:p w:rsidR="001D342D" w:rsidRPr="0011722F" w:rsidRDefault="001D342D" w:rsidP="00C12DDF">
            <w:pPr>
              <w:rPr>
                <w:rFonts w:cs="Arial"/>
              </w:rPr>
            </w:pPr>
            <w:r w:rsidRPr="0011722F">
              <w:rPr>
                <w:rFonts w:cs="Arial"/>
              </w:rPr>
              <w:t>Failure to thrive</w:t>
            </w:r>
          </w:p>
        </w:tc>
        <w:tc>
          <w:tcPr>
            <w:tcW w:w="3289" w:type="pct"/>
            <w:gridSpan w:val="2"/>
            <w:tcBorders>
              <w:top w:val="single" w:sz="4" w:space="0" w:color="auto"/>
              <w:bottom w:val="single" w:sz="4" w:space="0" w:color="auto"/>
            </w:tcBorders>
          </w:tcPr>
          <w:p w:rsidR="001D342D" w:rsidRPr="00B25BFA" w:rsidRDefault="001D342D" w:rsidP="00C12DDF">
            <w:pPr>
              <w:rPr>
                <w:rFonts w:cs="Arial"/>
              </w:rPr>
            </w:pPr>
            <w:r w:rsidRPr="00B25BFA">
              <w:rPr>
                <w:rFonts w:cs="Arial"/>
                <w:shd w:val="clear" w:color="auto" w:fill="FFFFFF"/>
              </w:rPr>
              <w:t>783.7, 799.4</w:t>
            </w:r>
          </w:p>
        </w:tc>
      </w:tr>
      <w:tr w:rsidR="001D342D" w:rsidRPr="00201791" w:rsidTr="00C12DDF">
        <w:tc>
          <w:tcPr>
            <w:tcW w:w="1711" w:type="pct"/>
            <w:tcBorders>
              <w:top w:val="single" w:sz="4" w:space="0" w:color="auto"/>
              <w:bottom w:val="single" w:sz="4" w:space="0" w:color="auto"/>
            </w:tcBorders>
          </w:tcPr>
          <w:p w:rsidR="001D342D" w:rsidRPr="0011722F" w:rsidRDefault="001D342D" w:rsidP="00C12DDF">
            <w:pPr>
              <w:rPr>
                <w:rFonts w:cs="Arial"/>
              </w:rPr>
            </w:pPr>
            <w:r w:rsidRPr="0011722F">
              <w:rPr>
                <w:rFonts w:cs="Arial"/>
              </w:rPr>
              <w:t>Sleep disturbance</w:t>
            </w:r>
          </w:p>
        </w:tc>
        <w:tc>
          <w:tcPr>
            <w:tcW w:w="3289" w:type="pct"/>
            <w:gridSpan w:val="2"/>
            <w:tcBorders>
              <w:top w:val="single" w:sz="4" w:space="0" w:color="auto"/>
              <w:bottom w:val="single" w:sz="4" w:space="0" w:color="auto"/>
            </w:tcBorders>
          </w:tcPr>
          <w:p w:rsidR="001D342D" w:rsidRPr="00B25BFA" w:rsidRDefault="001D342D" w:rsidP="00C12DDF">
            <w:pPr>
              <w:rPr>
                <w:rFonts w:cs="Arial"/>
              </w:rPr>
            </w:pPr>
            <w:r>
              <w:rPr>
                <w:rFonts w:cs="Arial"/>
              </w:rPr>
              <w:t>780.50-780.59</w:t>
            </w:r>
          </w:p>
        </w:tc>
      </w:tr>
      <w:tr w:rsidR="001D342D" w:rsidRPr="00201791" w:rsidTr="00C12DDF">
        <w:tc>
          <w:tcPr>
            <w:tcW w:w="1711" w:type="pct"/>
            <w:tcBorders>
              <w:top w:val="single" w:sz="4" w:space="0" w:color="auto"/>
              <w:bottom w:val="single" w:sz="4" w:space="0" w:color="auto"/>
            </w:tcBorders>
          </w:tcPr>
          <w:p w:rsidR="001D342D" w:rsidRPr="0011722F" w:rsidRDefault="001D342D" w:rsidP="00C12DDF">
            <w:pPr>
              <w:rPr>
                <w:rFonts w:cs="Arial"/>
              </w:rPr>
            </w:pPr>
            <w:r w:rsidRPr="0011722F">
              <w:rPr>
                <w:rFonts w:cs="Arial"/>
              </w:rPr>
              <w:t>Difficulty walking</w:t>
            </w:r>
          </w:p>
        </w:tc>
        <w:tc>
          <w:tcPr>
            <w:tcW w:w="3289" w:type="pct"/>
            <w:gridSpan w:val="2"/>
            <w:tcBorders>
              <w:top w:val="single" w:sz="4" w:space="0" w:color="auto"/>
              <w:bottom w:val="single" w:sz="4" w:space="0" w:color="auto"/>
            </w:tcBorders>
          </w:tcPr>
          <w:p w:rsidR="001D342D" w:rsidRPr="00B25BFA" w:rsidRDefault="001D342D" w:rsidP="00C12DDF">
            <w:pPr>
              <w:rPr>
                <w:rFonts w:cs="Arial"/>
              </w:rPr>
            </w:pPr>
            <w:r w:rsidRPr="00B25BFA">
              <w:rPr>
                <w:rFonts w:cs="Arial"/>
                <w:shd w:val="clear" w:color="auto" w:fill="FFFFFF"/>
              </w:rPr>
              <w:t>719.7, 781.2, 781.3</w:t>
            </w:r>
          </w:p>
        </w:tc>
      </w:tr>
    </w:tbl>
    <w:p w:rsidR="00C12DDF" w:rsidRDefault="00C12DDF">
      <w:pPr>
        <w:spacing w:after="200" w:line="276" w:lineRule="auto"/>
        <w:rPr>
          <w:rFonts w:cs="Arial"/>
          <w:b/>
        </w:rPr>
      </w:pPr>
    </w:p>
    <w:p w:rsidR="00C12DDF" w:rsidRPr="000F1990" w:rsidRDefault="00C12DDF" w:rsidP="00C12DDF">
      <w:pPr>
        <w:spacing w:after="200" w:line="276" w:lineRule="auto"/>
        <w:rPr>
          <w:rFonts w:cs="Arial"/>
          <w:b/>
          <w:color w:val="000000" w:themeColor="text1"/>
          <w:shd w:val="clear" w:color="auto" w:fill="FFFFFF"/>
        </w:rPr>
      </w:pPr>
      <w:r w:rsidRPr="000F1990">
        <w:rPr>
          <w:rFonts w:cs="Arial"/>
          <w:b/>
          <w:color w:val="000000" w:themeColor="text1"/>
          <w:shd w:val="clear" w:color="auto" w:fill="FFFFFF"/>
        </w:rPr>
        <w:lastRenderedPageBreak/>
        <w:t>Ap</w:t>
      </w:r>
      <w:r>
        <w:rPr>
          <w:rFonts w:cs="Arial"/>
          <w:b/>
          <w:color w:val="000000" w:themeColor="text1"/>
          <w:shd w:val="clear" w:color="auto" w:fill="FFFFFF"/>
        </w:rPr>
        <w:t xml:space="preserve">pendix Table 2. </w:t>
      </w:r>
      <w:r w:rsidRPr="007875C0">
        <w:rPr>
          <w:rFonts w:cs="Arial"/>
          <w:color w:val="000000" w:themeColor="text1"/>
          <w:shd w:val="clear" w:color="auto" w:fill="FFFFFF"/>
        </w:rPr>
        <w:t>Characteristics of Matched CDI Cases and Unmatched CDI Cases*</w:t>
      </w:r>
      <w:r w:rsidRPr="000F1990">
        <w:rPr>
          <w:rFonts w:cs="Arial"/>
          <w:b/>
          <w:color w:val="000000" w:themeColor="text1"/>
          <w:shd w:val="clear" w:color="auto" w:fill="FFFFFF"/>
        </w:rPr>
        <w:t xml:space="preserve"> </w:t>
      </w:r>
    </w:p>
    <w:tbl>
      <w:tblPr>
        <w:tblW w:w="8115" w:type="dxa"/>
        <w:tblInd w:w="93" w:type="dxa"/>
        <w:tblLook w:val="04A0" w:firstRow="1" w:lastRow="0" w:firstColumn="1" w:lastColumn="0" w:noHBand="0" w:noVBand="1"/>
      </w:tblPr>
      <w:tblGrid>
        <w:gridCol w:w="3075"/>
        <w:gridCol w:w="2520"/>
        <w:gridCol w:w="2520"/>
      </w:tblGrid>
      <w:tr w:rsidR="00C12DDF" w:rsidRPr="00BC6529" w:rsidTr="00C12DDF">
        <w:trPr>
          <w:trHeight w:val="300"/>
        </w:trPr>
        <w:tc>
          <w:tcPr>
            <w:tcW w:w="3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DDF" w:rsidRPr="00BC6529" w:rsidRDefault="00C12DDF" w:rsidP="00C12DDF">
            <w:pPr>
              <w:rPr>
                <w:rFonts w:eastAsia="Times New Roman" w:cs="Arial"/>
                <w:color w:val="000000"/>
              </w:rPr>
            </w:pPr>
            <w:r>
              <w:rPr>
                <w:rFonts w:eastAsia="Times New Roman" w:cs="Arial"/>
                <w:color w:val="000000"/>
              </w:rPr>
              <w:t>Risk Factor</w:t>
            </w:r>
          </w:p>
        </w:tc>
        <w:tc>
          <w:tcPr>
            <w:tcW w:w="2520" w:type="dxa"/>
            <w:tcBorders>
              <w:top w:val="single" w:sz="4" w:space="0" w:color="auto"/>
              <w:left w:val="nil"/>
              <w:bottom w:val="single" w:sz="4" w:space="0" w:color="auto"/>
              <w:right w:val="single" w:sz="4" w:space="0" w:color="auto"/>
            </w:tcBorders>
            <w:vAlign w:val="center"/>
          </w:tcPr>
          <w:p w:rsidR="00C12DDF" w:rsidRDefault="00C12DDF" w:rsidP="00C12DDF">
            <w:pPr>
              <w:jc w:val="center"/>
              <w:rPr>
                <w:rFonts w:eastAsia="Times New Roman" w:cs="Arial"/>
                <w:color w:val="000000"/>
              </w:rPr>
            </w:pPr>
            <w:r>
              <w:rPr>
                <w:rFonts w:eastAsia="Times New Roman" w:cs="Arial"/>
                <w:color w:val="000000"/>
              </w:rPr>
              <w:t xml:space="preserve">Matched </w:t>
            </w:r>
            <w:r w:rsidR="00DB0919">
              <w:rPr>
                <w:rFonts w:eastAsia="Times New Roman" w:cs="Arial"/>
                <w:color w:val="000000"/>
              </w:rPr>
              <w:t xml:space="preserve">CDI </w:t>
            </w:r>
            <w:r>
              <w:rPr>
                <w:rFonts w:eastAsia="Times New Roman" w:cs="Arial"/>
                <w:color w:val="000000"/>
              </w:rPr>
              <w:t xml:space="preserve">Cases </w:t>
            </w:r>
          </w:p>
          <w:p w:rsidR="00C12DDF" w:rsidRPr="00BC6529" w:rsidRDefault="00C12DDF" w:rsidP="00C12DDF">
            <w:pPr>
              <w:jc w:val="center"/>
              <w:rPr>
                <w:rFonts w:eastAsia="Times New Roman" w:cs="Arial"/>
                <w:color w:val="000000"/>
              </w:rPr>
            </w:pPr>
            <w:r>
              <w:rPr>
                <w:rFonts w:eastAsia="Times New Roman" w:cs="Arial"/>
                <w:color w:val="000000"/>
              </w:rPr>
              <w:t>(% with characteristic)</w:t>
            </w:r>
          </w:p>
        </w:tc>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12DDF" w:rsidRDefault="00C12DDF" w:rsidP="00C12DDF">
            <w:pPr>
              <w:jc w:val="center"/>
              <w:rPr>
                <w:rFonts w:eastAsia="Times New Roman" w:cs="Arial"/>
                <w:color w:val="000000"/>
              </w:rPr>
            </w:pPr>
            <w:r>
              <w:rPr>
                <w:rFonts w:eastAsia="Times New Roman" w:cs="Arial"/>
                <w:color w:val="000000"/>
              </w:rPr>
              <w:t xml:space="preserve">Unmatched </w:t>
            </w:r>
            <w:r w:rsidR="00DB0919">
              <w:rPr>
                <w:rFonts w:eastAsia="Times New Roman" w:cs="Arial"/>
                <w:color w:val="000000"/>
              </w:rPr>
              <w:t xml:space="preserve">CDI </w:t>
            </w:r>
            <w:r>
              <w:rPr>
                <w:rFonts w:eastAsia="Times New Roman" w:cs="Arial"/>
                <w:color w:val="000000"/>
              </w:rPr>
              <w:t>Case</w:t>
            </w:r>
            <w:r w:rsidR="00DB0919">
              <w:rPr>
                <w:rFonts w:eastAsia="Times New Roman" w:cs="Arial"/>
                <w:color w:val="000000"/>
              </w:rPr>
              <w:t>s</w:t>
            </w:r>
            <w:r>
              <w:rPr>
                <w:rFonts w:eastAsia="Times New Roman" w:cs="Arial"/>
                <w:color w:val="000000"/>
              </w:rPr>
              <w:t xml:space="preserve"> </w:t>
            </w:r>
          </w:p>
          <w:p w:rsidR="00C12DDF" w:rsidRPr="00BC6529" w:rsidRDefault="00C12DDF" w:rsidP="00C12DDF">
            <w:pPr>
              <w:jc w:val="center"/>
              <w:rPr>
                <w:rFonts w:eastAsia="Times New Roman" w:cs="Arial"/>
                <w:color w:val="000000"/>
              </w:rPr>
            </w:pPr>
            <w:r>
              <w:rPr>
                <w:rFonts w:eastAsia="Times New Roman" w:cs="Arial"/>
                <w:color w:val="000000"/>
              </w:rPr>
              <w:t>(% with characteristic)</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tcPr>
          <w:p w:rsidR="00C12DDF" w:rsidRPr="00BC6529" w:rsidRDefault="00C12DDF" w:rsidP="00C12DDF">
            <w:pPr>
              <w:rPr>
                <w:rFonts w:eastAsia="Times New Roman" w:cs="Arial"/>
                <w:color w:val="000000"/>
              </w:rPr>
            </w:pPr>
            <w:r w:rsidRPr="00BC6529">
              <w:rPr>
                <w:rFonts w:eastAsia="Times New Roman" w:cs="Arial"/>
                <w:color w:val="000000"/>
              </w:rPr>
              <w:t>Age, mean (SD)</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80.3 (8.1)</w:t>
            </w:r>
          </w:p>
        </w:tc>
        <w:tc>
          <w:tcPr>
            <w:tcW w:w="2520" w:type="dxa"/>
            <w:tcBorders>
              <w:top w:val="nil"/>
              <w:left w:val="single" w:sz="4" w:space="0" w:color="auto"/>
              <w:bottom w:val="single" w:sz="4" w:space="0" w:color="auto"/>
              <w:right w:val="single" w:sz="4" w:space="0" w:color="auto"/>
            </w:tcBorders>
            <w:shd w:val="clear" w:color="auto" w:fill="auto"/>
            <w:noWrap/>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81.2 (7.7)</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Race (white)</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88.7</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85.8</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Sex (female)</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65.1</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61.6</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D</w:t>
            </w:r>
            <w:r w:rsidRPr="00BC6529">
              <w:rPr>
                <w:rFonts w:eastAsia="Times New Roman" w:cs="Arial"/>
                <w:color w:val="000000"/>
              </w:rPr>
              <w:t>ual</w:t>
            </w:r>
            <w:r>
              <w:rPr>
                <w:rFonts w:eastAsia="Times New Roman" w:cs="Arial"/>
                <w:color w:val="000000"/>
              </w:rPr>
              <w:t xml:space="preserve"> </w:t>
            </w:r>
            <w:r w:rsidRPr="00BC6529">
              <w:rPr>
                <w:rFonts w:eastAsia="Times New Roman" w:cs="Arial"/>
                <w:color w:val="000000"/>
              </w:rPr>
              <w:t>eligible</w:t>
            </w:r>
            <w:r>
              <w:rPr>
                <w:rFonts w:eastAsia="Times New Roman" w:cs="Arial"/>
                <w:color w:val="000000"/>
              </w:rPr>
              <w:t xml:space="preserve"> (Medicare/Medicaid) status</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29.</w:t>
            </w:r>
            <w:r>
              <w:rPr>
                <w:rFonts w:eastAsia="Times New Roman" w:cs="Arial"/>
                <w:color w:val="000000"/>
              </w:rPr>
              <w:t>4</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40.1</w:t>
            </w:r>
          </w:p>
        </w:tc>
      </w:tr>
      <w:tr w:rsidR="00C12DDF" w:rsidRPr="00BC6529" w:rsidTr="00C12DDF">
        <w:trPr>
          <w:trHeight w:val="300"/>
        </w:trPr>
        <w:tc>
          <w:tcPr>
            <w:tcW w:w="8115" w:type="dxa"/>
            <w:gridSpan w:val="3"/>
            <w:tcBorders>
              <w:top w:val="nil"/>
              <w:left w:val="single" w:sz="4" w:space="0" w:color="auto"/>
              <w:bottom w:val="single" w:sz="4" w:space="0" w:color="auto"/>
              <w:right w:val="single" w:sz="4" w:space="0" w:color="auto"/>
            </w:tcBorders>
            <w:shd w:val="clear" w:color="auto" w:fill="auto"/>
            <w:noWrap/>
            <w:vAlign w:val="bottom"/>
          </w:tcPr>
          <w:p w:rsidR="00C12DDF" w:rsidRPr="00BC6529" w:rsidRDefault="00C12DDF" w:rsidP="00C12DDF">
            <w:pPr>
              <w:rPr>
                <w:rFonts w:eastAsia="Times New Roman" w:cs="Arial"/>
                <w:color w:val="000000"/>
              </w:rPr>
            </w:pPr>
            <w:r w:rsidRPr="000C48C4">
              <w:rPr>
                <w:rFonts w:eastAsia="Times New Roman" w:cs="Arial"/>
                <w:b/>
                <w:color w:val="000000"/>
              </w:rPr>
              <w:t>Comorbidities</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Congestive heart failure</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29.</w:t>
            </w:r>
            <w:r>
              <w:rPr>
                <w:rFonts w:eastAsia="Times New Roman" w:cs="Arial"/>
                <w:color w:val="000000"/>
              </w:rPr>
              <w:t>2</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49.4</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tcPr>
          <w:p w:rsidR="00C12DDF" w:rsidRPr="00BC6529" w:rsidRDefault="00C12DDF" w:rsidP="00C12DDF">
            <w:pPr>
              <w:rPr>
                <w:rFonts w:eastAsia="Times New Roman" w:cs="Arial"/>
                <w:color w:val="000000"/>
              </w:rPr>
            </w:pPr>
            <w:r>
              <w:rPr>
                <w:rFonts w:eastAsia="Times New Roman" w:cs="Arial"/>
                <w:color w:val="000000"/>
              </w:rPr>
              <w:t>Cardiac disease</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35.</w:t>
            </w:r>
            <w:r>
              <w:rPr>
                <w:rFonts w:eastAsia="Times New Roman" w:cs="Arial"/>
                <w:color w:val="000000"/>
              </w:rPr>
              <w:t>1</w:t>
            </w:r>
          </w:p>
        </w:tc>
        <w:tc>
          <w:tcPr>
            <w:tcW w:w="2520" w:type="dxa"/>
            <w:tcBorders>
              <w:top w:val="nil"/>
              <w:left w:val="single" w:sz="4" w:space="0" w:color="auto"/>
              <w:bottom w:val="single" w:sz="4" w:space="0" w:color="auto"/>
              <w:right w:val="single" w:sz="4" w:space="0" w:color="auto"/>
            </w:tcBorders>
            <w:shd w:val="clear" w:color="auto" w:fill="auto"/>
            <w:noWrap/>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52.7</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proofErr w:type="spellStart"/>
            <w:r>
              <w:rPr>
                <w:rFonts w:eastAsia="Times New Roman" w:cs="Arial"/>
                <w:color w:val="000000"/>
              </w:rPr>
              <w:t>Valvular</w:t>
            </w:r>
            <w:proofErr w:type="spellEnd"/>
            <w:r>
              <w:rPr>
                <w:rFonts w:eastAsia="Times New Roman" w:cs="Arial"/>
                <w:color w:val="000000"/>
              </w:rPr>
              <w:t xml:space="preserve"> disease</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15.1</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24.6</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Pulmonary circulation disorder</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6.</w:t>
            </w:r>
            <w:r>
              <w:rPr>
                <w:rFonts w:eastAsia="Times New Roman" w:cs="Arial"/>
                <w:color w:val="000000"/>
              </w:rPr>
              <w:t>2</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12.</w:t>
            </w:r>
            <w:r>
              <w:rPr>
                <w:rFonts w:eastAsia="Times New Roman" w:cs="Arial"/>
                <w:color w:val="000000"/>
              </w:rPr>
              <w:t>4</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Peripheral vascular disease</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24.8</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40.</w:t>
            </w:r>
            <w:r>
              <w:rPr>
                <w:rFonts w:eastAsia="Times New Roman" w:cs="Arial"/>
                <w:color w:val="000000"/>
              </w:rPr>
              <w:t>2</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tcPr>
          <w:p w:rsidR="00C12DDF" w:rsidRPr="00BC6529" w:rsidRDefault="00C12DDF" w:rsidP="00C12DDF">
            <w:pPr>
              <w:rPr>
                <w:rFonts w:eastAsia="Times New Roman" w:cs="Arial"/>
                <w:color w:val="000000"/>
              </w:rPr>
            </w:pPr>
            <w:r>
              <w:rPr>
                <w:rFonts w:eastAsia="Times New Roman" w:cs="Arial"/>
                <w:color w:val="000000"/>
              </w:rPr>
              <w:t>Diabetes</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33.</w:t>
            </w:r>
            <w:r>
              <w:rPr>
                <w:rFonts w:eastAsia="Times New Roman" w:cs="Arial"/>
                <w:color w:val="000000"/>
              </w:rPr>
              <w:t>3</w:t>
            </w:r>
          </w:p>
        </w:tc>
        <w:tc>
          <w:tcPr>
            <w:tcW w:w="2520" w:type="dxa"/>
            <w:tcBorders>
              <w:top w:val="nil"/>
              <w:left w:val="single" w:sz="4" w:space="0" w:color="auto"/>
              <w:bottom w:val="single" w:sz="4" w:space="0" w:color="auto"/>
              <w:right w:val="single" w:sz="4" w:space="0" w:color="auto"/>
            </w:tcBorders>
            <w:shd w:val="clear" w:color="auto" w:fill="auto"/>
            <w:noWrap/>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45.</w:t>
            </w:r>
            <w:r>
              <w:rPr>
                <w:rFonts w:eastAsia="Times New Roman" w:cs="Arial"/>
                <w:color w:val="000000"/>
              </w:rPr>
              <w:t>1</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tcPr>
          <w:p w:rsidR="00C12DDF" w:rsidRPr="00BC6529" w:rsidRDefault="00C12DDF" w:rsidP="00C12DDF">
            <w:pPr>
              <w:rPr>
                <w:rFonts w:eastAsia="Times New Roman" w:cs="Arial"/>
                <w:color w:val="000000"/>
              </w:rPr>
            </w:pPr>
            <w:r>
              <w:rPr>
                <w:rFonts w:eastAsia="Times New Roman" w:cs="Arial"/>
                <w:color w:val="000000"/>
              </w:rPr>
              <w:t>Hypertension</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80.8</w:t>
            </w:r>
          </w:p>
        </w:tc>
        <w:tc>
          <w:tcPr>
            <w:tcW w:w="2520" w:type="dxa"/>
            <w:tcBorders>
              <w:top w:val="nil"/>
              <w:left w:val="single" w:sz="4" w:space="0" w:color="auto"/>
              <w:bottom w:val="single" w:sz="4" w:space="0" w:color="auto"/>
              <w:right w:val="single" w:sz="4" w:space="0" w:color="auto"/>
            </w:tcBorders>
            <w:shd w:val="clear" w:color="auto" w:fill="auto"/>
            <w:noWrap/>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92.0</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tcPr>
          <w:p w:rsidR="00C12DDF" w:rsidRPr="00BC6529" w:rsidRDefault="00C12DDF" w:rsidP="00C12DDF">
            <w:pPr>
              <w:rPr>
                <w:rFonts w:eastAsia="Times New Roman" w:cs="Arial"/>
                <w:color w:val="000000"/>
              </w:rPr>
            </w:pPr>
            <w:r>
              <w:rPr>
                <w:rFonts w:eastAsia="Times New Roman" w:cs="Arial"/>
                <w:color w:val="000000"/>
              </w:rPr>
              <w:t>Chronic renal failure</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24.9</w:t>
            </w:r>
          </w:p>
        </w:tc>
        <w:tc>
          <w:tcPr>
            <w:tcW w:w="2520" w:type="dxa"/>
            <w:tcBorders>
              <w:top w:val="nil"/>
              <w:left w:val="single" w:sz="4" w:space="0" w:color="auto"/>
              <w:bottom w:val="single" w:sz="4" w:space="0" w:color="auto"/>
              <w:right w:val="single" w:sz="4" w:space="0" w:color="auto"/>
            </w:tcBorders>
            <w:shd w:val="clear" w:color="auto" w:fill="auto"/>
            <w:noWrap/>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46.1</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tcPr>
          <w:p w:rsidR="00C12DDF" w:rsidRPr="00BC6529" w:rsidRDefault="00C12DDF" w:rsidP="00C12DDF">
            <w:pPr>
              <w:rPr>
                <w:rFonts w:eastAsia="Times New Roman" w:cs="Arial"/>
                <w:color w:val="000000"/>
              </w:rPr>
            </w:pPr>
            <w:r>
              <w:rPr>
                <w:rFonts w:eastAsia="Times New Roman" w:cs="Arial"/>
                <w:color w:val="000000"/>
              </w:rPr>
              <w:t>Liver disease</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2.</w:t>
            </w:r>
            <w:r>
              <w:rPr>
                <w:rFonts w:eastAsia="Times New Roman" w:cs="Arial"/>
                <w:color w:val="000000"/>
              </w:rPr>
              <w:t>1</w:t>
            </w:r>
          </w:p>
        </w:tc>
        <w:tc>
          <w:tcPr>
            <w:tcW w:w="2520" w:type="dxa"/>
            <w:tcBorders>
              <w:top w:val="nil"/>
              <w:left w:val="single" w:sz="4" w:space="0" w:color="auto"/>
              <w:bottom w:val="single" w:sz="4" w:space="0" w:color="auto"/>
              <w:right w:val="single" w:sz="4" w:space="0" w:color="auto"/>
            </w:tcBorders>
            <w:shd w:val="clear" w:color="auto" w:fill="auto"/>
            <w:noWrap/>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3.5</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tcPr>
          <w:p w:rsidR="00C12DDF" w:rsidRPr="00BC6529" w:rsidRDefault="00C12DDF" w:rsidP="00C12DDF">
            <w:pPr>
              <w:rPr>
                <w:rFonts w:eastAsia="Times New Roman" w:cs="Arial"/>
                <w:color w:val="000000"/>
              </w:rPr>
            </w:pPr>
            <w:r>
              <w:rPr>
                <w:rFonts w:eastAsia="Times New Roman" w:cs="Arial"/>
                <w:color w:val="000000"/>
              </w:rPr>
              <w:t>Rheumatologic disease</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6.1</w:t>
            </w:r>
          </w:p>
        </w:tc>
        <w:tc>
          <w:tcPr>
            <w:tcW w:w="2520" w:type="dxa"/>
            <w:tcBorders>
              <w:top w:val="nil"/>
              <w:left w:val="single" w:sz="4" w:space="0" w:color="auto"/>
              <w:bottom w:val="single" w:sz="4" w:space="0" w:color="auto"/>
              <w:right w:val="single" w:sz="4" w:space="0" w:color="auto"/>
            </w:tcBorders>
            <w:shd w:val="clear" w:color="auto" w:fill="auto"/>
            <w:noWrap/>
            <w:vAlign w:val="bottom"/>
          </w:tcPr>
          <w:p w:rsidR="00C12DDF" w:rsidRPr="00BC6529" w:rsidRDefault="00C12DDF" w:rsidP="00C12DDF">
            <w:pPr>
              <w:jc w:val="right"/>
              <w:rPr>
                <w:rFonts w:eastAsia="Times New Roman" w:cs="Arial"/>
                <w:color w:val="000000"/>
              </w:rPr>
            </w:pPr>
            <w:r>
              <w:rPr>
                <w:rFonts w:eastAsia="Times New Roman" w:cs="Arial"/>
                <w:color w:val="000000"/>
              </w:rPr>
              <w:t>9.0</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tcPr>
          <w:p w:rsidR="00C12DDF" w:rsidRPr="00BC6529" w:rsidRDefault="00C12DDF" w:rsidP="00C12DDF">
            <w:pPr>
              <w:rPr>
                <w:rFonts w:eastAsia="Times New Roman" w:cs="Arial"/>
                <w:color w:val="000000"/>
              </w:rPr>
            </w:pPr>
            <w:r>
              <w:rPr>
                <w:rFonts w:eastAsia="Times New Roman" w:cs="Arial"/>
                <w:color w:val="000000"/>
              </w:rPr>
              <w:t>Chronic pulmonary disease</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28.4</w:t>
            </w:r>
          </w:p>
        </w:tc>
        <w:tc>
          <w:tcPr>
            <w:tcW w:w="2520" w:type="dxa"/>
            <w:tcBorders>
              <w:top w:val="nil"/>
              <w:left w:val="single" w:sz="4" w:space="0" w:color="auto"/>
              <w:bottom w:val="single" w:sz="4" w:space="0" w:color="auto"/>
              <w:right w:val="single" w:sz="4" w:space="0" w:color="auto"/>
            </w:tcBorders>
            <w:shd w:val="clear" w:color="auto" w:fill="auto"/>
            <w:noWrap/>
            <w:vAlign w:val="bottom"/>
          </w:tcPr>
          <w:p w:rsidR="00C12DDF" w:rsidRPr="00BC6529" w:rsidRDefault="00C12DDF" w:rsidP="00C12DDF">
            <w:pPr>
              <w:jc w:val="right"/>
              <w:rPr>
                <w:rFonts w:eastAsia="Times New Roman" w:cs="Arial"/>
                <w:color w:val="000000"/>
              </w:rPr>
            </w:pPr>
            <w:r>
              <w:rPr>
                <w:rFonts w:eastAsia="Times New Roman" w:cs="Arial"/>
                <w:color w:val="000000"/>
              </w:rPr>
              <w:t>42.0</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tcPr>
          <w:p w:rsidR="00C12DDF" w:rsidRPr="00BC6529" w:rsidRDefault="00C12DDF" w:rsidP="00C12DDF">
            <w:pPr>
              <w:rPr>
                <w:rFonts w:eastAsia="Times New Roman" w:cs="Arial"/>
                <w:color w:val="000000"/>
              </w:rPr>
            </w:pPr>
            <w:r>
              <w:rPr>
                <w:rFonts w:eastAsia="Times New Roman" w:cs="Arial"/>
                <w:color w:val="000000"/>
              </w:rPr>
              <w:t>Hypothyroidism</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22.7</w:t>
            </w:r>
          </w:p>
        </w:tc>
        <w:tc>
          <w:tcPr>
            <w:tcW w:w="2520" w:type="dxa"/>
            <w:tcBorders>
              <w:top w:val="nil"/>
              <w:left w:val="single" w:sz="4" w:space="0" w:color="auto"/>
              <w:bottom w:val="single" w:sz="4" w:space="0" w:color="auto"/>
              <w:right w:val="single" w:sz="4" w:space="0" w:color="auto"/>
            </w:tcBorders>
            <w:shd w:val="clear" w:color="auto" w:fill="auto"/>
            <w:noWrap/>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27.</w:t>
            </w:r>
            <w:r>
              <w:rPr>
                <w:rFonts w:eastAsia="Times New Roman" w:cs="Arial"/>
                <w:color w:val="000000"/>
              </w:rPr>
              <w:t>9</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Paralysis</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5.5</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Pr>
                <w:rFonts w:eastAsia="Times New Roman" w:cs="Arial"/>
                <w:color w:val="000000"/>
              </w:rPr>
              <w:t>11.3</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Other neurologic disease</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13.5</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25.</w:t>
            </w:r>
            <w:r>
              <w:rPr>
                <w:rFonts w:eastAsia="Times New Roman" w:cs="Arial"/>
                <w:color w:val="000000"/>
              </w:rPr>
              <w:t>5</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tcPr>
          <w:p w:rsidR="00C12DDF" w:rsidRPr="00BC6529" w:rsidRDefault="00C12DDF" w:rsidP="00C12DDF">
            <w:pPr>
              <w:rPr>
                <w:rFonts w:eastAsia="Times New Roman" w:cs="Arial"/>
                <w:color w:val="000000"/>
              </w:rPr>
            </w:pPr>
            <w:r>
              <w:rPr>
                <w:rFonts w:eastAsia="Times New Roman" w:cs="Arial"/>
                <w:color w:val="000000"/>
              </w:rPr>
              <w:t>Peptic ulcer disease</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0.1</w:t>
            </w:r>
          </w:p>
        </w:tc>
        <w:tc>
          <w:tcPr>
            <w:tcW w:w="2520" w:type="dxa"/>
            <w:tcBorders>
              <w:top w:val="nil"/>
              <w:left w:val="single" w:sz="4" w:space="0" w:color="auto"/>
              <w:bottom w:val="single" w:sz="4" w:space="0" w:color="auto"/>
              <w:right w:val="single" w:sz="4" w:space="0" w:color="auto"/>
            </w:tcBorders>
            <w:shd w:val="clear" w:color="auto" w:fill="auto"/>
            <w:noWrap/>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0.</w:t>
            </w:r>
            <w:r>
              <w:rPr>
                <w:rFonts w:eastAsia="Times New Roman" w:cs="Arial"/>
                <w:color w:val="000000"/>
              </w:rPr>
              <w:t>3</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tcPr>
          <w:p w:rsidR="00C12DDF" w:rsidRPr="00BC6529" w:rsidRDefault="00C12DDF" w:rsidP="00C12DDF">
            <w:pPr>
              <w:rPr>
                <w:rFonts w:eastAsia="Times New Roman" w:cs="Arial"/>
                <w:color w:val="000000"/>
              </w:rPr>
            </w:pPr>
            <w:r>
              <w:rPr>
                <w:rFonts w:eastAsia="Times New Roman" w:cs="Arial"/>
                <w:color w:val="000000"/>
              </w:rPr>
              <w:t>Solid organ tumor</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13.6</w:t>
            </w:r>
          </w:p>
        </w:tc>
        <w:tc>
          <w:tcPr>
            <w:tcW w:w="2520" w:type="dxa"/>
            <w:tcBorders>
              <w:top w:val="nil"/>
              <w:left w:val="single" w:sz="4" w:space="0" w:color="auto"/>
              <w:bottom w:val="single" w:sz="4" w:space="0" w:color="auto"/>
              <w:right w:val="single" w:sz="4" w:space="0" w:color="auto"/>
            </w:tcBorders>
            <w:shd w:val="clear" w:color="auto" w:fill="auto"/>
            <w:noWrap/>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17.</w:t>
            </w:r>
            <w:r>
              <w:rPr>
                <w:rFonts w:eastAsia="Times New Roman" w:cs="Arial"/>
                <w:color w:val="000000"/>
              </w:rPr>
              <w:t>1</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Lymphoma</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2.2</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3.</w:t>
            </w:r>
            <w:r>
              <w:rPr>
                <w:rFonts w:eastAsia="Times New Roman" w:cs="Arial"/>
                <w:color w:val="000000"/>
              </w:rPr>
              <w:t>6</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Metastatic cancer</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3.7</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5.2</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Coagulopathy</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8.5</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18.</w:t>
            </w:r>
            <w:r>
              <w:rPr>
                <w:rFonts w:eastAsia="Times New Roman" w:cs="Arial"/>
                <w:color w:val="000000"/>
              </w:rPr>
              <w:t>2</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Obesity</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7.</w:t>
            </w:r>
            <w:r>
              <w:rPr>
                <w:rFonts w:eastAsia="Times New Roman" w:cs="Arial"/>
                <w:color w:val="000000"/>
              </w:rPr>
              <w:t>2</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13.</w:t>
            </w:r>
            <w:r>
              <w:rPr>
                <w:rFonts w:eastAsia="Times New Roman" w:cs="Arial"/>
                <w:color w:val="000000"/>
              </w:rPr>
              <w:t>2</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Blood loss anemia</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3.</w:t>
            </w:r>
            <w:r>
              <w:rPr>
                <w:rFonts w:eastAsia="Times New Roman" w:cs="Arial"/>
                <w:color w:val="000000"/>
              </w:rPr>
              <w:t>2</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6.3</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Deficiency anemia</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41.3</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71.4</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Psychoses</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7.</w:t>
            </w:r>
            <w:r>
              <w:rPr>
                <w:rFonts w:eastAsia="Times New Roman" w:cs="Arial"/>
                <w:color w:val="000000"/>
              </w:rPr>
              <w:t>6</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12.</w:t>
            </w:r>
            <w:r>
              <w:rPr>
                <w:rFonts w:eastAsia="Times New Roman" w:cs="Arial"/>
                <w:color w:val="000000"/>
              </w:rPr>
              <w:t>8</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Depression</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16.</w:t>
            </w:r>
            <w:r>
              <w:rPr>
                <w:rFonts w:eastAsia="Times New Roman" w:cs="Arial"/>
                <w:color w:val="000000"/>
              </w:rPr>
              <w:t>6</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28.</w:t>
            </w:r>
            <w:r>
              <w:rPr>
                <w:rFonts w:eastAsia="Times New Roman" w:cs="Arial"/>
                <w:color w:val="000000"/>
              </w:rPr>
              <w:t>8</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Electrolyte disorders (&gt; 30 days before)</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25.</w:t>
            </w:r>
            <w:r>
              <w:rPr>
                <w:rFonts w:eastAsia="Times New Roman" w:cs="Arial"/>
                <w:color w:val="000000"/>
              </w:rPr>
              <w:t>4</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48.6</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Weight loss (&gt; 30 days before)</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Pr>
                <w:rFonts w:eastAsia="Times New Roman" w:cs="Arial"/>
                <w:color w:val="000000"/>
              </w:rPr>
              <w:t>10.0</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24.</w:t>
            </w:r>
            <w:r>
              <w:rPr>
                <w:rFonts w:eastAsia="Times New Roman" w:cs="Arial"/>
                <w:color w:val="000000"/>
              </w:rPr>
              <w:t>2</w:t>
            </w:r>
          </w:p>
        </w:tc>
      </w:tr>
      <w:tr w:rsidR="00C12DDF" w:rsidRPr="00BC6529" w:rsidTr="00C12DDF">
        <w:trPr>
          <w:trHeight w:val="300"/>
        </w:trPr>
        <w:tc>
          <w:tcPr>
            <w:tcW w:w="8115" w:type="dxa"/>
            <w:gridSpan w:val="3"/>
            <w:tcBorders>
              <w:top w:val="nil"/>
              <w:left w:val="single" w:sz="4" w:space="0" w:color="auto"/>
              <w:bottom w:val="single" w:sz="4" w:space="0" w:color="auto"/>
              <w:right w:val="single" w:sz="4" w:space="0" w:color="auto"/>
            </w:tcBorders>
            <w:shd w:val="clear" w:color="auto" w:fill="auto"/>
            <w:noWrap/>
            <w:vAlign w:val="bottom"/>
          </w:tcPr>
          <w:p w:rsidR="00C12DDF" w:rsidRPr="00BC6529" w:rsidRDefault="00C12DDF" w:rsidP="00C12DDF">
            <w:pPr>
              <w:rPr>
                <w:rFonts w:eastAsia="Times New Roman" w:cs="Arial"/>
                <w:color w:val="000000"/>
              </w:rPr>
            </w:pPr>
            <w:r w:rsidRPr="000C48C4">
              <w:rPr>
                <w:rFonts w:eastAsia="Times New Roman" w:cs="Arial"/>
                <w:b/>
                <w:color w:val="000000"/>
              </w:rPr>
              <w:t>Acute Infections</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Septicemia</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10.5</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49.8</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P</w:t>
            </w:r>
            <w:r w:rsidRPr="00BC6529">
              <w:rPr>
                <w:rFonts w:eastAsia="Times New Roman" w:cs="Arial"/>
                <w:color w:val="000000"/>
              </w:rPr>
              <w:t>neumonia</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18.2</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47.2</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Urinary tract infection/</w:t>
            </w:r>
            <w:proofErr w:type="spellStart"/>
            <w:r>
              <w:rPr>
                <w:rFonts w:eastAsia="Times New Roman" w:cs="Arial"/>
                <w:color w:val="000000"/>
              </w:rPr>
              <w:t>prostatistis</w:t>
            </w:r>
            <w:proofErr w:type="spellEnd"/>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26.2</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45.0</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Skin/soft tissue infection</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10.8</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Pr>
                <w:rFonts w:eastAsia="Times New Roman" w:cs="Arial"/>
                <w:color w:val="000000"/>
              </w:rPr>
              <w:t>20.0</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Surgical site infection</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2.</w:t>
            </w:r>
            <w:r>
              <w:rPr>
                <w:rFonts w:eastAsia="Times New Roman" w:cs="Arial"/>
                <w:color w:val="000000"/>
              </w:rPr>
              <w:t>1</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6.5</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Bone infection/osteomyelitis</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Pr>
                <w:rFonts w:eastAsia="Times New Roman" w:cs="Arial"/>
                <w:color w:val="000000"/>
              </w:rPr>
              <w:t>1.9</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5.</w:t>
            </w:r>
            <w:r>
              <w:rPr>
                <w:rFonts w:eastAsia="Times New Roman" w:cs="Arial"/>
                <w:color w:val="000000"/>
              </w:rPr>
              <w:t>7</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Organ infection</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0.5</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1.1</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lastRenderedPageBreak/>
              <w:t>Pelvic/gynecologic infection</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0.6</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0.8</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proofErr w:type="spellStart"/>
            <w:r w:rsidRPr="004B1A0F">
              <w:rPr>
                <w:rFonts w:cs="Arial"/>
              </w:rPr>
              <w:t>Intraabdominal</w:t>
            </w:r>
            <w:proofErr w:type="spellEnd"/>
            <w:r w:rsidRPr="004B1A0F">
              <w:rPr>
                <w:rFonts w:cs="Arial"/>
              </w:rPr>
              <w:t xml:space="preserve"> abscess/peritonitis</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9.</w:t>
            </w:r>
            <w:r>
              <w:rPr>
                <w:rFonts w:eastAsia="Times New Roman" w:cs="Arial"/>
                <w:color w:val="000000"/>
              </w:rPr>
              <w:t>9</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16.1</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tcPr>
          <w:p w:rsidR="00C12DDF" w:rsidRPr="00BC6529" w:rsidRDefault="00C12DDF" w:rsidP="00C12DDF">
            <w:pPr>
              <w:rPr>
                <w:rFonts w:eastAsia="Times New Roman" w:cs="Arial"/>
                <w:color w:val="000000"/>
              </w:rPr>
            </w:pPr>
            <w:r>
              <w:rPr>
                <w:rFonts w:eastAsia="Times New Roman" w:cs="Arial"/>
                <w:color w:val="000000"/>
              </w:rPr>
              <w:t>D</w:t>
            </w:r>
            <w:r w:rsidRPr="00BC6529">
              <w:rPr>
                <w:rFonts w:eastAsia="Times New Roman" w:cs="Arial"/>
                <w:color w:val="000000"/>
              </w:rPr>
              <w:t>iverticulitis</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6.8</w:t>
            </w:r>
          </w:p>
        </w:tc>
        <w:tc>
          <w:tcPr>
            <w:tcW w:w="2520" w:type="dxa"/>
            <w:tcBorders>
              <w:top w:val="nil"/>
              <w:left w:val="single" w:sz="4" w:space="0" w:color="auto"/>
              <w:bottom w:val="single" w:sz="4" w:space="0" w:color="auto"/>
              <w:right w:val="single" w:sz="4" w:space="0" w:color="auto"/>
            </w:tcBorders>
            <w:shd w:val="clear" w:color="auto" w:fill="auto"/>
            <w:noWrap/>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12.5</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Upper respiratory infection</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9.6</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9.</w:t>
            </w:r>
            <w:r>
              <w:rPr>
                <w:rFonts w:eastAsia="Times New Roman" w:cs="Arial"/>
                <w:color w:val="000000"/>
              </w:rPr>
              <w:t>1</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Tonsillitis</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0.9</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1.0</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Otitis/ear infection</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0.9</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0.7</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Oral infection</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0.3</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0.</w:t>
            </w:r>
            <w:r>
              <w:rPr>
                <w:rFonts w:eastAsia="Times New Roman" w:cs="Arial"/>
                <w:color w:val="000000"/>
              </w:rPr>
              <w:t>5</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 xml:space="preserve">Viral </w:t>
            </w:r>
            <w:r w:rsidRPr="00BC6529">
              <w:rPr>
                <w:rFonts w:eastAsia="Times New Roman" w:cs="Arial"/>
                <w:color w:val="000000"/>
              </w:rPr>
              <w:t>infection</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2.</w:t>
            </w:r>
            <w:r>
              <w:rPr>
                <w:rFonts w:eastAsia="Times New Roman" w:cs="Arial"/>
                <w:color w:val="000000"/>
              </w:rPr>
              <w:t>5</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3.9</w:t>
            </w:r>
          </w:p>
        </w:tc>
      </w:tr>
      <w:tr w:rsidR="00C12DDF" w:rsidRPr="00BC6529" w:rsidTr="00C12DDF">
        <w:trPr>
          <w:trHeight w:val="300"/>
        </w:trPr>
        <w:tc>
          <w:tcPr>
            <w:tcW w:w="8115" w:type="dxa"/>
            <w:gridSpan w:val="3"/>
            <w:tcBorders>
              <w:top w:val="nil"/>
              <w:left w:val="single" w:sz="4" w:space="0" w:color="auto"/>
              <w:bottom w:val="single" w:sz="4" w:space="0" w:color="auto"/>
              <w:right w:val="single" w:sz="4" w:space="0" w:color="auto"/>
            </w:tcBorders>
            <w:shd w:val="clear" w:color="auto" w:fill="auto"/>
            <w:noWrap/>
            <w:vAlign w:val="bottom"/>
          </w:tcPr>
          <w:p w:rsidR="00C12DDF" w:rsidRPr="00BC6529" w:rsidRDefault="00C12DDF" w:rsidP="00C12DDF">
            <w:pPr>
              <w:rPr>
                <w:rFonts w:eastAsia="Times New Roman" w:cs="Arial"/>
                <w:color w:val="000000"/>
              </w:rPr>
            </w:pPr>
            <w:r w:rsidRPr="002E5649">
              <w:rPr>
                <w:rFonts w:eastAsia="Times New Roman" w:cs="Arial"/>
                <w:b/>
                <w:color w:val="000000"/>
              </w:rPr>
              <w:t>Healthcare Utilization</w:t>
            </w:r>
            <w:r>
              <w:rPr>
                <w:rFonts w:eastAsia="Times New Roman" w:cs="Arial"/>
                <w:b/>
                <w:color w:val="000000"/>
              </w:rPr>
              <w:t xml:space="preserve"> in Past 12 months</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Inpatient surgery</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32.</w:t>
            </w:r>
            <w:r>
              <w:rPr>
                <w:rFonts w:eastAsia="Times New Roman" w:cs="Arial"/>
                <w:color w:val="000000"/>
              </w:rPr>
              <w:t>9</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59.2</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Outpatient surgery</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15.</w:t>
            </w:r>
            <w:r>
              <w:rPr>
                <w:rFonts w:eastAsia="Times New Roman" w:cs="Arial"/>
                <w:color w:val="000000"/>
              </w:rPr>
              <w:t>1</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17.</w:t>
            </w:r>
            <w:r>
              <w:rPr>
                <w:rFonts w:eastAsia="Times New Roman" w:cs="Arial"/>
                <w:color w:val="000000"/>
              </w:rPr>
              <w:t>5</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Non-elective hospitalization</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69.4</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98.7</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Elective hospitalization</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24.</w:t>
            </w:r>
            <w:r>
              <w:rPr>
                <w:rFonts w:eastAsia="Times New Roman" w:cs="Arial"/>
                <w:color w:val="000000"/>
              </w:rPr>
              <w:t>9</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38.7</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Treat-and-release emergency department encounter, 1</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31. 4</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35.4</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Treat-and-release emergency department encounter, 2 or more</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Pr>
                <w:rFonts w:eastAsia="Times New Roman" w:cs="Arial"/>
                <w:color w:val="000000"/>
              </w:rPr>
              <w:t>38.0</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52.1</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tcPr>
          <w:p w:rsidR="00C12DDF" w:rsidRPr="00BC6529" w:rsidRDefault="00C12DDF" w:rsidP="00C12DDF">
            <w:pPr>
              <w:rPr>
                <w:rFonts w:eastAsia="Times New Roman" w:cs="Arial"/>
                <w:color w:val="000000"/>
              </w:rPr>
            </w:pPr>
            <w:r>
              <w:rPr>
                <w:rFonts w:eastAsia="Times New Roman" w:cs="Arial"/>
                <w:color w:val="000000"/>
              </w:rPr>
              <w:t xml:space="preserve">Skilled nursing facility </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41.7</w:t>
            </w:r>
          </w:p>
        </w:tc>
        <w:tc>
          <w:tcPr>
            <w:tcW w:w="2520" w:type="dxa"/>
            <w:tcBorders>
              <w:top w:val="nil"/>
              <w:left w:val="single" w:sz="4" w:space="0" w:color="auto"/>
              <w:bottom w:val="single" w:sz="4" w:space="0" w:color="auto"/>
              <w:right w:val="single" w:sz="4" w:space="0" w:color="auto"/>
            </w:tcBorders>
            <w:shd w:val="clear" w:color="auto" w:fill="auto"/>
            <w:noWrap/>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86.0</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tcPr>
          <w:p w:rsidR="00C12DDF" w:rsidRPr="00BC6529" w:rsidRDefault="00C12DDF" w:rsidP="00C12DDF">
            <w:pPr>
              <w:rPr>
                <w:rFonts w:eastAsia="Times New Roman" w:cs="Arial"/>
                <w:color w:val="000000"/>
              </w:rPr>
            </w:pPr>
            <w:r>
              <w:rPr>
                <w:rFonts w:eastAsia="Times New Roman" w:cs="Arial"/>
                <w:color w:val="000000"/>
              </w:rPr>
              <w:t>Long-term care facility resident</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18.</w:t>
            </w:r>
            <w:r>
              <w:rPr>
                <w:rFonts w:eastAsia="Times New Roman" w:cs="Arial"/>
                <w:color w:val="000000"/>
              </w:rPr>
              <w:t>5</w:t>
            </w:r>
          </w:p>
        </w:tc>
        <w:tc>
          <w:tcPr>
            <w:tcW w:w="2520" w:type="dxa"/>
            <w:tcBorders>
              <w:top w:val="nil"/>
              <w:left w:val="single" w:sz="4" w:space="0" w:color="auto"/>
              <w:bottom w:val="single" w:sz="4" w:space="0" w:color="auto"/>
              <w:right w:val="single" w:sz="4" w:space="0" w:color="auto"/>
            </w:tcBorders>
            <w:shd w:val="clear" w:color="auto" w:fill="auto"/>
            <w:noWrap/>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35.3</w:t>
            </w:r>
          </w:p>
        </w:tc>
      </w:tr>
      <w:tr w:rsidR="00C12DDF" w:rsidRPr="00BC6529" w:rsidTr="00C12DDF">
        <w:trPr>
          <w:trHeight w:val="300"/>
        </w:trPr>
        <w:tc>
          <w:tcPr>
            <w:tcW w:w="8115" w:type="dxa"/>
            <w:gridSpan w:val="3"/>
            <w:tcBorders>
              <w:top w:val="nil"/>
              <w:left w:val="single" w:sz="4" w:space="0" w:color="auto"/>
              <w:bottom w:val="single" w:sz="4" w:space="0" w:color="auto"/>
              <w:right w:val="single" w:sz="4" w:space="0" w:color="auto"/>
            </w:tcBorders>
            <w:shd w:val="clear" w:color="auto" w:fill="auto"/>
            <w:noWrap/>
            <w:vAlign w:val="bottom"/>
          </w:tcPr>
          <w:p w:rsidR="00C12DDF" w:rsidRPr="00BC6529" w:rsidRDefault="00C12DDF" w:rsidP="00C12DDF">
            <w:pPr>
              <w:rPr>
                <w:rFonts w:eastAsia="Times New Roman" w:cs="Arial"/>
                <w:color w:val="000000"/>
              </w:rPr>
            </w:pPr>
            <w:r w:rsidRPr="008374DF">
              <w:rPr>
                <w:rFonts w:eastAsia="Times New Roman" w:cs="Arial"/>
                <w:b/>
                <w:color w:val="000000"/>
              </w:rPr>
              <w:t>Acute Noninfectious Conditions</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A</w:t>
            </w:r>
            <w:r w:rsidRPr="00BC6529">
              <w:rPr>
                <w:rFonts w:eastAsia="Times New Roman" w:cs="Arial"/>
                <w:color w:val="000000"/>
              </w:rPr>
              <w:t>cute</w:t>
            </w:r>
            <w:r>
              <w:rPr>
                <w:rFonts w:eastAsia="Times New Roman" w:cs="Arial"/>
                <w:color w:val="000000"/>
              </w:rPr>
              <w:t xml:space="preserve"> myocardial infarction</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9.4</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19.6</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Exacerbation of chronic pulmonary disease</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13.4</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24.</w:t>
            </w:r>
            <w:r>
              <w:rPr>
                <w:rFonts w:eastAsia="Times New Roman" w:cs="Arial"/>
                <w:color w:val="000000"/>
              </w:rPr>
              <w:t>1</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Gastrointestinal hemorrhage</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20.</w:t>
            </w:r>
            <w:r>
              <w:rPr>
                <w:rFonts w:eastAsia="Times New Roman" w:cs="Arial"/>
                <w:color w:val="000000"/>
              </w:rPr>
              <w:t>4</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40.9</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D</w:t>
            </w:r>
            <w:r w:rsidRPr="00BC6529">
              <w:rPr>
                <w:rFonts w:eastAsia="Times New Roman" w:cs="Arial"/>
                <w:color w:val="000000"/>
              </w:rPr>
              <w:t>iverticulosis</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19.5</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29.</w:t>
            </w:r>
            <w:r>
              <w:rPr>
                <w:rFonts w:eastAsia="Times New Roman" w:cs="Arial"/>
                <w:color w:val="000000"/>
              </w:rPr>
              <w:t>5</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S</w:t>
            </w:r>
            <w:r w:rsidRPr="00BC6529">
              <w:rPr>
                <w:rFonts w:eastAsia="Times New Roman" w:cs="Arial"/>
                <w:color w:val="000000"/>
              </w:rPr>
              <w:t>ub</w:t>
            </w:r>
            <w:r>
              <w:rPr>
                <w:rFonts w:eastAsia="Times New Roman" w:cs="Arial"/>
                <w:color w:val="000000"/>
              </w:rPr>
              <w:t>dural hematoma</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1.0</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1.7</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Cerebrovascular accident</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35.</w:t>
            </w:r>
            <w:r>
              <w:rPr>
                <w:rFonts w:eastAsia="Times New Roman" w:cs="Arial"/>
                <w:color w:val="000000"/>
              </w:rPr>
              <w:t>8</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52.</w:t>
            </w:r>
            <w:r>
              <w:rPr>
                <w:rFonts w:eastAsia="Times New Roman" w:cs="Arial"/>
                <w:color w:val="000000"/>
              </w:rPr>
              <w:t>9</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 xml:space="preserve">Fracture, </w:t>
            </w:r>
            <w:r w:rsidRPr="00BC6529">
              <w:rPr>
                <w:rFonts w:eastAsia="Times New Roman" w:cs="Arial"/>
                <w:color w:val="000000"/>
              </w:rPr>
              <w:t>lower</w:t>
            </w:r>
            <w:r>
              <w:rPr>
                <w:rFonts w:eastAsia="Times New Roman" w:cs="Arial"/>
                <w:color w:val="000000"/>
              </w:rPr>
              <w:t xml:space="preserve">, </w:t>
            </w:r>
            <w:r w:rsidRPr="00BC6529">
              <w:rPr>
                <w:rFonts w:eastAsia="Times New Roman" w:cs="Arial"/>
                <w:color w:val="000000"/>
              </w:rPr>
              <w:t>closed</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Pr>
                <w:rFonts w:eastAsia="Times New Roman" w:cs="Arial"/>
                <w:color w:val="000000"/>
              </w:rPr>
              <w:t>11.0</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16.</w:t>
            </w:r>
            <w:r>
              <w:rPr>
                <w:rFonts w:eastAsia="Times New Roman" w:cs="Arial"/>
                <w:color w:val="000000"/>
              </w:rPr>
              <w:t>7</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 xml:space="preserve">Fracture, </w:t>
            </w:r>
            <w:r w:rsidRPr="00BC6529">
              <w:rPr>
                <w:rFonts w:eastAsia="Times New Roman" w:cs="Arial"/>
                <w:color w:val="000000"/>
              </w:rPr>
              <w:t>lower</w:t>
            </w:r>
            <w:r>
              <w:rPr>
                <w:rFonts w:eastAsia="Times New Roman" w:cs="Arial"/>
                <w:color w:val="000000"/>
              </w:rPr>
              <w:t>, open</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1.</w:t>
            </w:r>
            <w:r>
              <w:rPr>
                <w:rFonts w:eastAsia="Times New Roman" w:cs="Arial"/>
                <w:color w:val="000000"/>
              </w:rPr>
              <w:t>4</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2.</w:t>
            </w:r>
            <w:r>
              <w:rPr>
                <w:rFonts w:eastAsia="Times New Roman" w:cs="Arial"/>
                <w:color w:val="000000"/>
              </w:rPr>
              <w:t>5</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F</w:t>
            </w:r>
            <w:r w:rsidRPr="00BC6529">
              <w:rPr>
                <w:rFonts w:eastAsia="Times New Roman" w:cs="Arial"/>
                <w:color w:val="000000"/>
              </w:rPr>
              <w:t>rac</w:t>
            </w:r>
            <w:r>
              <w:rPr>
                <w:rFonts w:eastAsia="Times New Roman" w:cs="Arial"/>
                <w:color w:val="000000"/>
              </w:rPr>
              <w:t>ture, o</w:t>
            </w:r>
            <w:r w:rsidRPr="00BC6529">
              <w:rPr>
                <w:rFonts w:eastAsia="Times New Roman" w:cs="Arial"/>
                <w:color w:val="000000"/>
              </w:rPr>
              <w:t>ther</w:t>
            </w:r>
            <w:r>
              <w:rPr>
                <w:rFonts w:eastAsia="Times New Roman" w:cs="Arial"/>
                <w:color w:val="000000"/>
              </w:rPr>
              <w:t xml:space="preserve">, </w:t>
            </w:r>
            <w:r w:rsidRPr="00BC6529">
              <w:rPr>
                <w:rFonts w:eastAsia="Times New Roman" w:cs="Arial"/>
                <w:color w:val="000000"/>
              </w:rPr>
              <w:t>closed</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11.</w:t>
            </w:r>
            <w:r>
              <w:rPr>
                <w:rFonts w:eastAsia="Times New Roman" w:cs="Arial"/>
                <w:color w:val="000000"/>
              </w:rPr>
              <w:t>5</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Pr>
                <w:rFonts w:eastAsia="Times New Roman" w:cs="Arial"/>
                <w:color w:val="000000"/>
              </w:rPr>
              <w:t>16.0</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F</w:t>
            </w:r>
            <w:r w:rsidRPr="00BC6529">
              <w:rPr>
                <w:rFonts w:eastAsia="Times New Roman" w:cs="Arial"/>
                <w:color w:val="000000"/>
              </w:rPr>
              <w:t>rac</w:t>
            </w:r>
            <w:r>
              <w:rPr>
                <w:rFonts w:eastAsia="Times New Roman" w:cs="Arial"/>
                <w:color w:val="000000"/>
              </w:rPr>
              <w:t>ture, o</w:t>
            </w:r>
            <w:r w:rsidRPr="00BC6529">
              <w:rPr>
                <w:rFonts w:eastAsia="Times New Roman" w:cs="Arial"/>
                <w:color w:val="000000"/>
              </w:rPr>
              <w:t>ther</w:t>
            </w:r>
            <w:r>
              <w:rPr>
                <w:rFonts w:eastAsia="Times New Roman" w:cs="Arial"/>
                <w:color w:val="000000"/>
              </w:rPr>
              <w:t>, open</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0.6</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1.0</w:t>
            </w:r>
          </w:p>
        </w:tc>
      </w:tr>
      <w:tr w:rsidR="00C12DDF" w:rsidRPr="00BC6529" w:rsidTr="00C12DDF">
        <w:trPr>
          <w:trHeight w:val="300"/>
        </w:trPr>
        <w:tc>
          <w:tcPr>
            <w:tcW w:w="8115" w:type="dxa"/>
            <w:gridSpan w:val="3"/>
            <w:tcBorders>
              <w:top w:val="nil"/>
              <w:left w:val="single" w:sz="4" w:space="0" w:color="auto"/>
              <w:bottom w:val="single" w:sz="4" w:space="0" w:color="auto"/>
              <w:right w:val="single" w:sz="4" w:space="0" w:color="auto"/>
            </w:tcBorders>
            <w:shd w:val="clear" w:color="auto" w:fill="auto"/>
            <w:noWrap/>
            <w:vAlign w:val="bottom"/>
          </w:tcPr>
          <w:p w:rsidR="00C12DDF" w:rsidRPr="00BC6529" w:rsidRDefault="00C12DDF" w:rsidP="00C12DDF">
            <w:pPr>
              <w:rPr>
                <w:rFonts w:eastAsia="Times New Roman" w:cs="Arial"/>
                <w:color w:val="000000"/>
              </w:rPr>
            </w:pPr>
            <w:r w:rsidRPr="008374DF">
              <w:rPr>
                <w:rFonts w:eastAsia="Times New Roman" w:cs="Arial"/>
                <w:b/>
                <w:color w:val="000000"/>
              </w:rPr>
              <w:t>Frailty indicators</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tcPr>
          <w:p w:rsidR="00C12DDF" w:rsidRPr="00BC6529" w:rsidRDefault="00C12DDF" w:rsidP="00C12DDF">
            <w:pPr>
              <w:rPr>
                <w:rFonts w:eastAsia="Times New Roman" w:cs="Arial"/>
                <w:color w:val="000000"/>
              </w:rPr>
            </w:pPr>
            <w:r>
              <w:rPr>
                <w:rFonts w:eastAsia="Times New Roman" w:cs="Arial"/>
                <w:color w:val="000000"/>
              </w:rPr>
              <w:t>Deep venous thrombosis</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12.4</w:t>
            </w:r>
          </w:p>
        </w:tc>
        <w:tc>
          <w:tcPr>
            <w:tcW w:w="2520" w:type="dxa"/>
            <w:tcBorders>
              <w:top w:val="nil"/>
              <w:left w:val="single" w:sz="4" w:space="0" w:color="auto"/>
              <w:bottom w:val="single" w:sz="4" w:space="0" w:color="auto"/>
              <w:right w:val="single" w:sz="4" w:space="0" w:color="auto"/>
            </w:tcBorders>
            <w:shd w:val="clear" w:color="auto" w:fill="auto"/>
            <w:noWrap/>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28.0</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tcPr>
          <w:p w:rsidR="00C12DDF" w:rsidRPr="00BC6529" w:rsidRDefault="00C12DDF" w:rsidP="00C12DDF">
            <w:pPr>
              <w:rPr>
                <w:rFonts w:eastAsia="Times New Roman" w:cs="Arial"/>
                <w:color w:val="000000"/>
              </w:rPr>
            </w:pPr>
            <w:r>
              <w:rPr>
                <w:rFonts w:eastAsia="Times New Roman" w:cs="Arial"/>
                <w:color w:val="000000"/>
              </w:rPr>
              <w:t>P</w:t>
            </w:r>
            <w:r w:rsidRPr="00BC6529">
              <w:rPr>
                <w:rFonts w:eastAsia="Times New Roman" w:cs="Arial"/>
                <w:color w:val="000000"/>
              </w:rPr>
              <w:t>ulm</w:t>
            </w:r>
            <w:r>
              <w:rPr>
                <w:rFonts w:eastAsia="Times New Roman" w:cs="Arial"/>
                <w:color w:val="000000"/>
              </w:rPr>
              <w:t xml:space="preserve">onary </w:t>
            </w:r>
            <w:r w:rsidRPr="00BC6529">
              <w:rPr>
                <w:rFonts w:eastAsia="Times New Roman" w:cs="Arial"/>
                <w:color w:val="000000"/>
              </w:rPr>
              <w:t>emb</w:t>
            </w:r>
            <w:r>
              <w:rPr>
                <w:rFonts w:eastAsia="Times New Roman" w:cs="Arial"/>
                <w:color w:val="000000"/>
              </w:rPr>
              <w:t>olus</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4.4</w:t>
            </w:r>
          </w:p>
        </w:tc>
        <w:tc>
          <w:tcPr>
            <w:tcW w:w="2520" w:type="dxa"/>
            <w:tcBorders>
              <w:top w:val="nil"/>
              <w:left w:val="single" w:sz="4" w:space="0" w:color="auto"/>
              <w:bottom w:val="single" w:sz="4" w:space="0" w:color="auto"/>
              <w:right w:val="single" w:sz="4" w:space="0" w:color="auto"/>
            </w:tcBorders>
            <w:shd w:val="clear" w:color="auto" w:fill="auto"/>
            <w:noWrap/>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9.0</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D</w:t>
            </w:r>
            <w:r w:rsidRPr="00BC6529">
              <w:rPr>
                <w:rFonts w:eastAsia="Times New Roman" w:cs="Arial"/>
                <w:color w:val="000000"/>
              </w:rPr>
              <w:t>ecub</w:t>
            </w:r>
            <w:r>
              <w:rPr>
                <w:rFonts w:eastAsia="Times New Roman" w:cs="Arial"/>
                <w:color w:val="000000"/>
              </w:rPr>
              <w:t xml:space="preserve">itus </w:t>
            </w:r>
            <w:r w:rsidRPr="00BC6529">
              <w:rPr>
                <w:rFonts w:eastAsia="Times New Roman" w:cs="Arial"/>
                <w:color w:val="000000"/>
              </w:rPr>
              <w:t>ulcer</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12.2</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38.8</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D</w:t>
            </w:r>
            <w:r w:rsidRPr="00BC6529">
              <w:rPr>
                <w:rFonts w:eastAsia="Times New Roman" w:cs="Arial"/>
                <w:color w:val="000000"/>
              </w:rPr>
              <w:t>ementia</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Pr>
                <w:rFonts w:eastAsia="Times New Roman" w:cs="Arial"/>
                <w:color w:val="000000"/>
              </w:rPr>
              <w:t>25.0</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41.</w:t>
            </w:r>
            <w:r>
              <w:rPr>
                <w:rFonts w:eastAsia="Times New Roman" w:cs="Arial"/>
                <w:color w:val="000000"/>
              </w:rPr>
              <w:t>1</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tcPr>
          <w:p w:rsidR="00C12DDF" w:rsidRPr="00BC6529" w:rsidRDefault="00C12DDF" w:rsidP="00C12DDF">
            <w:pPr>
              <w:rPr>
                <w:rFonts w:eastAsia="Times New Roman" w:cs="Arial"/>
                <w:color w:val="000000"/>
              </w:rPr>
            </w:pPr>
            <w:r>
              <w:rPr>
                <w:rFonts w:eastAsia="Times New Roman" w:cs="Arial"/>
                <w:color w:val="000000"/>
              </w:rPr>
              <w:t>Parkinson’s disease</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3.7</w:t>
            </w:r>
          </w:p>
        </w:tc>
        <w:tc>
          <w:tcPr>
            <w:tcW w:w="2520" w:type="dxa"/>
            <w:tcBorders>
              <w:top w:val="nil"/>
              <w:left w:val="single" w:sz="4" w:space="0" w:color="auto"/>
              <w:bottom w:val="single" w:sz="4" w:space="0" w:color="auto"/>
              <w:right w:val="single" w:sz="4" w:space="0" w:color="auto"/>
            </w:tcBorders>
            <w:shd w:val="clear" w:color="auto" w:fill="auto"/>
            <w:noWrap/>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5.5</w:t>
            </w:r>
          </w:p>
        </w:tc>
      </w:tr>
      <w:tr w:rsidR="00C12DDF" w:rsidRPr="00BC6529" w:rsidTr="00C12DDF">
        <w:trPr>
          <w:trHeight w:val="413"/>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2A05FE" w:rsidRDefault="00C12DDF" w:rsidP="00C12DDF">
            <w:pPr>
              <w:rPr>
                <w:rFonts w:eastAsia="Times New Roman" w:cs="Arial"/>
                <w:color w:val="000000"/>
              </w:rPr>
            </w:pPr>
            <w:r>
              <w:rPr>
                <w:rFonts w:eastAsia="Times New Roman" w:cs="Arial"/>
                <w:color w:val="000000"/>
              </w:rPr>
              <w:t>Dehydration (</w:t>
            </w:r>
            <w:r w:rsidRPr="002A05FE">
              <w:rPr>
                <w:rFonts w:eastAsia="Times New Roman" w:cs="Arial"/>
                <w:color w:val="000000"/>
              </w:rPr>
              <w:t>&gt; 30 days</w:t>
            </w:r>
            <w:r>
              <w:rPr>
                <w:rFonts w:eastAsia="Times New Roman" w:cs="Arial"/>
                <w:color w:val="000000"/>
              </w:rPr>
              <w:t xml:space="preserve"> before)</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21.9</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41.</w:t>
            </w:r>
            <w:r>
              <w:rPr>
                <w:rFonts w:eastAsia="Times New Roman" w:cs="Arial"/>
                <w:color w:val="000000"/>
              </w:rPr>
              <w:t>4</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U</w:t>
            </w:r>
            <w:r w:rsidRPr="00BC6529">
              <w:rPr>
                <w:rFonts w:eastAsia="Times New Roman" w:cs="Arial"/>
                <w:color w:val="000000"/>
              </w:rPr>
              <w:t>rinary</w:t>
            </w:r>
            <w:r>
              <w:rPr>
                <w:rFonts w:eastAsia="Times New Roman" w:cs="Arial"/>
                <w:color w:val="000000"/>
              </w:rPr>
              <w:t xml:space="preserve"> </w:t>
            </w:r>
            <w:r w:rsidRPr="00BC6529">
              <w:rPr>
                <w:rFonts w:eastAsia="Times New Roman" w:cs="Arial"/>
                <w:color w:val="000000"/>
              </w:rPr>
              <w:t>incont</w:t>
            </w:r>
            <w:r>
              <w:rPr>
                <w:rFonts w:eastAsia="Times New Roman" w:cs="Arial"/>
                <w:color w:val="000000"/>
              </w:rPr>
              <w:t>inence</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12.</w:t>
            </w:r>
            <w:r>
              <w:rPr>
                <w:rFonts w:eastAsia="Times New Roman" w:cs="Arial"/>
                <w:color w:val="000000"/>
              </w:rPr>
              <w:t>5</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18.</w:t>
            </w:r>
            <w:r>
              <w:rPr>
                <w:rFonts w:eastAsia="Times New Roman" w:cs="Arial"/>
                <w:color w:val="000000"/>
              </w:rPr>
              <w:t>6</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S</w:t>
            </w:r>
            <w:r w:rsidRPr="00BC6529">
              <w:rPr>
                <w:rFonts w:eastAsia="Times New Roman" w:cs="Arial"/>
                <w:color w:val="000000"/>
              </w:rPr>
              <w:t>enility</w:t>
            </w:r>
            <w:r>
              <w:rPr>
                <w:rFonts w:eastAsia="Times New Roman" w:cs="Arial"/>
                <w:color w:val="000000"/>
              </w:rPr>
              <w:t>/</w:t>
            </w:r>
            <w:r w:rsidRPr="00BC6529">
              <w:rPr>
                <w:rFonts w:eastAsia="Times New Roman" w:cs="Arial"/>
                <w:color w:val="000000"/>
              </w:rPr>
              <w:t>frailty</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15.</w:t>
            </w:r>
            <w:r>
              <w:rPr>
                <w:rFonts w:eastAsia="Times New Roman" w:cs="Arial"/>
                <w:color w:val="000000"/>
              </w:rPr>
              <w:t>9</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36.</w:t>
            </w:r>
            <w:r>
              <w:rPr>
                <w:rFonts w:eastAsia="Times New Roman" w:cs="Arial"/>
                <w:color w:val="000000"/>
              </w:rPr>
              <w:t>8</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6B4963" w:rsidRDefault="00C12DDF" w:rsidP="00C12DDF">
            <w:pPr>
              <w:rPr>
                <w:rFonts w:eastAsia="Times New Roman" w:cs="Arial"/>
                <w:color w:val="000000"/>
                <w:highlight w:val="yellow"/>
              </w:rPr>
            </w:pPr>
            <w:r w:rsidRPr="002A05FE">
              <w:rPr>
                <w:rFonts w:eastAsia="Times New Roman" w:cs="Arial"/>
                <w:color w:val="000000"/>
              </w:rPr>
              <w:t>Failure to thrive</w:t>
            </w:r>
            <w:r>
              <w:rPr>
                <w:rFonts w:eastAsia="Times New Roman" w:cs="Arial"/>
                <w:color w:val="000000"/>
              </w:rPr>
              <w:t xml:space="preserve"> (</w:t>
            </w:r>
            <w:r w:rsidRPr="002A05FE">
              <w:rPr>
                <w:rFonts w:eastAsia="Times New Roman" w:cs="Arial"/>
                <w:color w:val="000000"/>
              </w:rPr>
              <w:t xml:space="preserve">&gt; 30 days </w:t>
            </w:r>
            <w:r>
              <w:rPr>
                <w:rFonts w:eastAsia="Times New Roman" w:cs="Arial"/>
                <w:color w:val="000000"/>
              </w:rPr>
              <w:t>before)</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5.</w:t>
            </w:r>
            <w:r>
              <w:rPr>
                <w:rFonts w:eastAsia="Times New Roman" w:cs="Arial"/>
                <w:color w:val="000000"/>
              </w:rPr>
              <w:t>1</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11.8</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 xml:space="preserve">Sleep </w:t>
            </w:r>
            <w:r w:rsidRPr="00BC6529">
              <w:rPr>
                <w:rFonts w:eastAsia="Times New Roman" w:cs="Arial"/>
                <w:color w:val="000000"/>
              </w:rPr>
              <w:t>disturbance</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13. 1</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17.8</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D</w:t>
            </w:r>
            <w:r w:rsidRPr="00BC6529">
              <w:rPr>
                <w:rFonts w:eastAsia="Times New Roman" w:cs="Arial"/>
                <w:color w:val="000000"/>
              </w:rPr>
              <w:t>ifficulty</w:t>
            </w:r>
            <w:r>
              <w:rPr>
                <w:rFonts w:eastAsia="Times New Roman" w:cs="Arial"/>
                <w:color w:val="000000"/>
              </w:rPr>
              <w:t xml:space="preserve"> </w:t>
            </w:r>
            <w:r w:rsidRPr="00BC6529">
              <w:rPr>
                <w:rFonts w:eastAsia="Times New Roman" w:cs="Arial"/>
                <w:color w:val="000000"/>
              </w:rPr>
              <w:t>walking</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39.</w:t>
            </w:r>
            <w:r>
              <w:rPr>
                <w:rFonts w:eastAsia="Times New Roman" w:cs="Arial"/>
                <w:color w:val="000000"/>
              </w:rPr>
              <w:t>9</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67.</w:t>
            </w:r>
            <w:r>
              <w:rPr>
                <w:rFonts w:eastAsia="Times New Roman" w:cs="Arial"/>
                <w:color w:val="000000"/>
              </w:rPr>
              <w:t>1</w:t>
            </w:r>
          </w:p>
        </w:tc>
      </w:tr>
      <w:tr w:rsidR="00C12DDF" w:rsidRPr="00BC6529" w:rsidTr="00C12DDF">
        <w:trPr>
          <w:trHeight w:val="300"/>
        </w:trPr>
        <w:tc>
          <w:tcPr>
            <w:tcW w:w="8115" w:type="dxa"/>
            <w:gridSpan w:val="3"/>
            <w:tcBorders>
              <w:top w:val="nil"/>
              <w:left w:val="single" w:sz="4" w:space="0" w:color="auto"/>
              <w:bottom w:val="single" w:sz="4" w:space="0" w:color="auto"/>
              <w:right w:val="single" w:sz="4" w:space="0" w:color="auto"/>
            </w:tcBorders>
            <w:shd w:val="clear" w:color="auto" w:fill="auto"/>
            <w:noWrap/>
            <w:vAlign w:val="bottom"/>
          </w:tcPr>
          <w:p w:rsidR="00C12DDF" w:rsidRPr="00BC6529" w:rsidRDefault="00C12DDF" w:rsidP="00C12DDF">
            <w:pPr>
              <w:rPr>
                <w:rFonts w:eastAsia="Times New Roman" w:cs="Arial"/>
                <w:color w:val="000000"/>
              </w:rPr>
            </w:pPr>
            <w:r w:rsidRPr="000922DE">
              <w:rPr>
                <w:rFonts w:eastAsia="Times New Roman" w:cs="Arial"/>
                <w:b/>
                <w:color w:val="000000"/>
              </w:rPr>
              <w:lastRenderedPageBreak/>
              <w:t>Outcomes</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Death within 1 year</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35.</w:t>
            </w:r>
            <w:r>
              <w:rPr>
                <w:rFonts w:eastAsia="Times New Roman" w:cs="Arial"/>
                <w:color w:val="000000"/>
              </w:rPr>
              <w:t>6</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55.</w:t>
            </w:r>
            <w:r>
              <w:rPr>
                <w:rFonts w:eastAsia="Times New Roman" w:cs="Arial"/>
                <w:color w:val="000000"/>
              </w:rPr>
              <w:t>7</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 xml:space="preserve">New transfer to a long term care facility within </w:t>
            </w:r>
            <w:r w:rsidRPr="00BC6529">
              <w:rPr>
                <w:rFonts w:eastAsia="Times New Roman" w:cs="Arial"/>
                <w:color w:val="000000"/>
              </w:rPr>
              <w:t>1</w:t>
            </w:r>
            <w:r>
              <w:rPr>
                <w:rFonts w:eastAsia="Times New Roman" w:cs="Arial"/>
                <w:color w:val="000000"/>
              </w:rPr>
              <w:t xml:space="preserve"> </w:t>
            </w:r>
            <w:r w:rsidRPr="00BC6529">
              <w:rPr>
                <w:rFonts w:eastAsia="Times New Roman" w:cs="Arial"/>
                <w:color w:val="000000"/>
              </w:rPr>
              <w:t>y</w:t>
            </w:r>
            <w:r>
              <w:rPr>
                <w:rFonts w:eastAsia="Times New Roman" w:cs="Arial"/>
                <w:color w:val="000000"/>
              </w:rPr>
              <w:t>ear</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6.7</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9.9</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 xml:space="preserve">New skilled nursing facility encounter within </w:t>
            </w:r>
            <w:r w:rsidRPr="00BC6529">
              <w:rPr>
                <w:rFonts w:eastAsia="Times New Roman" w:cs="Arial"/>
                <w:color w:val="000000"/>
              </w:rPr>
              <w:t>1</w:t>
            </w:r>
            <w:r>
              <w:rPr>
                <w:rFonts w:eastAsia="Times New Roman" w:cs="Arial"/>
                <w:color w:val="000000"/>
              </w:rPr>
              <w:t xml:space="preserve"> </w:t>
            </w:r>
            <w:r w:rsidRPr="00BC6529">
              <w:rPr>
                <w:rFonts w:eastAsia="Times New Roman" w:cs="Arial"/>
                <w:color w:val="000000"/>
              </w:rPr>
              <w:t>y</w:t>
            </w:r>
            <w:r>
              <w:rPr>
                <w:rFonts w:eastAsia="Times New Roman" w:cs="Arial"/>
                <w:color w:val="000000"/>
              </w:rPr>
              <w:t>ea</w:t>
            </w:r>
            <w:r w:rsidRPr="00BC6529">
              <w:rPr>
                <w:rFonts w:eastAsia="Times New Roman" w:cs="Arial"/>
                <w:color w:val="000000"/>
              </w:rPr>
              <w:t>r</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35.3</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Pr>
                <w:rFonts w:eastAsia="Times New Roman" w:cs="Arial"/>
                <w:color w:val="000000"/>
              </w:rPr>
              <w:t>60.0</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tcPr>
          <w:p w:rsidR="00C12DDF" w:rsidRPr="00BC6529" w:rsidRDefault="00C12DDF" w:rsidP="00C12DDF">
            <w:pPr>
              <w:rPr>
                <w:rFonts w:eastAsia="Times New Roman" w:cs="Arial"/>
                <w:color w:val="000000"/>
              </w:rPr>
            </w:pPr>
            <w:r>
              <w:rPr>
                <w:rFonts w:eastAsia="Times New Roman" w:cs="Arial"/>
                <w:color w:val="000000"/>
              </w:rPr>
              <w:t>Inpatient hospitalization, 30 days</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19.</w:t>
            </w:r>
            <w:r>
              <w:rPr>
                <w:rFonts w:eastAsia="Times New Roman" w:cs="Arial"/>
                <w:color w:val="000000"/>
              </w:rPr>
              <w:t>7</w:t>
            </w:r>
          </w:p>
        </w:tc>
        <w:tc>
          <w:tcPr>
            <w:tcW w:w="2520" w:type="dxa"/>
            <w:tcBorders>
              <w:top w:val="nil"/>
              <w:left w:val="single" w:sz="4" w:space="0" w:color="auto"/>
              <w:bottom w:val="single" w:sz="4" w:space="0" w:color="auto"/>
              <w:right w:val="single" w:sz="4" w:space="0" w:color="auto"/>
            </w:tcBorders>
            <w:shd w:val="clear" w:color="auto" w:fill="auto"/>
            <w:noWrap/>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24.8</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tcPr>
          <w:p w:rsidR="00C12DDF" w:rsidRDefault="00C12DDF" w:rsidP="00C12DDF">
            <w:pPr>
              <w:rPr>
                <w:rFonts w:eastAsia="Times New Roman" w:cs="Arial"/>
                <w:color w:val="000000"/>
              </w:rPr>
            </w:pPr>
            <w:r>
              <w:rPr>
                <w:rFonts w:eastAsia="Times New Roman" w:cs="Arial"/>
                <w:color w:val="000000"/>
              </w:rPr>
              <w:t>Inpatient hospitalization, 90 days</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Pr>
                <w:rFonts w:eastAsia="Times New Roman" w:cs="Arial"/>
                <w:color w:val="000000"/>
              </w:rPr>
              <w:t>33.7</w:t>
            </w:r>
          </w:p>
        </w:tc>
        <w:tc>
          <w:tcPr>
            <w:tcW w:w="2520" w:type="dxa"/>
            <w:tcBorders>
              <w:top w:val="nil"/>
              <w:left w:val="single" w:sz="4" w:space="0" w:color="auto"/>
              <w:bottom w:val="single" w:sz="4" w:space="0" w:color="auto"/>
              <w:right w:val="single" w:sz="4" w:space="0" w:color="auto"/>
            </w:tcBorders>
            <w:shd w:val="clear" w:color="auto" w:fill="auto"/>
            <w:noWrap/>
            <w:vAlign w:val="bottom"/>
          </w:tcPr>
          <w:p w:rsidR="00C12DDF" w:rsidRPr="00BC6529" w:rsidRDefault="00C12DDF" w:rsidP="00C12DDF">
            <w:pPr>
              <w:jc w:val="right"/>
              <w:rPr>
                <w:rFonts w:eastAsia="Times New Roman" w:cs="Arial"/>
                <w:color w:val="000000"/>
              </w:rPr>
            </w:pPr>
            <w:r>
              <w:rPr>
                <w:rFonts w:eastAsia="Times New Roman" w:cs="Arial"/>
                <w:color w:val="000000"/>
              </w:rPr>
              <w:t>43.0</w:t>
            </w:r>
          </w:p>
        </w:tc>
      </w:tr>
      <w:tr w:rsidR="00C12DDF" w:rsidRPr="00BC6529" w:rsidTr="00C12DDF">
        <w:trPr>
          <w:trHeight w:val="300"/>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rPr>
                <w:rFonts w:eastAsia="Times New Roman" w:cs="Arial"/>
                <w:color w:val="000000"/>
              </w:rPr>
            </w:pPr>
            <w:r>
              <w:rPr>
                <w:rFonts w:eastAsia="Times New Roman" w:cs="Arial"/>
                <w:color w:val="000000"/>
              </w:rPr>
              <w:t>Inpatient hospitalization, 1 year</w:t>
            </w:r>
          </w:p>
        </w:tc>
        <w:tc>
          <w:tcPr>
            <w:tcW w:w="2520" w:type="dxa"/>
            <w:tcBorders>
              <w:top w:val="single" w:sz="4" w:space="0" w:color="auto"/>
              <w:left w:val="nil"/>
              <w:bottom w:val="single" w:sz="4" w:space="0" w:color="auto"/>
              <w:right w:val="single" w:sz="4" w:space="0" w:color="auto"/>
            </w:tcBorders>
            <w:vAlign w:val="bottom"/>
          </w:tcPr>
          <w:p w:rsidR="00C12DDF" w:rsidRPr="00BC6529" w:rsidRDefault="00C12DDF" w:rsidP="00C12DDF">
            <w:pPr>
              <w:jc w:val="right"/>
              <w:rPr>
                <w:rFonts w:eastAsia="Times New Roman" w:cs="Arial"/>
                <w:color w:val="000000"/>
              </w:rPr>
            </w:pPr>
            <w:r w:rsidRPr="00BC6529">
              <w:rPr>
                <w:rFonts w:eastAsia="Times New Roman" w:cs="Arial"/>
                <w:color w:val="000000"/>
              </w:rPr>
              <w:t>55.</w:t>
            </w:r>
            <w:r>
              <w:rPr>
                <w:rFonts w:eastAsia="Times New Roman" w:cs="Arial"/>
                <w:color w:val="000000"/>
              </w:rPr>
              <w:t>7</w:t>
            </w:r>
          </w:p>
        </w:tc>
        <w:tc>
          <w:tcPr>
            <w:tcW w:w="2520" w:type="dxa"/>
            <w:tcBorders>
              <w:top w:val="nil"/>
              <w:left w:val="single" w:sz="4" w:space="0" w:color="auto"/>
              <w:bottom w:val="single" w:sz="4" w:space="0" w:color="auto"/>
              <w:right w:val="single" w:sz="4" w:space="0" w:color="auto"/>
            </w:tcBorders>
            <w:shd w:val="clear" w:color="auto" w:fill="auto"/>
            <w:noWrap/>
            <w:vAlign w:val="bottom"/>
            <w:hideMark/>
          </w:tcPr>
          <w:p w:rsidR="00C12DDF" w:rsidRPr="00BC6529" w:rsidRDefault="00C12DDF" w:rsidP="00C12DDF">
            <w:pPr>
              <w:jc w:val="right"/>
              <w:rPr>
                <w:rFonts w:eastAsia="Times New Roman" w:cs="Arial"/>
                <w:color w:val="000000"/>
              </w:rPr>
            </w:pPr>
            <w:r w:rsidRPr="00BC6529">
              <w:rPr>
                <w:rFonts w:eastAsia="Times New Roman" w:cs="Arial"/>
                <w:color w:val="000000"/>
              </w:rPr>
              <w:t>68.6</w:t>
            </w:r>
          </w:p>
        </w:tc>
      </w:tr>
    </w:tbl>
    <w:p w:rsidR="00C12DDF" w:rsidRPr="000F1990" w:rsidRDefault="00C12DDF" w:rsidP="00C12DDF">
      <w:pPr>
        <w:spacing w:after="200" w:line="276" w:lineRule="auto"/>
        <w:rPr>
          <w:rFonts w:cs="Arial"/>
          <w:color w:val="000000" w:themeColor="text1"/>
          <w:shd w:val="clear" w:color="auto" w:fill="FFFFFF"/>
        </w:rPr>
      </w:pPr>
      <w:r>
        <w:rPr>
          <w:rFonts w:cs="Arial"/>
          <w:color w:val="000000" w:themeColor="text1"/>
          <w:shd w:val="clear" w:color="auto" w:fill="FFFFFF"/>
        </w:rPr>
        <w:t xml:space="preserve">*All </w:t>
      </w:r>
      <w:r w:rsidRPr="000F1990">
        <w:rPr>
          <w:rFonts w:cs="Arial"/>
          <w:i/>
          <w:color w:val="000000" w:themeColor="text1"/>
          <w:shd w:val="clear" w:color="auto" w:fill="FFFFFF"/>
        </w:rPr>
        <w:t>p</w:t>
      </w:r>
      <w:r>
        <w:rPr>
          <w:rFonts w:cs="Arial"/>
          <w:color w:val="000000" w:themeColor="text1"/>
          <w:shd w:val="clear" w:color="auto" w:fill="FFFFFF"/>
        </w:rPr>
        <w:t xml:space="preserve"> &lt; 0.001 except tonsillitis (</w:t>
      </w:r>
      <w:r w:rsidRPr="000F1990">
        <w:rPr>
          <w:rFonts w:cs="Arial"/>
          <w:i/>
          <w:color w:val="000000" w:themeColor="text1"/>
          <w:shd w:val="clear" w:color="auto" w:fill="FFFFFF"/>
        </w:rPr>
        <w:t>p</w:t>
      </w:r>
      <w:r>
        <w:rPr>
          <w:rFonts w:cs="Arial"/>
          <w:color w:val="000000" w:themeColor="text1"/>
          <w:shd w:val="clear" w:color="auto" w:fill="FFFFFF"/>
        </w:rPr>
        <w:t xml:space="preserve"> = 0.005)</w:t>
      </w:r>
      <w:r w:rsidRPr="000F1990">
        <w:rPr>
          <w:rFonts w:cs="Arial"/>
          <w:color w:val="000000" w:themeColor="text1"/>
          <w:shd w:val="clear" w:color="auto" w:fill="FFFFFF"/>
        </w:rPr>
        <w:br w:type="page"/>
      </w:r>
    </w:p>
    <w:p w:rsidR="00C20FC8" w:rsidRPr="007875C0" w:rsidRDefault="001A1316" w:rsidP="00DB0919">
      <w:pPr>
        <w:tabs>
          <w:tab w:val="right" w:pos="540"/>
          <w:tab w:val="left" w:pos="720"/>
        </w:tabs>
        <w:spacing w:line="480" w:lineRule="auto"/>
        <w:rPr>
          <w:rFonts w:cs="Arial"/>
        </w:rPr>
      </w:pPr>
      <w:r w:rsidRPr="007875C0">
        <w:rPr>
          <w:rFonts w:cs="Arial"/>
          <w:b/>
        </w:rPr>
        <w:lastRenderedPageBreak/>
        <w:t>Appendix Table 3</w:t>
      </w:r>
      <w:r w:rsidR="00C20FC8" w:rsidRPr="007875C0">
        <w:rPr>
          <w:rFonts w:cs="Arial"/>
          <w:b/>
        </w:rPr>
        <w:t xml:space="preserve">. </w:t>
      </w:r>
      <w:r w:rsidR="00DB0919" w:rsidRPr="00DB0919">
        <w:rPr>
          <w:rFonts w:cs="Arial"/>
          <w:bCs/>
        </w:rPr>
        <w:t>O</w:t>
      </w:r>
      <w:r w:rsidR="00C20FC8" w:rsidRPr="007875C0">
        <w:rPr>
          <w:rFonts w:cs="Arial"/>
        </w:rPr>
        <w:t xml:space="preserve">utcomes within one year in pairs matched on the propensity for </w:t>
      </w:r>
      <w:r w:rsidR="00C20FC8" w:rsidRPr="007875C0">
        <w:rPr>
          <w:rFonts w:cs="Arial"/>
          <w:i/>
        </w:rPr>
        <w:t>Clostridium difficile</w:t>
      </w:r>
      <w:r w:rsidR="00C20FC8" w:rsidRPr="007875C0">
        <w:rPr>
          <w:rFonts w:cs="Arial"/>
        </w:rPr>
        <w:t xml:space="preserve"> infection. </w:t>
      </w:r>
      <w:r w:rsidR="008A57D7" w:rsidRPr="007875C0">
        <w:rPr>
          <w:rFonts w:cs="Arial"/>
        </w:rPr>
        <w:t xml:space="preserve">A. </w:t>
      </w:r>
      <w:r w:rsidR="00C20FC8" w:rsidRPr="007875C0">
        <w:rPr>
          <w:rFonts w:cs="Arial"/>
        </w:rPr>
        <w:t>Death, B. New Entry into a Long-Term Care Facility, C. New Entry into a Skilled Nursing Facility</w:t>
      </w:r>
    </w:p>
    <w:tbl>
      <w:tblPr>
        <w:tblW w:w="8240" w:type="dxa"/>
        <w:tblCellMar>
          <w:left w:w="0" w:type="dxa"/>
          <w:right w:w="0" w:type="dxa"/>
        </w:tblCellMar>
        <w:tblLook w:val="0420" w:firstRow="1" w:lastRow="0" w:firstColumn="0" w:lastColumn="0" w:noHBand="0" w:noVBand="1"/>
      </w:tblPr>
      <w:tblGrid>
        <w:gridCol w:w="1363"/>
        <w:gridCol w:w="2265"/>
        <w:gridCol w:w="2306"/>
        <w:gridCol w:w="2306"/>
      </w:tblGrid>
      <w:tr w:rsidR="00C20FC8" w:rsidRPr="00D254C3" w:rsidTr="007F65CE">
        <w:trPr>
          <w:trHeight w:val="584"/>
        </w:trPr>
        <w:tc>
          <w:tcPr>
            <w:tcW w:w="1360" w:type="dxa"/>
            <w:tcBorders>
              <w:top w:val="nil"/>
              <w:left w:val="nil"/>
              <w:bottom w:val="nil"/>
              <w:right w:val="nil"/>
            </w:tcBorders>
            <w:shd w:val="clear" w:color="auto" w:fill="auto"/>
            <w:tcMar>
              <w:top w:w="72" w:type="dxa"/>
              <w:left w:w="144" w:type="dxa"/>
              <w:bottom w:w="72" w:type="dxa"/>
              <w:right w:w="144" w:type="dxa"/>
            </w:tcMar>
            <w:hideMark/>
          </w:tcPr>
          <w:p w:rsidR="00C20FC8" w:rsidRPr="00D254C3" w:rsidRDefault="00C20FC8" w:rsidP="007F65CE">
            <w:pPr>
              <w:rPr>
                <w:rFonts w:eastAsia="Times New Roman" w:cs="Arial"/>
                <w:sz w:val="36"/>
                <w:szCs w:val="36"/>
              </w:rPr>
            </w:pPr>
          </w:p>
        </w:tc>
        <w:tc>
          <w:tcPr>
            <w:tcW w:w="2260" w:type="dxa"/>
            <w:tcBorders>
              <w:top w:val="nil"/>
              <w:left w:val="nil"/>
              <w:bottom w:val="nil"/>
              <w:right w:val="nil"/>
            </w:tcBorders>
            <w:shd w:val="clear" w:color="auto" w:fill="auto"/>
            <w:tcMar>
              <w:top w:w="72" w:type="dxa"/>
              <w:left w:w="144" w:type="dxa"/>
              <w:bottom w:w="72" w:type="dxa"/>
              <w:right w:w="144" w:type="dxa"/>
            </w:tcMar>
            <w:hideMark/>
          </w:tcPr>
          <w:p w:rsidR="00C20FC8" w:rsidRPr="00327953" w:rsidRDefault="00C20FC8" w:rsidP="00E6013F">
            <w:pPr>
              <w:pStyle w:val="ListParagraph"/>
              <w:numPr>
                <w:ilvl w:val="0"/>
                <w:numId w:val="22"/>
              </w:numPr>
              <w:ind w:left="360"/>
              <w:rPr>
                <w:rFonts w:cs="Arial"/>
              </w:rPr>
            </w:pPr>
          </w:p>
        </w:tc>
        <w:tc>
          <w:tcPr>
            <w:tcW w:w="4600" w:type="dxa"/>
            <w:gridSpan w:val="2"/>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rsidR="00C20FC8" w:rsidRPr="00D254C3" w:rsidRDefault="00C20FC8" w:rsidP="007F65CE">
            <w:pPr>
              <w:jc w:val="center"/>
              <w:rPr>
                <w:rFonts w:eastAsia="Times New Roman" w:cs="Arial"/>
              </w:rPr>
            </w:pPr>
            <w:r w:rsidRPr="00D254C3">
              <w:rPr>
                <w:rFonts w:eastAsia="Times New Roman" w:cs="Arial"/>
                <w:b/>
                <w:bCs/>
                <w:color w:val="000000" w:themeColor="text1"/>
                <w:kern w:val="24"/>
              </w:rPr>
              <w:t>Control</w:t>
            </w:r>
          </w:p>
        </w:tc>
      </w:tr>
      <w:tr w:rsidR="00C20FC8" w:rsidRPr="00D254C3" w:rsidTr="007F65CE">
        <w:trPr>
          <w:trHeight w:val="584"/>
        </w:trPr>
        <w:tc>
          <w:tcPr>
            <w:tcW w:w="1360" w:type="dxa"/>
            <w:tcBorders>
              <w:top w:val="nil"/>
              <w:left w:val="nil"/>
              <w:bottom w:val="nil"/>
              <w:right w:val="nil"/>
            </w:tcBorders>
            <w:shd w:val="clear" w:color="auto" w:fill="auto"/>
            <w:tcMar>
              <w:top w:w="72" w:type="dxa"/>
              <w:left w:w="144" w:type="dxa"/>
              <w:bottom w:w="72" w:type="dxa"/>
              <w:right w:w="144" w:type="dxa"/>
            </w:tcMar>
            <w:hideMark/>
          </w:tcPr>
          <w:p w:rsidR="00C20FC8" w:rsidRPr="00D254C3" w:rsidRDefault="00C20FC8" w:rsidP="007F65CE">
            <w:pPr>
              <w:rPr>
                <w:rFonts w:eastAsia="Times New Roman" w:cs="Arial"/>
                <w:sz w:val="36"/>
                <w:szCs w:val="36"/>
              </w:rPr>
            </w:pPr>
          </w:p>
        </w:tc>
        <w:tc>
          <w:tcPr>
            <w:tcW w:w="2260"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rsidR="00C20FC8" w:rsidRPr="00D254C3" w:rsidRDefault="00C20FC8" w:rsidP="007F65CE">
            <w:pPr>
              <w:rPr>
                <w:rFonts w:eastAsia="Times New Roman" w:cs="Arial"/>
              </w:rPr>
            </w:pP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0FC8" w:rsidRPr="00D254C3" w:rsidRDefault="00C20FC8" w:rsidP="007F65CE">
            <w:pPr>
              <w:jc w:val="center"/>
              <w:rPr>
                <w:rFonts w:eastAsia="Times New Roman" w:cs="Arial"/>
              </w:rPr>
            </w:pPr>
            <w:r w:rsidRPr="00D254C3">
              <w:rPr>
                <w:rFonts w:eastAsia="Times New Roman" w:cs="Arial"/>
                <w:b/>
                <w:bCs/>
                <w:color w:val="000000" w:themeColor="text1"/>
                <w:kern w:val="24"/>
              </w:rPr>
              <w:t>Died</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0FC8" w:rsidRPr="00D254C3" w:rsidRDefault="00C20FC8" w:rsidP="007F65CE">
            <w:pPr>
              <w:jc w:val="center"/>
              <w:rPr>
                <w:rFonts w:eastAsia="Times New Roman" w:cs="Arial"/>
              </w:rPr>
            </w:pPr>
            <w:r w:rsidRPr="00D254C3">
              <w:rPr>
                <w:rFonts w:eastAsia="Times New Roman" w:cs="Arial"/>
                <w:b/>
                <w:bCs/>
                <w:color w:val="000000" w:themeColor="text1"/>
                <w:kern w:val="24"/>
              </w:rPr>
              <w:t>Survived</w:t>
            </w:r>
          </w:p>
        </w:tc>
      </w:tr>
      <w:tr w:rsidR="00C20FC8" w:rsidRPr="00D254C3" w:rsidTr="007F65CE">
        <w:trPr>
          <w:trHeight w:val="584"/>
        </w:trPr>
        <w:tc>
          <w:tcPr>
            <w:tcW w:w="1360" w:type="dxa"/>
            <w:vMerge w:val="restart"/>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rsidR="00C20FC8" w:rsidRPr="00D254C3" w:rsidRDefault="00C20FC8" w:rsidP="007F65CE">
            <w:pPr>
              <w:rPr>
                <w:rFonts w:eastAsia="Times New Roman" w:cs="Arial"/>
              </w:rPr>
            </w:pPr>
            <w:r>
              <w:rPr>
                <w:rFonts w:eastAsia="Times New Roman" w:cs="Arial"/>
                <w:b/>
                <w:bCs/>
                <w:color w:val="000000" w:themeColor="text1"/>
                <w:kern w:val="24"/>
              </w:rPr>
              <w:t xml:space="preserve">CDI </w:t>
            </w:r>
            <w:r w:rsidRPr="00D254C3">
              <w:rPr>
                <w:rFonts w:eastAsia="Times New Roman" w:cs="Arial"/>
                <w:b/>
                <w:bCs/>
                <w:color w:val="000000" w:themeColor="text1"/>
                <w:kern w:val="24"/>
              </w:rPr>
              <w:t>Case</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0FC8" w:rsidRPr="00D254C3" w:rsidRDefault="00C20FC8" w:rsidP="007F65CE">
            <w:pPr>
              <w:rPr>
                <w:rFonts w:eastAsia="Times New Roman" w:cs="Arial"/>
              </w:rPr>
            </w:pPr>
            <w:r w:rsidRPr="00D254C3">
              <w:rPr>
                <w:rFonts w:eastAsia="Times New Roman" w:cs="Arial"/>
                <w:b/>
                <w:bCs/>
                <w:color w:val="000000" w:themeColor="text1"/>
                <w:kern w:val="24"/>
              </w:rPr>
              <w:t>Died</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0FC8" w:rsidRPr="00D254C3" w:rsidRDefault="00C20FC8" w:rsidP="007F65CE">
            <w:pPr>
              <w:jc w:val="center"/>
              <w:rPr>
                <w:rFonts w:eastAsia="Times New Roman" w:cs="Arial"/>
              </w:rPr>
            </w:pPr>
            <w:r w:rsidRPr="00D254C3">
              <w:rPr>
                <w:rFonts w:eastAsia="Times New Roman" w:cs="Arial"/>
                <w:color w:val="000000" w:themeColor="text1"/>
                <w:kern w:val="24"/>
              </w:rPr>
              <w:t>135</w:t>
            </w:r>
            <w:r>
              <w:rPr>
                <w:rFonts w:eastAsia="Times New Roman" w:cs="Arial"/>
                <w:color w:val="000000" w:themeColor="text1"/>
                <w:kern w:val="24"/>
              </w:rPr>
              <w:t>51</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0FC8" w:rsidRPr="00D254C3" w:rsidRDefault="00C20FC8" w:rsidP="007F65CE">
            <w:pPr>
              <w:jc w:val="center"/>
              <w:rPr>
                <w:rFonts w:eastAsia="Times New Roman" w:cs="Arial"/>
              </w:rPr>
            </w:pPr>
            <w:r w:rsidRPr="00D254C3">
              <w:rPr>
                <w:rFonts w:eastAsia="Times New Roman" w:cs="Arial"/>
                <w:color w:val="000000" w:themeColor="text1"/>
                <w:kern w:val="24"/>
              </w:rPr>
              <w:t>32</w:t>
            </w:r>
            <w:r>
              <w:rPr>
                <w:rFonts w:eastAsia="Times New Roman" w:cs="Arial"/>
                <w:color w:val="000000" w:themeColor="text1"/>
                <w:kern w:val="24"/>
              </w:rPr>
              <w:t>130</w:t>
            </w:r>
          </w:p>
        </w:tc>
      </w:tr>
      <w:tr w:rsidR="00C20FC8" w:rsidRPr="00D254C3" w:rsidTr="007F65CE">
        <w:trPr>
          <w:trHeight w:val="584"/>
        </w:trPr>
        <w:tc>
          <w:tcPr>
            <w:tcW w:w="0" w:type="auto"/>
            <w:vMerge/>
            <w:tcBorders>
              <w:top w:val="nil"/>
              <w:left w:val="nil"/>
              <w:bottom w:val="nil"/>
              <w:right w:val="single" w:sz="8" w:space="0" w:color="000000"/>
            </w:tcBorders>
            <w:vAlign w:val="center"/>
            <w:hideMark/>
          </w:tcPr>
          <w:p w:rsidR="00C20FC8" w:rsidRPr="00D254C3" w:rsidRDefault="00C20FC8" w:rsidP="007F65CE">
            <w:pPr>
              <w:rPr>
                <w:rFonts w:eastAsia="Times New Roman" w:cs="Arial"/>
                <w:sz w:val="36"/>
                <w:szCs w:val="36"/>
              </w:rPr>
            </w:pP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0FC8" w:rsidRPr="00D254C3" w:rsidRDefault="00C20FC8" w:rsidP="007F65CE">
            <w:pPr>
              <w:rPr>
                <w:rFonts w:eastAsia="Times New Roman" w:cs="Arial"/>
              </w:rPr>
            </w:pPr>
            <w:r w:rsidRPr="00D254C3">
              <w:rPr>
                <w:rFonts w:eastAsia="Times New Roman" w:cs="Arial"/>
                <w:b/>
                <w:bCs/>
                <w:color w:val="000000" w:themeColor="text1"/>
                <w:kern w:val="24"/>
              </w:rPr>
              <w:t>Survived</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0FC8" w:rsidRPr="00D254C3" w:rsidRDefault="00C20FC8" w:rsidP="007F65CE">
            <w:pPr>
              <w:jc w:val="center"/>
              <w:rPr>
                <w:rFonts w:eastAsia="Times New Roman" w:cs="Arial"/>
              </w:rPr>
            </w:pPr>
            <w:r w:rsidRPr="00D254C3">
              <w:rPr>
                <w:rFonts w:eastAsia="Times New Roman" w:cs="Arial"/>
                <w:color w:val="000000" w:themeColor="text1"/>
                <w:kern w:val="24"/>
              </w:rPr>
              <w:t>18</w:t>
            </w:r>
            <w:r>
              <w:rPr>
                <w:rFonts w:eastAsia="Times New Roman" w:cs="Arial"/>
                <w:color w:val="000000" w:themeColor="text1"/>
                <w:kern w:val="24"/>
              </w:rPr>
              <w:t>125</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0FC8" w:rsidRPr="00D254C3" w:rsidRDefault="00C20FC8" w:rsidP="007F65CE">
            <w:pPr>
              <w:jc w:val="center"/>
              <w:rPr>
                <w:rFonts w:eastAsia="Times New Roman" w:cs="Arial"/>
              </w:rPr>
            </w:pPr>
            <w:r w:rsidRPr="00D254C3">
              <w:rPr>
                <w:rFonts w:eastAsia="Times New Roman" w:cs="Arial"/>
                <w:color w:val="000000" w:themeColor="text1"/>
                <w:kern w:val="24"/>
              </w:rPr>
              <w:t>64</w:t>
            </w:r>
            <w:r>
              <w:rPr>
                <w:rFonts w:eastAsia="Times New Roman" w:cs="Arial"/>
                <w:color w:val="000000" w:themeColor="text1"/>
                <w:kern w:val="24"/>
              </w:rPr>
              <w:t>600</w:t>
            </w:r>
          </w:p>
        </w:tc>
      </w:tr>
    </w:tbl>
    <w:p w:rsidR="00C20FC8" w:rsidRDefault="00C20FC8" w:rsidP="00C20FC8">
      <w:pPr>
        <w:tabs>
          <w:tab w:val="right" w:pos="540"/>
          <w:tab w:val="left" w:pos="720"/>
        </w:tabs>
        <w:rPr>
          <w:rFonts w:cs="Arial"/>
        </w:rPr>
      </w:pPr>
    </w:p>
    <w:p w:rsidR="00C20FC8" w:rsidRDefault="00C20FC8" w:rsidP="00C20FC8">
      <w:pPr>
        <w:tabs>
          <w:tab w:val="right" w:pos="540"/>
          <w:tab w:val="left" w:pos="720"/>
        </w:tabs>
        <w:rPr>
          <w:rFonts w:cs="Arial"/>
          <w:color w:val="000000" w:themeColor="text1"/>
        </w:rPr>
      </w:pPr>
    </w:p>
    <w:p w:rsidR="00C20FC8" w:rsidRDefault="00C20FC8" w:rsidP="00C20FC8">
      <w:pPr>
        <w:tabs>
          <w:tab w:val="right" w:pos="540"/>
          <w:tab w:val="left" w:pos="720"/>
        </w:tabs>
        <w:rPr>
          <w:rFonts w:cs="Arial"/>
          <w:color w:val="000000" w:themeColor="text1"/>
          <w:shd w:val="clear" w:color="auto" w:fill="FFFFFF"/>
        </w:rPr>
      </w:pPr>
      <w:r w:rsidRPr="00925359">
        <w:rPr>
          <w:rFonts w:cs="Arial"/>
          <w:color w:val="000000" w:themeColor="text1"/>
        </w:rPr>
        <w:t xml:space="preserve">OR = </w:t>
      </w:r>
      <w:r w:rsidRPr="00925359">
        <w:rPr>
          <w:rFonts w:cs="Arial"/>
          <w:color w:val="000000" w:themeColor="text1"/>
          <w:shd w:val="clear" w:color="auto" w:fill="FFFFFF"/>
        </w:rPr>
        <w:t>1.77 (CI: 1.74-1.81)</w:t>
      </w:r>
      <w:r>
        <w:rPr>
          <w:rFonts w:cs="Arial"/>
          <w:color w:val="000000" w:themeColor="text1"/>
          <w:shd w:val="clear" w:color="auto" w:fill="FFFFFF"/>
        </w:rPr>
        <w:t xml:space="preserve">, </w:t>
      </w:r>
      <w:r w:rsidRPr="00752C69">
        <w:rPr>
          <w:rFonts w:cs="Arial"/>
          <w:i/>
          <w:color w:val="000000" w:themeColor="text1"/>
          <w:shd w:val="clear" w:color="auto" w:fill="FFFFFF"/>
        </w:rPr>
        <w:t xml:space="preserve">p </w:t>
      </w:r>
      <w:r>
        <w:rPr>
          <w:rFonts w:cs="Arial"/>
          <w:color w:val="000000" w:themeColor="text1"/>
          <w:shd w:val="clear" w:color="auto" w:fill="FFFFFF"/>
        </w:rPr>
        <w:t>&lt; .001 (</w:t>
      </w:r>
      <w:proofErr w:type="spellStart"/>
      <w:r>
        <w:rPr>
          <w:rFonts w:cs="Arial"/>
          <w:color w:val="000000" w:themeColor="text1"/>
          <w:shd w:val="clear" w:color="auto" w:fill="FFFFFF"/>
        </w:rPr>
        <w:t>McNemar’s</w:t>
      </w:r>
      <w:proofErr w:type="spellEnd"/>
      <w:r>
        <w:rPr>
          <w:rFonts w:cs="Arial"/>
          <w:color w:val="000000" w:themeColor="text1"/>
          <w:shd w:val="clear" w:color="auto" w:fill="FFFFFF"/>
        </w:rPr>
        <w:t xml:space="preserve"> test). </w:t>
      </w:r>
    </w:p>
    <w:p w:rsidR="008623A7" w:rsidRDefault="00DB0919" w:rsidP="00C20FC8">
      <w:pPr>
        <w:tabs>
          <w:tab w:val="right" w:pos="540"/>
          <w:tab w:val="left" w:pos="720"/>
        </w:tabs>
        <w:rPr>
          <w:rFonts w:cs="Arial"/>
          <w:color w:val="000000" w:themeColor="text1"/>
          <w:shd w:val="clear" w:color="auto" w:fill="FFFFFF"/>
        </w:rPr>
      </w:pPr>
      <w:r>
        <w:rPr>
          <w:rFonts w:cs="Arial"/>
          <w:color w:val="000000" w:themeColor="text1"/>
          <w:shd w:val="clear" w:color="auto" w:fill="FFFFFF"/>
        </w:rPr>
        <w:t xml:space="preserve">One year risk difference in all-cause </w:t>
      </w:r>
      <w:r w:rsidR="008623A7">
        <w:rPr>
          <w:rFonts w:cs="Arial"/>
          <w:color w:val="000000" w:themeColor="text1"/>
          <w:shd w:val="clear" w:color="auto" w:fill="FFFFFF"/>
        </w:rPr>
        <w:t>mortality = 35.6% (CDI cases) – 24. 7% (controls) = 10.9%</w:t>
      </w:r>
    </w:p>
    <w:p w:rsidR="00C20FC8" w:rsidRDefault="00C20FC8" w:rsidP="00C20FC8">
      <w:pPr>
        <w:tabs>
          <w:tab w:val="right" w:pos="540"/>
          <w:tab w:val="left" w:pos="720"/>
        </w:tabs>
        <w:rPr>
          <w:rFonts w:cs="Arial"/>
        </w:rPr>
      </w:pPr>
    </w:p>
    <w:tbl>
      <w:tblPr>
        <w:tblW w:w="8240" w:type="dxa"/>
        <w:tblCellMar>
          <w:left w:w="0" w:type="dxa"/>
          <w:right w:w="0" w:type="dxa"/>
        </w:tblCellMar>
        <w:tblLook w:val="0420" w:firstRow="1" w:lastRow="0" w:firstColumn="0" w:lastColumn="0" w:noHBand="0" w:noVBand="1"/>
      </w:tblPr>
      <w:tblGrid>
        <w:gridCol w:w="1363"/>
        <w:gridCol w:w="2265"/>
        <w:gridCol w:w="2306"/>
        <w:gridCol w:w="2306"/>
      </w:tblGrid>
      <w:tr w:rsidR="00C20FC8" w:rsidRPr="00D254C3" w:rsidTr="007F65CE">
        <w:trPr>
          <w:trHeight w:val="584"/>
        </w:trPr>
        <w:tc>
          <w:tcPr>
            <w:tcW w:w="1360" w:type="dxa"/>
            <w:tcBorders>
              <w:top w:val="nil"/>
              <w:left w:val="nil"/>
              <w:bottom w:val="nil"/>
              <w:right w:val="nil"/>
            </w:tcBorders>
            <w:shd w:val="clear" w:color="auto" w:fill="auto"/>
            <w:tcMar>
              <w:top w:w="72" w:type="dxa"/>
              <w:left w:w="144" w:type="dxa"/>
              <w:bottom w:w="72" w:type="dxa"/>
              <w:right w:w="144" w:type="dxa"/>
            </w:tcMar>
            <w:hideMark/>
          </w:tcPr>
          <w:p w:rsidR="00C20FC8" w:rsidRPr="00D254C3" w:rsidRDefault="00C20FC8" w:rsidP="007F65CE">
            <w:pPr>
              <w:rPr>
                <w:rFonts w:eastAsia="Times New Roman" w:cs="Arial"/>
              </w:rPr>
            </w:pPr>
          </w:p>
        </w:tc>
        <w:tc>
          <w:tcPr>
            <w:tcW w:w="2260" w:type="dxa"/>
            <w:tcBorders>
              <w:top w:val="nil"/>
              <w:left w:val="nil"/>
              <w:bottom w:val="nil"/>
              <w:right w:val="nil"/>
            </w:tcBorders>
            <w:shd w:val="clear" w:color="auto" w:fill="auto"/>
            <w:tcMar>
              <w:top w:w="72" w:type="dxa"/>
              <w:left w:w="144" w:type="dxa"/>
              <w:bottom w:w="72" w:type="dxa"/>
              <w:right w:w="144" w:type="dxa"/>
            </w:tcMar>
            <w:hideMark/>
          </w:tcPr>
          <w:p w:rsidR="00C20FC8" w:rsidRPr="00327953" w:rsidRDefault="00C20FC8" w:rsidP="007F65CE">
            <w:pPr>
              <w:pStyle w:val="ListParagraph"/>
              <w:numPr>
                <w:ilvl w:val="0"/>
                <w:numId w:val="22"/>
              </w:numPr>
              <w:rPr>
                <w:rFonts w:cs="Arial"/>
              </w:rPr>
            </w:pPr>
          </w:p>
        </w:tc>
        <w:tc>
          <w:tcPr>
            <w:tcW w:w="4600" w:type="dxa"/>
            <w:gridSpan w:val="2"/>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rsidR="00C20FC8" w:rsidRPr="00D254C3" w:rsidRDefault="00C20FC8" w:rsidP="007F65CE">
            <w:pPr>
              <w:jc w:val="center"/>
              <w:rPr>
                <w:rFonts w:eastAsia="Times New Roman" w:cs="Arial"/>
              </w:rPr>
            </w:pPr>
            <w:r w:rsidRPr="00D254C3">
              <w:rPr>
                <w:rFonts w:eastAsia="Times New Roman" w:cs="Arial"/>
                <w:b/>
                <w:bCs/>
                <w:color w:val="000000" w:themeColor="text1"/>
                <w:kern w:val="24"/>
              </w:rPr>
              <w:t>Control</w:t>
            </w:r>
          </w:p>
        </w:tc>
      </w:tr>
      <w:tr w:rsidR="00C20FC8" w:rsidRPr="00D254C3" w:rsidTr="007F65CE">
        <w:trPr>
          <w:trHeight w:val="584"/>
        </w:trPr>
        <w:tc>
          <w:tcPr>
            <w:tcW w:w="1360" w:type="dxa"/>
            <w:tcBorders>
              <w:top w:val="nil"/>
              <w:left w:val="nil"/>
              <w:bottom w:val="nil"/>
              <w:right w:val="nil"/>
            </w:tcBorders>
            <w:shd w:val="clear" w:color="auto" w:fill="auto"/>
            <w:tcMar>
              <w:top w:w="72" w:type="dxa"/>
              <w:left w:w="144" w:type="dxa"/>
              <w:bottom w:w="72" w:type="dxa"/>
              <w:right w:w="144" w:type="dxa"/>
            </w:tcMar>
            <w:hideMark/>
          </w:tcPr>
          <w:p w:rsidR="00C20FC8" w:rsidRPr="00D254C3" w:rsidRDefault="00C20FC8" w:rsidP="007F65CE">
            <w:pPr>
              <w:rPr>
                <w:rFonts w:eastAsia="Times New Roman" w:cs="Arial"/>
              </w:rPr>
            </w:pPr>
          </w:p>
        </w:tc>
        <w:tc>
          <w:tcPr>
            <w:tcW w:w="2260"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rsidR="00C20FC8" w:rsidRPr="00D254C3" w:rsidRDefault="00C20FC8" w:rsidP="007F65CE">
            <w:pPr>
              <w:rPr>
                <w:rFonts w:eastAsia="Times New Roman" w:cs="Arial"/>
              </w:rPr>
            </w:pP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0FC8" w:rsidRPr="00D254C3" w:rsidRDefault="00C20FC8" w:rsidP="007F65CE">
            <w:pPr>
              <w:jc w:val="center"/>
              <w:rPr>
                <w:rFonts w:eastAsia="Times New Roman" w:cs="Arial"/>
              </w:rPr>
            </w:pPr>
            <w:r>
              <w:rPr>
                <w:rFonts w:eastAsia="Times New Roman" w:cs="Arial"/>
                <w:b/>
                <w:bCs/>
                <w:color w:val="000000" w:themeColor="text1"/>
                <w:kern w:val="24"/>
              </w:rPr>
              <w:t>New LTC</w:t>
            </w:r>
            <w:r w:rsidR="00AA63E4">
              <w:rPr>
                <w:rFonts w:eastAsia="Times New Roman" w:cs="Arial"/>
                <w:b/>
                <w:bCs/>
                <w:color w:val="000000" w:themeColor="text1"/>
                <w:kern w:val="24"/>
              </w:rPr>
              <w:t>F</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0FC8" w:rsidRPr="00D254C3" w:rsidRDefault="00C20FC8" w:rsidP="007F65CE">
            <w:pPr>
              <w:jc w:val="center"/>
              <w:rPr>
                <w:rFonts w:eastAsia="Times New Roman" w:cs="Arial"/>
              </w:rPr>
            </w:pPr>
            <w:r>
              <w:rPr>
                <w:rFonts w:eastAsia="Times New Roman" w:cs="Arial"/>
                <w:b/>
                <w:bCs/>
                <w:color w:val="000000" w:themeColor="text1"/>
                <w:kern w:val="24"/>
              </w:rPr>
              <w:t>No Entry into LTC</w:t>
            </w:r>
            <w:r w:rsidR="00AA63E4">
              <w:rPr>
                <w:rFonts w:eastAsia="Times New Roman" w:cs="Arial"/>
                <w:b/>
                <w:bCs/>
                <w:color w:val="000000" w:themeColor="text1"/>
                <w:kern w:val="24"/>
              </w:rPr>
              <w:t>F</w:t>
            </w:r>
          </w:p>
        </w:tc>
      </w:tr>
      <w:tr w:rsidR="00C20FC8" w:rsidRPr="00D254C3" w:rsidTr="00AA63E4">
        <w:trPr>
          <w:trHeight w:val="584"/>
        </w:trPr>
        <w:tc>
          <w:tcPr>
            <w:tcW w:w="1360" w:type="dxa"/>
            <w:vMerge w:val="restart"/>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rsidR="00C20FC8" w:rsidRPr="00D254C3" w:rsidRDefault="00C20FC8" w:rsidP="007F65CE">
            <w:pPr>
              <w:rPr>
                <w:rFonts w:eastAsia="Times New Roman" w:cs="Arial"/>
              </w:rPr>
            </w:pPr>
            <w:r>
              <w:rPr>
                <w:rFonts w:eastAsia="Times New Roman" w:cs="Arial"/>
                <w:b/>
                <w:bCs/>
                <w:color w:val="000000" w:themeColor="text1"/>
                <w:kern w:val="24"/>
              </w:rPr>
              <w:t xml:space="preserve">CDI </w:t>
            </w:r>
            <w:r w:rsidRPr="00D254C3">
              <w:rPr>
                <w:rFonts w:eastAsia="Times New Roman" w:cs="Arial"/>
                <w:b/>
                <w:bCs/>
                <w:color w:val="000000" w:themeColor="text1"/>
                <w:kern w:val="24"/>
              </w:rPr>
              <w:t>Case</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0FC8" w:rsidRPr="00D254C3" w:rsidRDefault="00C20FC8" w:rsidP="007F65CE">
            <w:pPr>
              <w:rPr>
                <w:rFonts w:eastAsia="Times New Roman" w:cs="Arial"/>
              </w:rPr>
            </w:pPr>
            <w:r>
              <w:rPr>
                <w:rFonts w:eastAsia="Times New Roman" w:cs="Arial"/>
                <w:b/>
                <w:bCs/>
                <w:color w:val="000000" w:themeColor="text1"/>
                <w:kern w:val="24"/>
              </w:rPr>
              <w:t>New LTC</w:t>
            </w:r>
            <w:r w:rsidR="00AA63E4">
              <w:rPr>
                <w:rFonts w:eastAsia="Times New Roman" w:cs="Arial"/>
                <w:b/>
                <w:bCs/>
                <w:color w:val="000000" w:themeColor="text1"/>
                <w:kern w:val="24"/>
              </w:rPr>
              <w:t>F</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20FC8" w:rsidRPr="00D254C3" w:rsidRDefault="0091639C" w:rsidP="007F65CE">
            <w:pPr>
              <w:jc w:val="center"/>
              <w:rPr>
                <w:rFonts w:eastAsia="Times New Roman" w:cs="Arial"/>
              </w:rPr>
            </w:pPr>
            <w:r>
              <w:rPr>
                <w:rFonts w:eastAsia="Times New Roman" w:cs="Arial"/>
              </w:rPr>
              <w:t>363</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20FC8" w:rsidRPr="00D254C3" w:rsidRDefault="0091639C" w:rsidP="007F65CE">
            <w:pPr>
              <w:jc w:val="center"/>
              <w:rPr>
                <w:rFonts w:eastAsia="Times New Roman" w:cs="Arial"/>
              </w:rPr>
            </w:pPr>
            <w:r>
              <w:rPr>
                <w:rFonts w:eastAsia="Times New Roman" w:cs="Arial"/>
              </w:rPr>
              <w:t>6,032</w:t>
            </w:r>
          </w:p>
        </w:tc>
      </w:tr>
      <w:tr w:rsidR="00C20FC8" w:rsidRPr="00D254C3" w:rsidTr="00AA63E4">
        <w:trPr>
          <w:trHeight w:val="584"/>
        </w:trPr>
        <w:tc>
          <w:tcPr>
            <w:tcW w:w="0" w:type="auto"/>
            <w:vMerge/>
            <w:tcBorders>
              <w:top w:val="nil"/>
              <w:left w:val="nil"/>
              <w:bottom w:val="nil"/>
              <w:right w:val="single" w:sz="8" w:space="0" w:color="000000"/>
            </w:tcBorders>
            <w:vAlign w:val="center"/>
            <w:hideMark/>
          </w:tcPr>
          <w:p w:rsidR="00C20FC8" w:rsidRPr="00D254C3" w:rsidRDefault="00C20FC8" w:rsidP="007F65CE">
            <w:pPr>
              <w:rPr>
                <w:rFonts w:eastAsia="Times New Roman" w:cs="Arial"/>
              </w:rPr>
            </w:pP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0FC8" w:rsidRPr="00D254C3" w:rsidRDefault="00C20FC8" w:rsidP="007F65CE">
            <w:pPr>
              <w:rPr>
                <w:rFonts w:eastAsia="Times New Roman" w:cs="Arial"/>
              </w:rPr>
            </w:pPr>
            <w:r w:rsidRPr="00D254C3">
              <w:rPr>
                <w:rFonts w:eastAsia="Times New Roman" w:cs="Arial"/>
                <w:b/>
                <w:bCs/>
                <w:color w:val="000000" w:themeColor="text1"/>
                <w:kern w:val="24"/>
              </w:rPr>
              <w:t>No</w:t>
            </w:r>
            <w:r>
              <w:rPr>
                <w:rFonts w:eastAsia="Times New Roman" w:cs="Arial"/>
                <w:b/>
                <w:bCs/>
                <w:color w:val="000000" w:themeColor="text1"/>
                <w:kern w:val="24"/>
              </w:rPr>
              <w:t xml:space="preserve"> Entry into LTC</w:t>
            </w:r>
            <w:r w:rsidR="00AA63E4">
              <w:rPr>
                <w:rFonts w:eastAsia="Times New Roman" w:cs="Arial"/>
                <w:b/>
                <w:bCs/>
                <w:color w:val="000000" w:themeColor="text1"/>
                <w:kern w:val="24"/>
              </w:rPr>
              <w:t>F</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20FC8" w:rsidRPr="00D254C3" w:rsidRDefault="0091639C" w:rsidP="007F65CE">
            <w:pPr>
              <w:jc w:val="center"/>
              <w:rPr>
                <w:rFonts w:eastAsia="Times New Roman" w:cs="Arial"/>
              </w:rPr>
            </w:pPr>
            <w:r>
              <w:rPr>
                <w:rFonts w:eastAsia="Times New Roman" w:cs="Arial"/>
              </w:rPr>
              <w:t>3,464</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C20FC8" w:rsidRPr="00D254C3" w:rsidRDefault="0091639C" w:rsidP="007F65CE">
            <w:pPr>
              <w:jc w:val="center"/>
              <w:rPr>
                <w:rFonts w:eastAsia="Times New Roman" w:cs="Arial"/>
              </w:rPr>
            </w:pPr>
            <w:r>
              <w:rPr>
                <w:rFonts w:eastAsia="Times New Roman" w:cs="Arial"/>
              </w:rPr>
              <w:t>85,959</w:t>
            </w:r>
          </w:p>
        </w:tc>
      </w:tr>
    </w:tbl>
    <w:p w:rsidR="00C20FC8" w:rsidRDefault="00C20FC8" w:rsidP="00C20FC8">
      <w:pPr>
        <w:tabs>
          <w:tab w:val="right" w:pos="540"/>
          <w:tab w:val="left" w:pos="720"/>
        </w:tabs>
        <w:rPr>
          <w:rFonts w:cs="Arial"/>
        </w:rPr>
      </w:pPr>
    </w:p>
    <w:p w:rsidR="00C20FC8" w:rsidRDefault="00C20FC8" w:rsidP="00C20FC8">
      <w:pPr>
        <w:tabs>
          <w:tab w:val="right" w:pos="540"/>
          <w:tab w:val="left" w:pos="720"/>
        </w:tabs>
        <w:rPr>
          <w:rFonts w:cs="Arial"/>
          <w:color w:val="000000" w:themeColor="text1"/>
        </w:rPr>
      </w:pPr>
    </w:p>
    <w:p w:rsidR="00C20FC8" w:rsidRDefault="00C20FC8" w:rsidP="00C20FC8">
      <w:pPr>
        <w:tabs>
          <w:tab w:val="right" w:pos="540"/>
          <w:tab w:val="left" w:pos="720"/>
        </w:tabs>
        <w:rPr>
          <w:rFonts w:cs="Arial"/>
          <w:color w:val="000000" w:themeColor="text1"/>
          <w:shd w:val="clear" w:color="auto" w:fill="FFFFFF"/>
        </w:rPr>
      </w:pPr>
      <w:r w:rsidRPr="00925359">
        <w:rPr>
          <w:rFonts w:cs="Arial"/>
          <w:color w:val="000000" w:themeColor="text1"/>
        </w:rPr>
        <w:t xml:space="preserve">OR = </w:t>
      </w:r>
      <w:r w:rsidRPr="00925359">
        <w:rPr>
          <w:rFonts w:cs="Arial"/>
          <w:color w:val="000000" w:themeColor="text1"/>
          <w:shd w:val="clear" w:color="auto" w:fill="FFFFFF"/>
        </w:rPr>
        <w:t>1.7</w:t>
      </w:r>
      <w:r>
        <w:rPr>
          <w:rFonts w:cs="Arial"/>
          <w:color w:val="000000" w:themeColor="text1"/>
          <w:shd w:val="clear" w:color="auto" w:fill="FFFFFF"/>
        </w:rPr>
        <w:t>4</w:t>
      </w:r>
      <w:r w:rsidRPr="00925359">
        <w:rPr>
          <w:rFonts w:cs="Arial"/>
          <w:color w:val="000000" w:themeColor="text1"/>
          <w:shd w:val="clear" w:color="auto" w:fill="FFFFFF"/>
        </w:rPr>
        <w:t xml:space="preserve"> (CI: 1.</w:t>
      </w:r>
      <w:r>
        <w:rPr>
          <w:rFonts w:cs="Arial"/>
          <w:color w:val="000000" w:themeColor="text1"/>
          <w:shd w:val="clear" w:color="auto" w:fill="FFFFFF"/>
        </w:rPr>
        <w:t>6</w:t>
      </w:r>
      <w:r w:rsidRPr="00925359">
        <w:rPr>
          <w:rFonts w:cs="Arial"/>
          <w:color w:val="000000" w:themeColor="text1"/>
          <w:shd w:val="clear" w:color="auto" w:fill="FFFFFF"/>
        </w:rPr>
        <w:t>7-1.8</w:t>
      </w:r>
      <w:r>
        <w:rPr>
          <w:rFonts w:cs="Arial"/>
          <w:color w:val="000000" w:themeColor="text1"/>
          <w:shd w:val="clear" w:color="auto" w:fill="FFFFFF"/>
        </w:rPr>
        <w:t>2</w:t>
      </w:r>
      <w:r w:rsidRPr="00925359">
        <w:rPr>
          <w:rFonts w:cs="Arial"/>
          <w:color w:val="000000" w:themeColor="text1"/>
          <w:shd w:val="clear" w:color="auto" w:fill="FFFFFF"/>
        </w:rPr>
        <w:t>)</w:t>
      </w:r>
      <w:r>
        <w:rPr>
          <w:rFonts w:cs="Arial"/>
          <w:color w:val="000000" w:themeColor="text1"/>
          <w:shd w:val="clear" w:color="auto" w:fill="FFFFFF"/>
        </w:rPr>
        <w:t xml:space="preserve">, </w:t>
      </w:r>
      <w:r w:rsidRPr="00752C69">
        <w:rPr>
          <w:rFonts w:cs="Arial"/>
          <w:i/>
          <w:color w:val="000000" w:themeColor="text1"/>
          <w:shd w:val="clear" w:color="auto" w:fill="FFFFFF"/>
        </w:rPr>
        <w:t>p</w:t>
      </w:r>
      <w:r>
        <w:rPr>
          <w:rFonts w:cs="Arial"/>
          <w:color w:val="000000" w:themeColor="text1"/>
          <w:shd w:val="clear" w:color="auto" w:fill="FFFFFF"/>
        </w:rPr>
        <w:t xml:space="preserve"> &lt; .001 (</w:t>
      </w:r>
      <w:proofErr w:type="spellStart"/>
      <w:r>
        <w:rPr>
          <w:rFonts w:cs="Arial"/>
          <w:color w:val="000000" w:themeColor="text1"/>
          <w:shd w:val="clear" w:color="auto" w:fill="FFFFFF"/>
        </w:rPr>
        <w:t>McNemar’s</w:t>
      </w:r>
      <w:proofErr w:type="spellEnd"/>
      <w:r>
        <w:rPr>
          <w:rFonts w:cs="Arial"/>
          <w:color w:val="000000" w:themeColor="text1"/>
          <w:shd w:val="clear" w:color="auto" w:fill="FFFFFF"/>
        </w:rPr>
        <w:t xml:space="preserve"> test)</w:t>
      </w:r>
    </w:p>
    <w:p w:rsidR="00B77AA7" w:rsidRPr="00925359" w:rsidRDefault="00DB0919" w:rsidP="00DB0919">
      <w:pPr>
        <w:tabs>
          <w:tab w:val="right" w:pos="540"/>
          <w:tab w:val="left" w:pos="720"/>
        </w:tabs>
        <w:rPr>
          <w:rFonts w:cs="Arial"/>
          <w:color w:val="000000" w:themeColor="text1"/>
          <w:shd w:val="clear" w:color="auto" w:fill="FFFFFF"/>
        </w:rPr>
      </w:pPr>
      <w:r>
        <w:rPr>
          <w:rFonts w:cs="Arial"/>
          <w:color w:val="000000" w:themeColor="text1"/>
          <w:shd w:val="clear" w:color="auto" w:fill="FFFFFF"/>
        </w:rPr>
        <w:t>One year risk difference in n</w:t>
      </w:r>
      <w:r w:rsidR="00B77AA7">
        <w:rPr>
          <w:rFonts w:cs="Arial"/>
          <w:color w:val="000000" w:themeColor="text1"/>
          <w:shd w:val="clear" w:color="auto" w:fill="FFFFFF"/>
        </w:rPr>
        <w:t>ew transfer to a LTCF = 6.7% (CDI cases) – 4.0% (controls) = 2.7%</w:t>
      </w:r>
    </w:p>
    <w:p w:rsidR="00C20FC8" w:rsidRDefault="00C20FC8" w:rsidP="00C20FC8">
      <w:pPr>
        <w:tabs>
          <w:tab w:val="right" w:pos="540"/>
          <w:tab w:val="left" w:pos="720"/>
        </w:tabs>
        <w:rPr>
          <w:rFonts w:cs="Arial"/>
        </w:rPr>
      </w:pPr>
    </w:p>
    <w:p w:rsidR="00C20FC8" w:rsidRDefault="00C20FC8" w:rsidP="00C20FC8">
      <w:pPr>
        <w:tabs>
          <w:tab w:val="right" w:pos="540"/>
          <w:tab w:val="left" w:pos="720"/>
        </w:tabs>
        <w:rPr>
          <w:rFonts w:cs="Arial"/>
        </w:rPr>
      </w:pPr>
    </w:p>
    <w:tbl>
      <w:tblPr>
        <w:tblW w:w="8240" w:type="dxa"/>
        <w:tblCellMar>
          <w:left w:w="0" w:type="dxa"/>
          <w:right w:w="0" w:type="dxa"/>
        </w:tblCellMar>
        <w:tblLook w:val="0420" w:firstRow="1" w:lastRow="0" w:firstColumn="0" w:lastColumn="0" w:noHBand="0" w:noVBand="1"/>
      </w:tblPr>
      <w:tblGrid>
        <w:gridCol w:w="1363"/>
        <w:gridCol w:w="2265"/>
        <w:gridCol w:w="2306"/>
        <w:gridCol w:w="2306"/>
      </w:tblGrid>
      <w:tr w:rsidR="00C20FC8" w:rsidRPr="00D254C3" w:rsidTr="007F65CE">
        <w:trPr>
          <w:trHeight w:val="584"/>
        </w:trPr>
        <w:tc>
          <w:tcPr>
            <w:tcW w:w="1363" w:type="dxa"/>
            <w:tcBorders>
              <w:top w:val="nil"/>
              <w:left w:val="nil"/>
              <w:bottom w:val="nil"/>
              <w:right w:val="nil"/>
            </w:tcBorders>
            <w:shd w:val="clear" w:color="auto" w:fill="auto"/>
            <w:tcMar>
              <w:top w:w="72" w:type="dxa"/>
              <w:left w:w="144" w:type="dxa"/>
              <w:bottom w:w="72" w:type="dxa"/>
              <w:right w:w="144" w:type="dxa"/>
            </w:tcMar>
            <w:hideMark/>
          </w:tcPr>
          <w:p w:rsidR="00C20FC8" w:rsidRPr="00D254C3" w:rsidRDefault="00C20FC8" w:rsidP="007F65CE">
            <w:pPr>
              <w:rPr>
                <w:rFonts w:eastAsia="Times New Roman" w:cs="Arial"/>
              </w:rPr>
            </w:pPr>
          </w:p>
        </w:tc>
        <w:tc>
          <w:tcPr>
            <w:tcW w:w="2265" w:type="dxa"/>
            <w:tcBorders>
              <w:top w:val="nil"/>
              <w:left w:val="nil"/>
              <w:bottom w:val="nil"/>
              <w:right w:val="nil"/>
            </w:tcBorders>
            <w:shd w:val="clear" w:color="auto" w:fill="auto"/>
            <w:tcMar>
              <w:top w:w="72" w:type="dxa"/>
              <w:left w:w="144" w:type="dxa"/>
              <w:bottom w:w="72" w:type="dxa"/>
              <w:right w:w="144" w:type="dxa"/>
            </w:tcMar>
            <w:hideMark/>
          </w:tcPr>
          <w:p w:rsidR="00C20FC8" w:rsidRPr="00327953" w:rsidRDefault="00C20FC8" w:rsidP="007F65CE">
            <w:pPr>
              <w:pStyle w:val="ListParagraph"/>
              <w:numPr>
                <w:ilvl w:val="0"/>
                <w:numId w:val="22"/>
              </w:numPr>
              <w:rPr>
                <w:rFonts w:cs="Arial"/>
              </w:rPr>
            </w:pPr>
          </w:p>
        </w:tc>
        <w:tc>
          <w:tcPr>
            <w:tcW w:w="4612" w:type="dxa"/>
            <w:gridSpan w:val="2"/>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rsidR="00C20FC8" w:rsidRPr="00D254C3" w:rsidRDefault="00C20FC8" w:rsidP="007F65CE">
            <w:pPr>
              <w:jc w:val="center"/>
              <w:rPr>
                <w:rFonts w:eastAsia="Times New Roman" w:cs="Arial"/>
              </w:rPr>
            </w:pPr>
            <w:r w:rsidRPr="00D254C3">
              <w:rPr>
                <w:rFonts w:eastAsia="Times New Roman" w:cs="Arial"/>
                <w:b/>
                <w:bCs/>
                <w:color w:val="000000" w:themeColor="text1"/>
                <w:kern w:val="24"/>
              </w:rPr>
              <w:t>Control</w:t>
            </w:r>
          </w:p>
        </w:tc>
      </w:tr>
      <w:tr w:rsidR="00C20FC8" w:rsidRPr="00D254C3" w:rsidTr="007F65CE">
        <w:trPr>
          <w:trHeight w:val="584"/>
        </w:trPr>
        <w:tc>
          <w:tcPr>
            <w:tcW w:w="1363" w:type="dxa"/>
            <w:tcBorders>
              <w:top w:val="nil"/>
              <w:left w:val="nil"/>
              <w:bottom w:val="nil"/>
              <w:right w:val="nil"/>
            </w:tcBorders>
            <w:shd w:val="clear" w:color="auto" w:fill="auto"/>
            <w:tcMar>
              <w:top w:w="72" w:type="dxa"/>
              <w:left w:w="144" w:type="dxa"/>
              <w:bottom w:w="72" w:type="dxa"/>
              <w:right w:w="144" w:type="dxa"/>
            </w:tcMar>
            <w:hideMark/>
          </w:tcPr>
          <w:p w:rsidR="00C20FC8" w:rsidRPr="00D254C3" w:rsidRDefault="00C20FC8" w:rsidP="007F65CE">
            <w:pPr>
              <w:rPr>
                <w:rFonts w:eastAsia="Times New Roman" w:cs="Arial"/>
              </w:rPr>
            </w:pPr>
          </w:p>
        </w:tc>
        <w:tc>
          <w:tcPr>
            <w:tcW w:w="2265"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rsidR="00C20FC8" w:rsidRPr="00D254C3" w:rsidRDefault="00C20FC8" w:rsidP="007F65CE">
            <w:pPr>
              <w:rPr>
                <w:rFonts w:eastAsia="Times New Roman" w:cs="Arial"/>
              </w:rPr>
            </w:pP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0FC8" w:rsidRPr="00D254C3" w:rsidRDefault="00C20FC8" w:rsidP="007F65CE">
            <w:pPr>
              <w:jc w:val="center"/>
              <w:rPr>
                <w:rFonts w:eastAsia="Times New Roman" w:cs="Arial"/>
              </w:rPr>
            </w:pPr>
            <w:r>
              <w:rPr>
                <w:rFonts w:eastAsia="Times New Roman" w:cs="Arial"/>
                <w:b/>
                <w:bCs/>
                <w:color w:val="000000" w:themeColor="text1"/>
                <w:kern w:val="24"/>
              </w:rPr>
              <w:t>SNF</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0FC8" w:rsidRPr="00D254C3" w:rsidRDefault="00C20FC8" w:rsidP="007F65CE">
            <w:pPr>
              <w:jc w:val="center"/>
              <w:rPr>
                <w:rFonts w:eastAsia="Times New Roman" w:cs="Arial"/>
              </w:rPr>
            </w:pPr>
            <w:r w:rsidRPr="00D254C3">
              <w:rPr>
                <w:rFonts w:eastAsia="Times New Roman" w:cs="Arial"/>
                <w:b/>
                <w:bCs/>
                <w:color w:val="000000" w:themeColor="text1"/>
                <w:kern w:val="24"/>
              </w:rPr>
              <w:t xml:space="preserve">Not </w:t>
            </w:r>
            <w:r>
              <w:rPr>
                <w:rFonts w:eastAsia="Times New Roman" w:cs="Arial"/>
                <w:b/>
                <w:bCs/>
                <w:color w:val="000000" w:themeColor="text1"/>
                <w:kern w:val="24"/>
              </w:rPr>
              <w:t>SNF</w:t>
            </w:r>
          </w:p>
        </w:tc>
      </w:tr>
      <w:tr w:rsidR="00C20FC8" w:rsidRPr="0053749F" w:rsidTr="007F65CE">
        <w:trPr>
          <w:trHeight w:val="584"/>
        </w:trPr>
        <w:tc>
          <w:tcPr>
            <w:tcW w:w="1363" w:type="dxa"/>
            <w:vMerge w:val="restart"/>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rsidR="00C20FC8" w:rsidRPr="0053749F" w:rsidRDefault="00C20FC8" w:rsidP="007F65CE">
            <w:pPr>
              <w:rPr>
                <w:rFonts w:eastAsia="Times New Roman" w:cs="Arial"/>
              </w:rPr>
            </w:pPr>
            <w:r w:rsidRPr="0053749F">
              <w:rPr>
                <w:rFonts w:eastAsia="Times New Roman" w:cs="Arial"/>
                <w:b/>
                <w:bCs/>
                <w:color w:val="000000" w:themeColor="text1"/>
                <w:kern w:val="24"/>
              </w:rPr>
              <w:t>Case</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0FC8" w:rsidRPr="0053749F" w:rsidRDefault="00C20FC8" w:rsidP="007F65CE">
            <w:pPr>
              <w:rPr>
                <w:rFonts w:eastAsia="Times New Roman" w:cs="Arial"/>
              </w:rPr>
            </w:pPr>
            <w:r w:rsidRPr="0053749F">
              <w:rPr>
                <w:rFonts w:eastAsia="Times New Roman" w:cs="Arial"/>
                <w:b/>
                <w:bCs/>
                <w:color w:val="000000" w:themeColor="text1"/>
                <w:kern w:val="24"/>
              </w:rPr>
              <w:t>SNF</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0FC8" w:rsidRPr="0053749F" w:rsidRDefault="009307C3" w:rsidP="007F65CE">
            <w:pPr>
              <w:jc w:val="center"/>
              <w:rPr>
                <w:rFonts w:eastAsia="Times New Roman" w:cs="Arial"/>
              </w:rPr>
            </w:pPr>
            <w:r w:rsidRPr="0053749F">
              <w:rPr>
                <w:rFonts w:eastAsia="Times New Roman" w:cs="Arial"/>
                <w:color w:val="000000" w:themeColor="text1"/>
                <w:kern w:val="24"/>
              </w:rPr>
              <w:t>7,263</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0FC8" w:rsidRPr="0053749F" w:rsidRDefault="009307C3" w:rsidP="0091639C">
            <w:pPr>
              <w:jc w:val="center"/>
              <w:rPr>
                <w:rFonts w:eastAsia="Times New Roman" w:cs="Arial"/>
              </w:rPr>
            </w:pPr>
            <w:r w:rsidRPr="0053749F">
              <w:rPr>
                <w:rFonts w:eastAsia="Times New Roman" w:cs="Arial"/>
                <w:color w:val="000000" w:themeColor="text1"/>
                <w:kern w:val="24"/>
              </w:rPr>
              <w:t>27,410</w:t>
            </w:r>
          </w:p>
        </w:tc>
      </w:tr>
      <w:tr w:rsidR="00C20FC8" w:rsidRPr="0053749F" w:rsidTr="007F65CE">
        <w:trPr>
          <w:trHeight w:val="584"/>
        </w:trPr>
        <w:tc>
          <w:tcPr>
            <w:tcW w:w="0" w:type="auto"/>
            <w:vMerge/>
            <w:tcBorders>
              <w:top w:val="nil"/>
              <w:left w:val="nil"/>
              <w:bottom w:val="nil"/>
              <w:right w:val="single" w:sz="8" w:space="0" w:color="000000"/>
            </w:tcBorders>
            <w:vAlign w:val="center"/>
            <w:hideMark/>
          </w:tcPr>
          <w:p w:rsidR="00C20FC8" w:rsidRPr="0053749F" w:rsidRDefault="00C20FC8" w:rsidP="007F65CE">
            <w:pPr>
              <w:rPr>
                <w:rFonts w:eastAsia="Times New Roman" w:cs="Arial"/>
              </w:rPr>
            </w:pP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0FC8" w:rsidRPr="0053749F" w:rsidRDefault="00C20FC8" w:rsidP="007F65CE">
            <w:pPr>
              <w:rPr>
                <w:rFonts w:eastAsia="Times New Roman" w:cs="Arial"/>
              </w:rPr>
            </w:pPr>
            <w:r w:rsidRPr="0053749F">
              <w:rPr>
                <w:rFonts w:eastAsia="Times New Roman" w:cs="Arial"/>
                <w:b/>
                <w:bCs/>
                <w:color w:val="000000" w:themeColor="text1"/>
                <w:kern w:val="24"/>
              </w:rPr>
              <w:t>Not SNF</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0FC8" w:rsidRPr="0053749F" w:rsidRDefault="009307C3" w:rsidP="007F65CE">
            <w:pPr>
              <w:jc w:val="center"/>
              <w:rPr>
                <w:rFonts w:eastAsia="Times New Roman" w:cs="Arial"/>
              </w:rPr>
            </w:pPr>
            <w:r w:rsidRPr="0053749F">
              <w:rPr>
                <w:rFonts w:eastAsia="Times New Roman" w:cs="Arial"/>
                <w:color w:val="000000" w:themeColor="text1"/>
                <w:kern w:val="24"/>
              </w:rPr>
              <w:t>10,880</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C20FC8" w:rsidRPr="0053749F" w:rsidRDefault="0091639C" w:rsidP="009307C3">
            <w:pPr>
              <w:jc w:val="center"/>
              <w:rPr>
                <w:rFonts w:eastAsia="Times New Roman" w:cs="Arial"/>
              </w:rPr>
            </w:pPr>
            <w:r w:rsidRPr="0053749F">
              <w:rPr>
                <w:rFonts w:eastAsia="Times New Roman" w:cs="Arial"/>
                <w:color w:val="000000" w:themeColor="text1"/>
                <w:kern w:val="24"/>
              </w:rPr>
              <w:t>5</w:t>
            </w:r>
            <w:r w:rsidR="009307C3" w:rsidRPr="0053749F">
              <w:rPr>
                <w:rFonts w:eastAsia="Times New Roman" w:cs="Arial"/>
                <w:color w:val="000000" w:themeColor="text1"/>
                <w:kern w:val="24"/>
              </w:rPr>
              <w:t>9</w:t>
            </w:r>
            <w:r w:rsidRPr="0053749F">
              <w:rPr>
                <w:rFonts w:eastAsia="Times New Roman" w:cs="Arial"/>
                <w:color w:val="000000" w:themeColor="text1"/>
                <w:kern w:val="24"/>
              </w:rPr>
              <w:t>,</w:t>
            </w:r>
            <w:r w:rsidR="009307C3" w:rsidRPr="0053749F">
              <w:rPr>
                <w:rFonts w:eastAsia="Times New Roman" w:cs="Arial"/>
                <w:color w:val="000000" w:themeColor="text1"/>
                <w:kern w:val="24"/>
              </w:rPr>
              <w:t>328</w:t>
            </w:r>
          </w:p>
        </w:tc>
      </w:tr>
    </w:tbl>
    <w:p w:rsidR="00C20FC8" w:rsidRPr="0053749F" w:rsidRDefault="00C20FC8" w:rsidP="00C20FC8">
      <w:pPr>
        <w:tabs>
          <w:tab w:val="right" w:pos="540"/>
          <w:tab w:val="left" w:pos="720"/>
        </w:tabs>
        <w:rPr>
          <w:rFonts w:cs="Arial"/>
        </w:rPr>
      </w:pPr>
    </w:p>
    <w:p w:rsidR="00C20FC8" w:rsidRPr="0053749F" w:rsidRDefault="00C20FC8" w:rsidP="009307C3">
      <w:pPr>
        <w:tabs>
          <w:tab w:val="right" w:pos="540"/>
          <w:tab w:val="left" w:pos="720"/>
        </w:tabs>
        <w:rPr>
          <w:rFonts w:cs="Arial"/>
          <w:color w:val="000000" w:themeColor="text1"/>
          <w:shd w:val="clear" w:color="auto" w:fill="FFFFFF"/>
        </w:rPr>
      </w:pPr>
      <w:r w:rsidRPr="0053749F">
        <w:rPr>
          <w:rFonts w:cs="Arial"/>
        </w:rPr>
        <w:t xml:space="preserve">OR = </w:t>
      </w:r>
      <w:r w:rsidRPr="0053749F">
        <w:rPr>
          <w:rFonts w:cs="Arial"/>
          <w:color w:val="000000" w:themeColor="text1"/>
          <w:shd w:val="clear" w:color="auto" w:fill="FFFFFF"/>
        </w:rPr>
        <w:t>2.</w:t>
      </w:r>
      <w:r w:rsidR="009307C3" w:rsidRPr="0053749F">
        <w:rPr>
          <w:rFonts w:cs="Arial"/>
          <w:color w:val="000000" w:themeColor="text1"/>
          <w:shd w:val="clear" w:color="auto" w:fill="FFFFFF"/>
        </w:rPr>
        <w:t>52</w:t>
      </w:r>
      <w:r w:rsidRPr="0053749F">
        <w:rPr>
          <w:rFonts w:cs="Arial"/>
          <w:color w:val="000000" w:themeColor="text1"/>
          <w:shd w:val="clear" w:color="auto" w:fill="FFFFFF"/>
        </w:rPr>
        <w:t xml:space="preserve"> (CI: 2.</w:t>
      </w:r>
      <w:r w:rsidR="009307C3" w:rsidRPr="0053749F">
        <w:rPr>
          <w:rFonts w:cs="Arial"/>
          <w:color w:val="000000" w:themeColor="text1"/>
          <w:shd w:val="clear" w:color="auto" w:fill="FFFFFF"/>
        </w:rPr>
        <w:t>46</w:t>
      </w:r>
      <w:r w:rsidRPr="0053749F">
        <w:rPr>
          <w:rFonts w:cs="Arial"/>
          <w:color w:val="000000" w:themeColor="text1"/>
          <w:shd w:val="clear" w:color="auto" w:fill="FFFFFF"/>
        </w:rPr>
        <w:t>-2.</w:t>
      </w:r>
      <w:r w:rsidR="009307C3" w:rsidRPr="0053749F">
        <w:rPr>
          <w:rFonts w:cs="Arial"/>
          <w:color w:val="000000" w:themeColor="text1"/>
          <w:shd w:val="clear" w:color="auto" w:fill="FFFFFF"/>
        </w:rPr>
        <w:t>58</w:t>
      </w:r>
      <w:r w:rsidRPr="0053749F">
        <w:rPr>
          <w:rFonts w:cs="Arial"/>
          <w:color w:val="000000" w:themeColor="text1"/>
          <w:shd w:val="clear" w:color="auto" w:fill="FFFFFF"/>
        </w:rPr>
        <w:t xml:space="preserve">), </w:t>
      </w:r>
      <w:r w:rsidRPr="0053749F">
        <w:rPr>
          <w:rFonts w:cs="Arial"/>
          <w:i/>
          <w:color w:val="000000" w:themeColor="text1"/>
          <w:shd w:val="clear" w:color="auto" w:fill="FFFFFF"/>
        </w:rPr>
        <w:t>p</w:t>
      </w:r>
      <w:r w:rsidRPr="0053749F">
        <w:rPr>
          <w:rFonts w:cs="Arial"/>
          <w:color w:val="000000" w:themeColor="text1"/>
          <w:shd w:val="clear" w:color="auto" w:fill="FFFFFF"/>
        </w:rPr>
        <w:t xml:space="preserve"> &lt; .001 (</w:t>
      </w:r>
      <w:proofErr w:type="spellStart"/>
      <w:r w:rsidRPr="0053749F">
        <w:rPr>
          <w:rFonts w:cs="Arial"/>
          <w:color w:val="000000" w:themeColor="text1"/>
          <w:shd w:val="clear" w:color="auto" w:fill="FFFFFF"/>
        </w:rPr>
        <w:t>McNemar’s</w:t>
      </w:r>
      <w:proofErr w:type="spellEnd"/>
      <w:r w:rsidRPr="0053749F">
        <w:rPr>
          <w:rFonts w:cs="Arial"/>
          <w:color w:val="000000" w:themeColor="text1"/>
          <w:shd w:val="clear" w:color="auto" w:fill="FFFFFF"/>
        </w:rPr>
        <w:t xml:space="preserve"> test)</w:t>
      </w:r>
    </w:p>
    <w:p w:rsidR="008E4418" w:rsidRPr="00925359" w:rsidRDefault="00DB0919" w:rsidP="009307C3">
      <w:pPr>
        <w:tabs>
          <w:tab w:val="right" w:pos="540"/>
          <w:tab w:val="left" w:pos="720"/>
        </w:tabs>
        <w:rPr>
          <w:rFonts w:cs="Arial"/>
          <w:color w:val="000000" w:themeColor="text1"/>
          <w:shd w:val="clear" w:color="auto" w:fill="FFFFFF"/>
        </w:rPr>
      </w:pPr>
      <w:r w:rsidRPr="0053749F">
        <w:rPr>
          <w:rFonts w:cs="Arial"/>
          <w:color w:val="000000" w:themeColor="text1"/>
          <w:shd w:val="clear" w:color="auto" w:fill="FFFFFF"/>
        </w:rPr>
        <w:t xml:space="preserve">One year risk difference in new transfer to </w:t>
      </w:r>
      <w:r w:rsidR="008E4418" w:rsidRPr="0053749F">
        <w:rPr>
          <w:rFonts w:cs="Arial"/>
          <w:color w:val="000000" w:themeColor="text1"/>
          <w:shd w:val="clear" w:color="auto" w:fill="FFFFFF"/>
        </w:rPr>
        <w:t>a short-term SNF = 3</w:t>
      </w:r>
      <w:r w:rsidR="009307C3" w:rsidRPr="0053749F">
        <w:rPr>
          <w:rFonts w:cs="Arial"/>
          <w:color w:val="000000" w:themeColor="text1"/>
          <w:shd w:val="clear" w:color="auto" w:fill="FFFFFF"/>
        </w:rPr>
        <w:t>3</w:t>
      </w:r>
      <w:r w:rsidR="008E4418" w:rsidRPr="0053749F">
        <w:rPr>
          <w:rFonts w:cs="Arial"/>
          <w:color w:val="000000" w:themeColor="text1"/>
          <w:shd w:val="clear" w:color="auto" w:fill="FFFFFF"/>
        </w:rPr>
        <w:t>.</w:t>
      </w:r>
      <w:r w:rsidR="009307C3" w:rsidRPr="0053749F">
        <w:rPr>
          <w:rFonts w:cs="Arial"/>
          <w:color w:val="000000" w:themeColor="text1"/>
          <w:shd w:val="clear" w:color="auto" w:fill="FFFFFF"/>
        </w:rPr>
        <w:t>1</w:t>
      </w:r>
      <w:r w:rsidR="008E4418" w:rsidRPr="0053749F">
        <w:rPr>
          <w:rFonts w:cs="Arial"/>
          <w:color w:val="000000" w:themeColor="text1"/>
          <w:shd w:val="clear" w:color="auto" w:fill="FFFFFF"/>
        </w:rPr>
        <w:t>% (CDI cases) – 1</w:t>
      </w:r>
      <w:r w:rsidR="009307C3" w:rsidRPr="0053749F">
        <w:rPr>
          <w:rFonts w:cs="Arial"/>
          <w:color w:val="000000" w:themeColor="text1"/>
          <w:shd w:val="clear" w:color="auto" w:fill="FFFFFF"/>
        </w:rPr>
        <w:t>7</w:t>
      </w:r>
      <w:r w:rsidR="008E4418" w:rsidRPr="0053749F">
        <w:rPr>
          <w:rFonts w:cs="Arial"/>
          <w:color w:val="000000" w:themeColor="text1"/>
          <w:shd w:val="clear" w:color="auto" w:fill="FFFFFF"/>
        </w:rPr>
        <w:t>.</w:t>
      </w:r>
      <w:r w:rsidR="009307C3" w:rsidRPr="0053749F">
        <w:rPr>
          <w:rFonts w:cs="Arial"/>
          <w:color w:val="000000" w:themeColor="text1"/>
          <w:shd w:val="clear" w:color="auto" w:fill="FFFFFF"/>
        </w:rPr>
        <w:t>3</w:t>
      </w:r>
      <w:r w:rsidR="008E4418" w:rsidRPr="0053749F">
        <w:rPr>
          <w:rFonts w:cs="Arial"/>
          <w:color w:val="000000" w:themeColor="text1"/>
          <w:shd w:val="clear" w:color="auto" w:fill="FFFFFF"/>
        </w:rPr>
        <w:t>% (controls) = 1</w:t>
      </w:r>
      <w:r w:rsidR="009307C3" w:rsidRPr="0053749F">
        <w:rPr>
          <w:rFonts w:cs="Arial"/>
          <w:color w:val="000000" w:themeColor="text1"/>
          <w:shd w:val="clear" w:color="auto" w:fill="FFFFFF"/>
        </w:rPr>
        <w:t>5</w:t>
      </w:r>
      <w:r w:rsidR="008E4418" w:rsidRPr="0053749F">
        <w:rPr>
          <w:rFonts w:cs="Arial"/>
          <w:color w:val="000000" w:themeColor="text1"/>
          <w:shd w:val="clear" w:color="auto" w:fill="FFFFFF"/>
        </w:rPr>
        <w:t>.</w:t>
      </w:r>
      <w:r w:rsidR="009307C3" w:rsidRPr="0053749F">
        <w:rPr>
          <w:rFonts w:cs="Arial"/>
          <w:color w:val="000000" w:themeColor="text1"/>
          <w:shd w:val="clear" w:color="auto" w:fill="FFFFFF"/>
        </w:rPr>
        <w:t>8</w:t>
      </w:r>
      <w:r w:rsidR="008E4418" w:rsidRPr="0053749F">
        <w:rPr>
          <w:rFonts w:cs="Arial"/>
          <w:color w:val="000000" w:themeColor="text1"/>
          <w:shd w:val="clear" w:color="auto" w:fill="FFFFFF"/>
        </w:rPr>
        <w:t>%</w:t>
      </w:r>
      <w:bookmarkStart w:id="0" w:name="_GoBack"/>
      <w:bookmarkEnd w:id="0"/>
    </w:p>
    <w:p w:rsidR="00C20FC8" w:rsidRDefault="00C20FC8" w:rsidP="00C20FC8">
      <w:pPr>
        <w:rPr>
          <w:rFonts w:cs="Arial"/>
          <w:color w:val="000000" w:themeColor="text1"/>
          <w:shd w:val="clear" w:color="auto" w:fill="FFFFFF"/>
        </w:rPr>
      </w:pPr>
      <w:r>
        <w:rPr>
          <w:rFonts w:cs="Arial"/>
          <w:color w:val="000000" w:themeColor="text1"/>
          <w:shd w:val="clear" w:color="auto" w:fill="FFFFFF"/>
        </w:rPr>
        <w:br w:type="page"/>
      </w:r>
    </w:p>
    <w:p w:rsidR="00C40108" w:rsidRPr="007875C0" w:rsidRDefault="00C40108" w:rsidP="00C40108">
      <w:pPr>
        <w:rPr>
          <w:rFonts w:cs="Arial"/>
        </w:rPr>
      </w:pPr>
      <w:r w:rsidRPr="007875C0">
        <w:rPr>
          <w:rFonts w:cs="Arial"/>
          <w:b/>
        </w:rPr>
        <w:lastRenderedPageBreak/>
        <w:t xml:space="preserve">Appendix Figure 1. </w:t>
      </w:r>
      <w:r w:rsidRPr="007875C0">
        <w:rPr>
          <w:rFonts w:cs="Arial"/>
        </w:rPr>
        <w:t>Standardized differences before and after matching by the propensity score for CDI.</w:t>
      </w:r>
    </w:p>
    <w:p w:rsidR="00C40108" w:rsidRDefault="00C40108" w:rsidP="00C40108">
      <w:pPr>
        <w:rPr>
          <w:rFonts w:cs="Arial"/>
        </w:rPr>
      </w:pPr>
    </w:p>
    <w:p w:rsidR="00C40108" w:rsidRDefault="00C40108" w:rsidP="00C40108">
      <w:pPr>
        <w:rPr>
          <w:rFonts w:cs="Arial"/>
        </w:rPr>
      </w:pPr>
      <w:r>
        <w:rPr>
          <w:rFonts w:cs="Arial"/>
          <w:noProof/>
        </w:rPr>
        <w:drawing>
          <wp:inline distT="0" distB="0" distL="0" distR="0" wp14:anchorId="3882C89E" wp14:editId="0C573755">
            <wp:extent cx="3566160" cy="8458200"/>
            <wp:effectExtent l="0" t="0" r="0" b="0"/>
            <wp:docPr id="1" name="Picture 1" descr="\\dom.wustl.edu\Infectious_Diseases\Shared Folders\ID_CADR\Investigators\Individual investigators\Dubberke\standardize_differences_b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m.wustl.edu\Infectious_Diseases\Shared Folders\ID_CADR\Investigators\Individual investigators\Dubberke\standardize_differences_bw.tif"/>
                    <pic:cNvPicPr>
                      <a:picLocks noChangeAspect="1" noChangeArrowheads="1"/>
                    </pic:cNvPicPr>
                  </pic:nvPicPr>
                  <pic:blipFill rotWithShape="1">
                    <a:blip r:embed="rId5">
                      <a:extLst>
                        <a:ext uri="{28A0092B-C50C-407E-A947-70E740481C1C}">
                          <a14:useLocalDpi xmlns:a14="http://schemas.microsoft.com/office/drawing/2010/main" val="0"/>
                        </a:ext>
                      </a:extLst>
                    </a:blip>
                    <a:srcRect b="1299"/>
                    <a:stretch/>
                  </pic:blipFill>
                  <pic:spPr bwMode="auto">
                    <a:xfrm>
                      <a:off x="0" y="0"/>
                      <a:ext cx="3566160" cy="8458200"/>
                    </a:xfrm>
                    <a:prstGeom prst="rect">
                      <a:avLst/>
                    </a:prstGeom>
                    <a:noFill/>
                    <a:ln>
                      <a:noFill/>
                    </a:ln>
                    <a:extLst>
                      <a:ext uri="{53640926-AAD7-44D8-BBD7-CCE9431645EC}">
                        <a14:shadowObscured xmlns:a14="http://schemas.microsoft.com/office/drawing/2010/main"/>
                      </a:ext>
                    </a:extLst>
                  </pic:spPr>
                </pic:pic>
              </a:graphicData>
            </a:graphic>
          </wp:inline>
        </w:drawing>
      </w:r>
    </w:p>
    <w:p w:rsidR="00820FA7" w:rsidRDefault="00820FA7" w:rsidP="00C40108">
      <w:pPr>
        <w:spacing w:after="200" w:line="276" w:lineRule="auto"/>
        <w:rPr>
          <w:rFonts w:cs="Arial"/>
        </w:rPr>
      </w:pPr>
    </w:p>
    <w:p w:rsidR="00820FA7" w:rsidRDefault="00820FA7" w:rsidP="00C40108">
      <w:pPr>
        <w:spacing w:after="200" w:line="276" w:lineRule="auto"/>
        <w:rPr>
          <w:rFonts w:cs="Arial"/>
        </w:rPr>
      </w:pPr>
      <w:r>
        <w:rPr>
          <w:rFonts w:cs="Arial"/>
        </w:rPr>
        <w:lastRenderedPageBreak/>
        <w:t xml:space="preserve">Appendix Figure </w:t>
      </w:r>
      <w:proofErr w:type="gramStart"/>
      <w:r>
        <w:rPr>
          <w:rFonts w:cs="Arial"/>
        </w:rPr>
        <w:t>1</w:t>
      </w:r>
      <w:proofErr w:type="gramEnd"/>
      <w:r>
        <w:rPr>
          <w:rFonts w:cs="Arial"/>
        </w:rPr>
        <w:t xml:space="preserve"> legend:</w:t>
      </w:r>
    </w:p>
    <w:p w:rsidR="00820FA7" w:rsidRDefault="00820FA7" w:rsidP="00022729">
      <w:pPr>
        <w:spacing w:after="200" w:line="276" w:lineRule="auto"/>
        <w:rPr>
          <w:rFonts w:cs="Arial"/>
        </w:rPr>
      </w:pPr>
      <w:r>
        <w:rPr>
          <w:rFonts w:cs="Arial"/>
        </w:rPr>
        <w:t>The absolute value of the standardized differences</w:t>
      </w:r>
      <w:r w:rsidR="00E07376">
        <w:rPr>
          <w:rFonts w:cs="Arial"/>
        </w:rPr>
        <w:t xml:space="preserve"> for all covariates in the propensity score model </w:t>
      </w:r>
      <w:proofErr w:type="gramStart"/>
      <w:r w:rsidR="00E07376">
        <w:rPr>
          <w:rFonts w:cs="Arial"/>
        </w:rPr>
        <w:t xml:space="preserve">are </w:t>
      </w:r>
      <w:r>
        <w:rPr>
          <w:rFonts w:cs="Arial"/>
        </w:rPr>
        <w:t>presented</w:t>
      </w:r>
      <w:proofErr w:type="gramEnd"/>
      <w:r>
        <w:rPr>
          <w:rFonts w:cs="Arial"/>
        </w:rPr>
        <w:t xml:space="preserve"> before matching (open circles) and after matching (filled circles). </w:t>
      </w:r>
      <w:r w:rsidR="00E07376">
        <w:rPr>
          <w:rFonts w:cs="Arial"/>
        </w:rPr>
        <w:t>The goal of the propensity score model is to reduce differences in all covariates between matched pairs, such that the absolute value of the standardized difference is &lt; 0.10. The only variable that exceeded this threshold after matching was septicemia (</w:t>
      </w:r>
      <w:r w:rsidR="00E07376" w:rsidRPr="00022729">
        <w:rPr>
          <w:rFonts w:cs="Arial"/>
        </w:rPr>
        <w:t xml:space="preserve">difference = </w:t>
      </w:r>
      <w:r w:rsidR="00022729">
        <w:rPr>
          <w:rFonts w:cs="Arial"/>
        </w:rPr>
        <w:t>0</w:t>
      </w:r>
      <w:r w:rsidR="00022729" w:rsidRPr="00022729">
        <w:rPr>
          <w:rFonts w:cs="Arial"/>
        </w:rPr>
        <w:t>.114</w:t>
      </w:r>
      <w:r w:rsidR="00E07376">
        <w:rPr>
          <w:rFonts w:cs="Arial"/>
        </w:rPr>
        <w:t>), due to the very unequal distribution of septicemia between CDI cases and controls.</w:t>
      </w:r>
    </w:p>
    <w:p w:rsidR="00820FA7" w:rsidRDefault="00820FA7">
      <w:pPr>
        <w:spacing w:after="200" w:line="276" w:lineRule="auto"/>
        <w:rPr>
          <w:rFonts w:cs="Arial"/>
        </w:rPr>
      </w:pPr>
      <w:r>
        <w:rPr>
          <w:rFonts w:cs="Arial"/>
        </w:rPr>
        <w:br w:type="page"/>
      </w:r>
    </w:p>
    <w:p w:rsidR="00C20FC8" w:rsidRPr="007875C0" w:rsidRDefault="00C20FC8" w:rsidP="00820FA7">
      <w:pPr>
        <w:spacing w:after="200" w:line="276" w:lineRule="auto"/>
        <w:rPr>
          <w:rFonts w:cs="Arial"/>
          <w:color w:val="000000" w:themeColor="text1"/>
          <w:shd w:val="clear" w:color="auto" w:fill="FFFFFF"/>
        </w:rPr>
      </w:pPr>
      <w:r w:rsidRPr="007875C0">
        <w:rPr>
          <w:rFonts w:cs="Arial"/>
          <w:b/>
          <w:color w:val="000000" w:themeColor="text1"/>
          <w:shd w:val="clear" w:color="auto" w:fill="FFFFFF"/>
        </w:rPr>
        <w:lastRenderedPageBreak/>
        <w:t>Appendix</w:t>
      </w:r>
      <w:r w:rsidR="00C40108" w:rsidRPr="007875C0">
        <w:rPr>
          <w:rFonts w:cs="Arial"/>
          <w:b/>
          <w:color w:val="000000" w:themeColor="text1"/>
          <w:shd w:val="clear" w:color="auto" w:fill="FFFFFF"/>
        </w:rPr>
        <w:t xml:space="preserve"> Figure 2</w:t>
      </w:r>
      <w:r w:rsidRPr="007875C0">
        <w:rPr>
          <w:rFonts w:cs="Arial"/>
          <w:b/>
          <w:color w:val="000000" w:themeColor="text1"/>
          <w:shd w:val="clear" w:color="auto" w:fill="FFFFFF"/>
        </w:rPr>
        <w:t xml:space="preserve">. </w:t>
      </w:r>
      <w:r w:rsidRPr="007875C0">
        <w:rPr>
          <w:rFonts w:cs="Arial"/>
          <w:color w:val="000000" w:themeColor="text1"/>
          <w:shd w:val="clear" w:color="auto" w:fill="FFFFFF"/>
        </w:rPr>
        <w:t>Distribution of the propensity scores in the population, for CDI case patients and control patients. Higher magnification is shown in the 2</w:t>
      </w:r>
      <w:r w:rsidRPr="007875C0">
        <w:rPr>
          <w:rFonts w:cs="Arial"/>
          <w:color w:val="000000" w:themeColor="text1"/>
          <w:shd w:val="clear" w:color="auto" w:fill="FFFFFF"/>
          <w:vertAlign w:val="superscript"/>
        </w:rPr>
        <w:t>nd</w:t>
      </w:r>
      <w:r w:rsidRPr="007875C0">
        <w:rPr>
          <w:rFonts w:cs="Arial"/>
          <w:color w:val="000000" w:themeColor="text1"/>
          <w:shd w:val="clear" w:color="auto" w:fill="FFFFFF"/>
        </w:rPr>
        <w:t xml:space="preserve"> figure to more closely display the area of overlap between CDI case and control patients.</w:t>
      </w:r>
      <w:r w:rsidR="007B329F" w:rsidRPr="007875C0">
        <w:rPr>
          <w:rFonts w:cs="Arial"/>
          <w:color w:val="000000" w:themeColor="text1"/>
          <w:shd w:val="clear" w:color="auto" w:fill="FFFFFF"/>
        </w:rPr>
        <w:t xml:space="preserve">  </w:t>
      </w:r>
    </w:p>
    <w:p w:rsidR="00FE55B8" w:rsidRDefault="00FE55B8" w:rsidP="00C20FC8">
      <w:pPr>
        <w:tabs>
          <w:tab w:val="right" w:pos="540"/>
          <w:tab w:val="left" w:pos="720"/>
        </w:tabs>
        <w:rPr>
          <w:rFonts w:cs="Arial"/>
        </w:rPr>
      </w:pPr>
    </w:p>
    <w:p w:rsidR="00FE55B8" w:rsidRDefault="00FE55B8" w:rsidP="00C20FC8">
      <w:pPr>
        <w:tabs>
          <w:tab w:val="right" w:pos="540"/>
          <w:tab w:val="left" w:pos="720"/>
        </w:tabs>
        <w:rPr>
          <w:rFonts w:cs="Arial"/>
        </w:rPr>
      </w:pPr>
    </w:p>
    <w:p w:rsidR="00FE55B8" w:rsidRDefault="00FE55B8" w:rsidP="00C20FC8">
      <w:pPr>
        <w:tabs>
          <w:tab w:val="right" w:pos="540"/>
          <w:tab w:val="left" w:pos="720"/>
        </w:tabs>
        <w:rPr>
          <w:rFonts w:cs="Arial"/>
        </w:rPr>
      </w:pPr>
      <w:r>
        <w:rPr>
          <w:noProof/>
        </w:rPr>
        <w:drawing>
          <wp:inline distT="0" distB="0" distL="0" distR="0">
            <wp:extent cx="5486400" cy="3605645"/>
            <wp:effectExtent l="0" t="0" r="0" b="0"/>
            <wp:docPr id="3" name="Picture 3" descr="C:\Users\molsen\AppData\Local\Microsoft\Windows\Temporary Internet Files\Content.Outlook\IQBVU1YF\CDiff Propensity Score Distribu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olsen\AppData\Local\Microsoft\Windows\Temporary Internet Files\Content.Outlook\IQBVU1YF\CDiff Propensity Score Distribution.gif"/>
                    <pic:cNvPicPr>
                      <a:picLocks noChangeAspect="1" noChangeArrowheads="1"/>
                    </pic:cNvPicPr>
                  </pic:nvPicPr>
                  <pic:blipFill rotWithShape="1">
                    <a:blip r:embed="rId6">
                      <a:extLst>
                        <a:ext uri="{28A0092B-C50C-407E-A947-70E740481C1C}">
                          <a14:useLocalDpi xmlns:a14="http://schemas.microsoft.com/office/drawing/2010/main" val="0"/>
                        </a:ext>
                      </a:extLst>
                    </a:blip>
                    <a:srcRect b="12374"/>
                    <a:stretch/>
                  </pic:blipFill>
                  <pic:spPr bwMode="auto">
                    <a:xfrm>
                      <a:off x="0" y="0"/>
                      <a:ext cx="5486400" cy="3605645"/>
                    </a:xfrm>
                    <a:prstGeom prst="rect">
                      <a:avLst/>
                    </a:prstGeom>
                    <a:noFill/>
                    <a:ln>
                      <a:noFill/>
                    </a:ln>
                    <a:extLst>
                      <a:ext uri="{53640926-AAD7-44D8-BBD7-CCE9431645EC}">
                        <a14:shadowObscured xmlns:a14="http://schemas.microsoft.com/office/drawing/2010/main"/>
                      </a:ext>
                    </a:extLst>
                  </pic:spPr>
                </pic:pic>
              </a:graphicData>
            </a:graphic>
          </wp:inline>
        </w:drawing>
      </w:r>
    </w:p>
    <w:p w:rsidR="00B94764" w:rsidRDefault="00C20FC8" w:rsidP="00C20FC8">
      <w:pPr>
        <w:rPr>
          <w:rFonts w:cs="Arial"/>
        </w:rPr>
      </w:pPr>
      <w:r>
        <w:rPr>
          <w:noProof/>
        </w:rPr>
        <w:drawing>
          <wp:inline distT="0" distB="0" distL="0" distR="0" wp14:anchorId="6D2ED03F" wp14:editId="37F7F194">
            <wp:extent cx="5486400" cy="4114800"/>
            <wp:effectExtent l="0" t="0" r="0" b="0"/>
            <wp:docPr id="11" name="Picture 11" descr="C:\Users\molsen\AppData\Local\Microsoft\Windows\Temporary Internet Files\Content.Outlook\IQBVU1YF\CDiff Propensity Score Distribution Zoom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lsen\AppData\Local\Microsoft\Windows\Temporary Internet Files\Content.Outlook\IQBVU1YF\CDiff Propensity Score Distribution Zoomin.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rsidR="00B94764" w:rsidRDefault="00B94764">
      <w:pPr>
        <w:spacing w:after="200" w:line="276" w:lineRule="auto"/>
        <w:rPr>
          <w:rFonts w:cs="Arial"/>
        </w:rPr>
      </w:pPr>
      <w:r>
        <w:rPr>
          <w:rFonts w:cs="Arial"/>
        </w:rPr>
        <w:br w:type="page"/>
      </w:r>
    </w:p>
    <w:p w:rsidR="00B94764" w:rsidRDefault="00B94764" w:rsidP="00E451AD">
      <w:pPr>
        <w:tabs>
          <w:tab w:val="right" w:pos="540"/>
          <w:tab w:val="left" w:pos="720"/>
        </w:tabs>
        <w:spacing w:line="480" w:lineRule="auto"/>
        <w:rPr>
          <w:rFonts w:cs="Arial"/>
        </w:rPr>
      </w:pPr>
      <w:r>
        <w:rPr>
          <w:rFonts w:cs="Arial"/>
        </w:rPr>
        <w:lastRenderedPageBreak/>
        <w:t>Appendix Figure 3. Stratified Hazard Ratios and Rates of New Entry into a Short-Term Skilled Nursing Facility within One year after CDI or Control Index Date. The bars represe</w:t>
      </w:r>
      <w:r w:rsidR="00E451AD">
        <w:rPr>
          <w:rFonts w:cs="Arial"/>
        </w:rPr>
        <w:t xml:space="preserve">nt the new SNF rates in control patients (open bars) and </w:t>
      </w:r>
      <w:r w:rsidR="00B07407">
        <w:rPr>
          <w:rFonts w:cs="Arial"/>
        </w:rPr>
        <w:t>CDI case</w:t>
      </w:r>
      <w:r w:rsidR="00E451AD">
        <w:rPr>
          <w:rFonts w:cs="Arial"/>
        </w:rPr>
        <w:t xml:space="preserve"> patients (grey bars)</w:t>
      </w:r>
      <w:r w:rsidR="007E4627">
        <w:rPr>
          <w:rFonts w:cs="Arial"/>
        </w:rPr>
        <w:t>.</w:t>
      </w:r>
    </w:p>
    <w:p w:rsidR="00C20FC8" w:rsidRDefault="00B94764" w:rsidP="00DC1D4C">
      <w:pPr>
        <w:tabs>
          <w:tab w:val="right" w:pos="540"/>
          <w:tab w:val="left" w:pos="720"/>
        </w:tabs>
        <w:spacing w:line="480" w:lineRule="auto"/>
        <w:rPr>
          <w:rFonts w:cs="Arial"/>
        </w:rPr>
      </w:pPr>
      <w:r>
        <w:rPr>
          <w:rFonts w:cs="Arial"/>
          <w:noProof/>
        </w:rPr>
        <mc:AlternateContent>
          <mc:Choice Requires="wps">
            <w:drawing>
              <wp:anchor distT="0" distB="0" distL="114300" distR="114300" simplePos="0" relativeHeight="251660288" behindDoc="0" locked="0" layoutInCell="1" allowOverlap="1" wp14:anchorId="15733FD6" wp14:editId="0164C226">
                <wp:simplePos x="0" y="0"/>
                <wp:positionH relativeFrom="column">
                  <wp:posOffset>304800</wp:posOffset>
                </wp:positionH>
                <wp:positionV relativeFrom="paragraph">
                  <wp:posOffset>33020</wp:posOffset>
                </wp:positionV>
                <wp:extent cx="137160" cy="13716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137160" cy="137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94695" id="Rectangle 6" o:spid="_x0000_s1026" style="position:absolute;margin-left:24pt;margin-top:2.6pt;width:10.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" filled="f" strokecolor="black [3213]" strokeweight=".5pt"/>
            </w:pict>
          </mc:Fallback>
        </mc:AlternateContent>
      </w:r>
      <w:r>
        <w:rPr>
          <w:rFonts w:cs="Arial"/>
          <w:noProof/>
        </w:rPr>
        <mc:AlternateContent>
          <mc:Choice Requires="wps">
            <w:drawing>
              <wp:anchor distT="0" distB="0" distL="114300" distR="114300" simplePos="0" relativeHeight="251659264" behindDoc="0" locked="0" layoutInCell="1" allowOverlap="1" wp14:anchorId="1178D146" wp14:editId="63011703">
                <wp:simplePos x="0" y="0"/>
                <wp:positionH relativeFrom="column">
                  <wp:posOffset>69850</wp:posOffset>
                </wp:positionH>
                <wp:positionV relativeFrom="paragraph">
                  <wp:posOffset>102870</wp:posOffset>
                </wp:positionV>
                <wp:extent cx="723900" cy="6350"/>
                <wp:effectExtent l="19050" t="19050" r="19050" b="31750"/>
                <wp:wrapNone/>
                <wp:docPr id="5" name="Straight Connector 5"/>
                <wp:cNvGraphicFramePr/>
                <a:graphic xmlns:a="http://schemas.openxmlformats.org/drawingml/2006/main">
                  <a:graphicData uri="http://schemas.microsoft.com/office/word/2010/wordprocessingShape">
                    <wps:wsp>
                      <wps:cNvCnPr/>
                      <wps:spPr>
                        <a:xfrm flipV="1">
                          <a:off x="0" y="0"/>
                          <a:ext cx="723900" cy="63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E7B1ED" id="Straight Connector 5"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8.1pt" to="6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" strokecolor="black [3213]" strokeweight="2.25pt"/>
            </w:pict>
          </mc:Fallback>
        </mc:AlternateContent>
      </w:r>
      <w:r>
        <w:rPr>
          <w:rFonts w:cs="Arial"/>
        </w:rPr>
        <w:t xml:space="preserve">                          Hazard ratio and 95% confidence interval.</w:t>
      </w:r>
      <w:r w:rsidR="00B11742">
        <w:rPr>
          <w:rFonts w:cs="Arial"/>
        </w:rPr>
        <w:t xml:space="preserve"> The </w:t>
      </w:r>
      <w:proofErr w:type="gramStart"/>
      <w:r w:rsidR="00B11742">
        <w:rPr>
          <w:rFonts w:cs="Arial"/>
        </w:rPr>
        <w:t>null hazard ratio of 1.0 is indicated by the horizontal dashed line</w:t>
      </w:r>
      <w:proofErr w:type="gramEnd"/>
      <w:r w:rsidR="00B11742">
        <w:rPr>
          <w:rFonts w:cs="Arial"/>
        </w:rPr>
        <w:t>.</w:t>
      </w:r>
    </w:p>
    <w:p w:rsidR="00B94764" w:rsidRDefault="00B94764" w:rsidP="00B94764">
      <w:pPr>
        <w:rPr>
          <w:rFonts w:cs="Arial"/>
        </w:rPr>
      </w:pPr>
    </w:p>
    <w:p w:rsidR="00B94764" w:rsidRDefault="001133AD" w:rsidP="00B94764">
      <w:pPr>
        <w:rPr>
          <w:rFonts w:cs="Arial"/>
        </w:rPr>
      </w:pPr>
      <w:r>
        <w:rPr>
          <w:rFonts w:cs="Arial"/>
          <w:noProof/>
        </w:rPr>
        <w:drawing>
          <wp:inline distT="0" distB="0" distL="0" distR="0">
            <wp:extent cx="5788152" cy="4343400"/>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ntile_hazard_ratios_snf_barchart_revised.gif"/>
                    <pic:cNvPicPr/>
                  </pic:nvPicPr>
                  <pic:blipFill>
                    <a:blip r:embed="rId8">
                      <a:extLst>
                        <a:ext uri="{28A0092B-C50C-407E-A947-70E740481C1C}">
                          <a14:useLocalDpi xmlns:a14="http://schemas.microsoft.com/office/drawing/2010/main" val="0"/>
                        </a:ext>
                      </a:extLst>
                    </a:blip>
                    <a:stretch>
                      <a:fillRect/>
                    </a:stretch>
                  </pic:blipFill>
                  <pic:spPr>
                    <a:xfrm>
                      <a:off x="0" y="0"/>
                      <a:ext cx="5788152" cy="4343400"/>
                    </a:xfrm>
                    <a:prstGeom prst="rect">
                      <a:avLst/>
                    </a:prstGeom>
                  </pic:spPr>
                </pic:pic>
              </a:graphicData>
            </a:graphic>
          </wp:inline>
        </w:drawing>
      </w:r>
    </w:p>
    <w:p w:rsidR="00B94764" w:rsidRDefault="00B94764" w:rsidP="00DC1D4C">
      <w:pPr>
        <w:spacing w:after="200" w:line="276" w:lineRule="auto"/>
        <w:rPr>
          <w:rFonts w:cs="Arial"/>
          <w:b/>
        </w:rPr>
      </w:pPr>
      <w:r>
        <w:rPr>
          <w:rFonts w:cs="Arial"/>
          <w:b/>
        </w:rPr>
        <w:br w:type="page"/>
      </w:r>
    </w:p>
    <w:p w:rsidR="008A57D7" w:rsidRPr="007875C0" w:rsidRDefault="008A57D7" w:rsidP="00B31EC7">
      <w:pPr>
        <w:tabs>
          <w:tab w:val="right" w:pos="540"/>
          <w:tab w:val="left" w:pos="720"/>
        </w:tabs>
        <w:spacing w:line="480" w:lineRule="auto"/>
        <w:rPr>
          <w:rFonts w:cs="Arial"/>
        </w:rPr>
      </w:pPr>
      <w:r w:rsidRPr="007875C0">
        <w:rPr>
          <w:rFonts w:cs="Arial"/>
          <w:b/>
        </w:rPr>
        <w:lastRenderedPageBreak/>
        <w:t xml:space="preserve">Appendix Table </w:t>
      </w:r>
      <w:r w:rsidR="00DC1D4C">
        <w:rPr>
          <w:rFonts w:cs="Arial"/>
          <w:b/>
        </w:rPr>
        <w:t>4</w:t>
      </w:r>
      <w:r w:rsidRPr="007875C0">
        <w:rPr>
          <w:rFonts w:cs="Arial"/>
          <w:b/>
        </w:rPr>
        <w:t xml:space="preserve">. </w:t>
      </w:r>
      <w:r w:rsidR="00B31EC7" w:rsidRPr="00B31EC7">
        <w:rPr>
          <w:rFonts w:cs="Arial"/>
          <w:bCs/>
        </w:rPr>
        <w:t>Subsequent h</w:t>
      </w:r>
      <w:r w:rsidRPr="00B31EC7">
        <w:rPr>
          <w:rFonts w:cs="Arial"/>
          <w:bCs/>
        </w:rPr>
        <w:t>ospitalization</w:t>
      </w:r>
      <w:r w:rsidRPr="007875C0">
        <w:rPr>
          <w:rFonts w:cs="Arial"/>
        </w:rPr>
        <w:t xml:space="preserve"> in pairs matched on the propensity for </w:t>
      </w:r>
      <w:r w:rsidRPr="007875C0">
        <w:rPr>
          <w:rFonts w:cs="Arial"/>
          <w:i/>
        </w:rPr>
        <w:t>Clostridium difficile</w:t>
      </w:r>
      <w:r w:rsidRPr="007875C0">
        <w:rPr>
          <w:rFonts w:cs="Arial"/>
        </w:rPr>
        <w:t xml:space="preserve"> infection within A. 30 days, B. 90 days, C. One Year after the CDI/onset date.</w:t>
      </w:r>
    </w:p>
    <w:tbl>
      <w:tblPr>
        <w:tblW w:w="8240" w:type="dxa"/>
        <w:tblCellMar>
          <w:left w:w="0" w:type="dxa"/>
          <w:right w:w="0" w:type="dxa"/>
        </w:tblCellMar>
        <w:tblLook w:val="0420" w:firstRow="1" w:lastRow="0" w:firstColumn="0" w:lastColumn="0" w:noHBand="0" w:noVBand="1"/>
      </w:tblPr>
      <w:tblGrid>
        <w:gridCol w:w="1363"/>
        <w:gridCol w:w="2265"/>
        <w:gridCol w:w="2306"/>
        <w:gridCol w:w="2306"/>
      </w:tblGrid>
      <w:tr w:rsidR="008A57D7" w:rsidRPr="00D254C3" w:rsidTr="007F65CE">
        <w:trPr>
          <w:trHeight w:val="584"/>
        </w:trPr>
        <w:tc>
          <w:tcPr>
            <w:tcW w:w="1360" w:type="dxa"/>
            <w:tcBorders>
              <w:top w:val="nil"/>
              <w:left w:val="nil"/>
              <w:bottom w:val="nil"/>
              <w:right w:val="nil"/>
            </w:tcBorders>
            <w:shd w:val="clear" w:color="auto" w:fill="auto"/>
            <w:tcMar>
              <w:top w:w="72" w:type="dxa"/>
              <w:left w:w="144" w:type="dxa"/>
              <w:bottom w:w="72" w:type="dxa"/>
              <w:right w:w="144" w:type="dxa"/>
            </w:tcMar>
            <w:hideMark/>
          </w:tcPr>
          <w:p w:rsidR="008A57D7" w:rsidRPr="00D254C3" w:rsidRDefault="008A57D7" w:rsidP="007F65CE">
            <w:pPr>
              <w:rPr>
                <w:rFonts w:eastAsia="Times New Roman" w:cs="Arial"/>
                <w:sz w:val="36"/>
                <w:szCs w:val="36"/>
              </w:rPr>
            </w:pPr>
          </w:p>
        </w:tc>
        <w:tc>
          <w:tcPr>
            <w:tcW w:w="2260" w:type="dxa"/>
            <w:tcBorders>
              <w:top w:val="nil"/>
              <w:left w:val="nil"/>
              <w:bottom w:val="nil"/>
              <w:right w:val="nil"/>
            </w:tcBorders>
            <w:shd w:val="clear" w:color="auto" w:fill="auto"/>
            <w:tcMar>
              <w:top w:w="72" w:type="dxa"/>
              <w:left w:w="144" w:type="dxa"/>
              <w:bottom w:w="72" w:type="dxa"/>
              <w:right w:w="144" w:type="dxa"/>
            </w:tcMar>
            <w:hideMark/>
          </w:tcPr>
          <w:p w:rsidR="008A57D7" w:rsidRPr="00327953" w:rsidRDefault="008A57D7" w:rsidP="008A57D7">
            <w:pPr>
              <w:pStyle w:val="ListParagraph"/>
              <w:numPr>
                <w:ilvl w:val="0"/>
                <w:numId w:val="25"/>
              </w:numPr>
              <w:rPr>
                <w:rFonts w:cs="Arial"/>
              </w:rPr>
            </w:pPr>
          </w:p>
        </w:tc>
        <w:tc>
          <w:tcPr>
            <w:tcW w:w="4600" w:type="dxa"/>
            <w:gridSpan w:val="2"/>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rsidR="008A57D7" w:rsidRPr="00D254C3" w:rsidRDefault="008A57D7" w:rsidP="007F65CE">
            <w:pPr>
              <w:jc w:val="center"/>
              <w:rPr>
                <w:rFonts w:eastAsia="Times New Roman" w:cs="Arial"/>
              </w:rPr>
            </w:pPr>
            <w:r w:rsidRPr="00D254C3">
              <w:rPr>
                <w:rFonts w:eastAsia="Times New Roman" w:cs="Arial"/>
                <w:b/>
                <w:bCs/>
                <w:color w:val="000000" w:themeColor="text1"/>
                <w:kern w:val="24"/>
              </w:rPr>
              <w:t>Control</w:t>
            </w:r>
          </w:p>
        </w:tc>
      </w:tr>
      <w:tr w:rsidR="008A57D7" w:rsidRPr="00D254C3" w:rsidTr="007F65CE">
        <w:trPr>
          <w:trHeight w:val="584"/>
        </w:trPr>
        <w:tc>
          <w:tcPr>
            <w:tcW w:w="1360" w:type="dxa"/>
            <w:tcBorders>
              <w:top w:val="nil"/>
              <w:left w:val="nil"/>
              <w:bottom w:val="nil"/>
              <w:right w:val="nil"/>
            </w:tcBorders>
            <w:shd w:val="clear" w:color="auto" w:fill="auto"/>
            <w:tcMar>
              <w:top w:w="72" w:type="dxa"/>
              <w:left w:w="144" w:type="dxa"/>
              <w:bottom w:w="72" w:type="dxa"/>
              <w:right w:w="144" w:type="dxa"/>
            </w:tcMar>
            <w:hideMark/>
          </w:tcPr>
          <w:p w:rsidR="008A57D7" w:rsidRPr="00D254C3" w:rsidRDefault="008A57D7" w:rsidP="007F65CE">
            <w:pPr>
              <w:rPr>
                <w:rFonts w:eastAsia="Times New Roman" w:cs="Arial"/>
                <w:sz w:val="36"/>
                <w:szCs w:val="36"/>
              </w:rPr>
            </w:pPr>
          </w:p>
        </w:tc>
        <w:tc>
          <w:tcPr>
            <w:tcW w:w="2260"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rsidR="008A57D7" w:rsidRPr="00D254C3" w:rsidRDefault="008A57D7" w:rsidP="007F65CE">
            <w:pPr>
              <w:rPr>
                <w:rFonts w:eastAsia="Times New Roman" w:cs="Arial"/>
              </w:rPr>
            </w:pP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57D7" w:rsidRPr="00D254C3" w:rsidRDefault="00D4783E" w:rsidP="007F65CE">
            <w:pPr>
              <w:jc w:val="center"/>
              <w:rPr>
                <w:rFonts w:eastAsia="Times New Roman" w:cs="Arial"/>
              </w:rPr>
            </w:pPr>
            <w:r>
              <w:rPr>
                <w:rFonts w:eastAsia="Times New Roman" w:cs="Arial"/>
                <w:b/>
                <w:bCs/>
                <w:color w:val="000000" w:themeColor="text1"/>
                <w:kern w:val="24"/>
              </w:rPr>
              <w:t>Hospitalization within 30 days</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57D7" w:rsidRPr="00D254C3" w:rsidRDefault="00D4783E" w:rsidP="007F65CE">
            <w:pPr>
              <w:jc w:val="center"/>
              <w:rPr>
                <w:rFonts w:eastAsia="Times New Roman" w:cs="Arial"/>
              </w:rPr>
            </w:pPr>
            <w:r>
              <w:rPr>
                <w:rFonts w:eastAsia="Times New Roman" w:cs="Arial"/>
                <w:b/>
                <w:bCs/>
                <w:color w:val="000000" w:themeColor="text1"/>
                <w:kern w:val="24"/>
              </w:rPr>
              <w:t>Not hospitalized within 30 days</w:t>
            </w:r>
          </w:p>
        </w:tc>
      </w:tr>
      <w:tr w:rsidR="008A57D7" w:rsidRPr="00D254C3" w:rsidTr="007F65CE">
        <w:trPr>
          <w:trHeight w:val="584"/>
        </w:trPr>
        <w:tc>
          <w:tcPr>
            <w:tcW w:w="1360" w:type="dxa"/>
            <w:vMerge w:val="restart"/>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rsidR="008A57D7" w:rsidRPr="00D254C3" w:rsidRDefault="008A57D7" w:rsidP="007F65CE">
            <w:pPr>
              <w:rPr>
                <w:rFonts w:eastAsia="Times New Roman" w:cs="Arial"/>
              </w:rPr>
            </w:pPr>
            <w:r>
              <w:rPr>
                <w:rFonts w:eastAsia="Times New Roman" w:cs="Arial"/>
                <w:b/>
                <w:bCs/>
                <w:color w:val="000000" w:themeColor="text1"/>
                <w:kern w:val="24"/>
              </w:rPr>
              <w:t xml:space="preserve">CDI </w:t>
            </w:r>
            <w:r w:rsidRPr="00D254C3">
              <w:rPr>
                <w:rFonts w:eastAsia="Times New Roman" w:cs="Arial"/>
                <w:b/>
                <w:bCs/>
                <w:color w:val="000000" w:themeColor="text1"/>
                <w:kern w:val="24"/>
              </w:rPr>
              <w:t>Case</w:t>
            </w: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57D7" w:rsidRPr="00D254C3" w:rsidRDefault="00D4783E" w:rsidP="007F65CE">
            <w:pPr>
              <w:rPr>
                <w:rFonts w:eastAsia="Times New Roman" w:cs="Arial"/>
              </w:rPr>
            </w:pPr>
            <w:r>
              <w:rPr>
                <w:rFonts w:eastAsia="Times New Roman" w:cs="Arial"/>
                <w:b/>
                <w:bCs/>
                <w:color w:val="000000" w:themeColor="text1"/>
                <w:kern w:val="24"/>
              </w:rPr>
              <w:t>Hospitalization within 30 days</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57D7" w:rsidRPr="00D254C3" w:rsidRDefault="00D4783E" w:rsidP="007F65CE">
            <w:pPr>
              <w:jc w:val="center"/>
              <w:rPr>
                <w:rFonts w:eastAsia="Times New Roman" w:cs="Arial"/>
              </w:rPr>
            </w:pPr>
            <w:r>
              <w:rPr>
                <w:rFonts w:eastAsia="Times New Roman" w:cs="Arial"/>
                <w:color w:val="000000" w:themeColor="text1"/>
                <w:kern w:val="24"/>
              </w:rPr>
              <w:t>2</w:t>
            </w:r>
            <w:r w:rsidR="00A73F8B">
              <w:rPr>
                <w:rFonts w:eastAsia="Times New Roman" w:cs="Arial"/>
                <w:color w:val="000000" w:themeColor="text1"/>
                <w:kern w:val="24"/>
              </w:rPr>
              <w:t>,</w:t>
            </w:r>
            <w:r>
              <w:rPr>
                <w:rFonts w:eastAsia="Times New Roman" w:cs="Arial"/>
                <w:color w:val="000000" w:themeColor="text1"/>
                <w:kern w:val="24"/>
              </w:rPr>
              <w:t>930</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57D7" w:rsidRPr="00D254C3" w:rsidRDefault="00D4783E" w:rsidP="007F65CE">
            <w:pPr>
              <w:jc w:val="center"/>
              <w:rPr>
                <w:rFonts w:eastAsia="Times New Roman" w:cs="Arial"/>
              </w:rPr>
            </w:pPr>
            <w:r>
              <w:rPr>
                <w:rFonts w:eastAsia="Times New Roman" w:cs="Arial"/>
                <w:color w:val="000000" w:themeColor="text1"/>
                <w:kern w:val="24"/>
              </w:rPr>
              <w:t>23</w:t>
            </w:r>
            <w:r w:rsidR="00A73F8B">
              <w:rPr>
                <w:rFonts w:eastAsia="Times New Roman" w:cs="Arial"/>
                <w:color w:val="000000" w:themeColor="text1"/>
                <w:kern w:val="24"/>
              </w:rPr>
              <w:t>,</w:t>
            </w:r>
            <w:r>
              <w:rPr>
                <w:rFonts w:eastAsia="Times New Roman" w:cs="Arial"/>
                <w:color w:val="000000" w:themeColor="text1"/>
                <w:kern w:val="24"/>
              </w:rPr>
              <w:t>299</w:t>
            </w:r>
          </w:p>
        </w:tc>
      </w:tr>
      <w:tr w:rsidR="008A57D7" w:rsidRPr="00D254C3" w:rsidTr="007F65CE">
        <w:trPr>
          <w:trHeight w:val="584"/>
        </w:trPr>
        <w:tc>
          <w:tcPr>
            <w:tcW w:w="0" w:type="auto"/>
            <w:vMerge/>
            <w:tcBorders>
              <w:top w:val="nil"/>
              <w:left w:val="nil"/>
              <w:bottom w:val="nil"/>
              <w:right w:val="single" w:sz="8" w:space="0" w:color="000000"/>
            </w:tcBorders>
            <w:vAlign w:val="center"/>
            <w:hideMark/>
          </w:tcPr>
          <w:p w:rsidR="008A57D7" w:rsidRPr="00D254C3" w:rsidRDefault="008A57D7" w:rsidP="007F65CE">
            <w:pPr>
              <w:rPr>
                <w:rFonts w:eastAsia="Times New Roman" w:cs="Arial"/>
                <w:sz w:val="36"/>
                <w:szCs w:val="36"/>
              </w:rPr>
            </w:pPr>
          </w:p>
        </w:tc>
        <w:tc>
          <w:tcPr>
            <w:tcW w:w="22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57D7" w:rsidRPr="00D254C3" w:rsidRDefault="00D4783E" w:rsidP="007F65CE">
            <w:pPr>
              <w:rPr>
                <w:rFonts w:eastAsia="Times New Roman" w:cs="Arial"/>
              </w:rPr>
            </w:pPr>
            <w:r>
              <w:rPr>
                <w:rFonts w:eastAsia="Times New Roman" w:cs="Arial"/>
                <w:b/>
                <w:bCs/>
                <w:color w:val="000000" w:themeColor="text1"/>
                <w:kern w:val="24"/>
              </w:rPr>
              <w:t>Not hospitalized within 30 days</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57D7" w:rsidRPr="00D254C3" w:rsidRDefault="00D4783E" w:rsidP="007F65CE">
            <w:pPr>
              <w:jc w:val="center"/>
              <w:rPr>
                <w:rFonts w:eastAsia="Times New Roman" w:cs="Arial"/>
              </w:rPr>
            </w:pPr>
            <w:r>
              <w:rPr>
                <w:rFonts w:eastAsia="Times New Roman" w:cs="Arial"/>
                <w:color w:val="000000" w:themeColor="text1"/>
                <w:kern w:val="24"/>
              </w:rPr>
              <w:t>9</w:t>
            </w:r>
            <w:r w:rsidR="00A73F8B">
              <w:rPr>
                <w:rFonts w:eastAsia="Times New Roman" w:cs="Arial"/>
                <w:color w:val="000000" w:themeColor="text1"/>
                <w:kern w:val="24"/>
              </w:rPr>
              <w:t>,</w:t>
            </w:r>
            <w:r>
              <w:rPr>
                <w:rFonts w:eastAsia="Times New Roman" w:cs="Arial"/>
                <w:color w:val="000000" w:themeColor="text1"/>
                <w:kern w:val="24"/>
              </w:rPr>
              <w:t>405</w:t>
            </w:r>
          </w:p>
        </w:tc>
        <w:tc>
          <w:tcPr>
            <w:tcW w:w="230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A57D7" w:rsidRPr="00D254C3" w:rsidRDefault="00D4783E" w:rsidP="007F65CE">
            <w:pPr>
              <w:jc w:val="center"/>
              <w:rPr>
                <w:rFonts w:eastAsia="Times New Roman" w:cs="Arial"/>
              </w:rPr>
            </w:pPr>
            <w:r>
              <w:rPr>
                <w:rFonts w:eastAsia="Times New Roman" w:cs="Arial"/>
                <w:color w:val="000000" w:themeColor="text1"/>
                <w:kern w:val="24"/>
              </w:rPr>
              <w:t>86</w:t>
            </w:r>
            <w:r w:rsidR="00A73F8B">
              <w:rPr>
                <w:rFonts w:eastAsia="Times New Roman" w:cs="Arial"/>
                <w:color w:val="000000" w:themeColor="text1"/>
                <w:kern w:val="24"/>
              </w:rPr>
              <w:t>,</w:t>
            </w:r>
            <w:r>
              <w:rPr>
                <w:rFonts w:eastAsia="Times New Roman" w:cs="Arial"/>
                <w:color w:val="000000" w:themeColor="text1"/>
                <w:kern w:val="24"/>
              </w:rPr>
              <w:t>196</w:t>
            </w:r>
          </w:p>
        </w:tc>
      </w:tr>
    </w:tbl>
    <w:p w:rsidR="008A57D7" w:rsidRDefault="008A57D7" w:rsidP="008A57D7">
      <w:pPr>
        <w:tabs>
          <w:tab w:val="right" w:pos="540"/>
          <w:tab w:val="left" w:pos="720"/>
        </w:tabs>
        <w:rPr>
          <w:rFonts w:cs="Arial"/>
        </w:rPr>
      </w:pPr>
    </w:p>
    <w:p w:rsidR="008A57D7" w:rsidRDefault="008A57D7" w:rsidP="008A57D7">
      <w:pPr>
        <w:tabs>
          <w:tab w:val="right" w:pos="540"/>
          <w:tab w:val="left" w:pos="720"/>
        </w:tabs>
        <w:rPr>
          <w:rFonts w:cs="Arial"/>
          <w:color w:val="000000" w:themeColor="text1"/>
        </w:rPr>
      </w:pPr>
    </w:p>
    <w:p w:rsidR="008A57D7" w:rsidRDefault="00D4783E" w:rsidP="008A57D7">
      <w:pPr>
        <w:tabs>
          <w:tab w:val="right" w:pos="540"/>
          <w:tab w:val="left" w:pos="720"/>
        </w:tabs>
        <w:rPr>
          <w:rFonts w:cs="Arial"/>
          <w:color w:val="000000" w:themeColor="text1"/>
          <w:shd w:val="clear" w:color="auto" w:fill="FFFFFF"/>
        </w:rPr>
      </w:pPr>
      <w:r>
        <w:rPr>
          <w:rFonts w:cs="Arial"/>
          <w:color w:val="000000" w:themeColor="text1"/>
        </w:rPr>
        <w:t>HR</w:t>
      </w:r>
      <w:r w:rsidR="008A57D7" w:rsidRPr="00925359">
        <w:rPr>
          <w:rFonts w:cs="Arial"/>
          <w:color w:val="000000" w:themeColor="text1"/>
        </w:rPr>
        <w:t xml:space="preserve"> </w:t>
      </w:r>
      <w:r w:rsidR="008A57D7" w:rsidRPr="00FC11E4">
        <w:rPr>
          <w:rFonts w:cs="Arial"/>
          <w:color w:val="000000" w:themeColor="text1"/>
        </w:rPr>
        <w:t xml:space="preserve">= </w:t>
      </w:r>
      <w:r w:rsidR="00FC11E4">
        <w:rPr>
          <w:rFonts w:cs="Arial"/>
          <w:color w:val="000000" w:themeColor="text1"/>
        </w:rPr>
        <w:t>2.27</w:t>
      </w:r>
      <w:r w:rsidR="008A57D7" w:rsidRPr="00FC11E4">
        <w:rPr>
          <w:rFonts w:cs="Arial"/>
          <w:color w:val="000000" w:themeColor="text1"/>
          <w:shd w:val="clear" w:color="auto" w:fill="FFFFFF"/>
        </w:rPr>
        <w:t xml:space="preserve"> (CI</w:t>
      </w:r>
      <w:proofErr w:type="gramStart"/>
      <w:r w:rsidR="008A57D7" w:rsidRPr="00FC11E4">
        <w:rPr>
          <w:rFonts w:cs="Arial"/>
          <w:color w:val="000000" w:themeColor="text1"/>
          <w:shd w:val="clear" w:color="auto" w:fill="FFFFFF"/>
        </w:rPr>
        <w:t>:</w:t>
      </w:r>
      <w:r w:rsidR="00FC11E4">
        <w:rPr>
          <w:rFonts w:cs="Arial"/>
          <w:color w:val="000000" w:themeColor="text1"/>
          <w:shd w:val="clear" w:color="auto" w:fill="FFFFFF"/>
        </w:rPr>
        <w:t>2.22</w:t>
      </w:r>
      <w:proofErr w:type="gramEnd"/>
      <w:r w:rsidR="00FC11E4">
        <w:rPr>
          <w:rFonts w:cs="Arial"/>
          <w:color w:val="000000" w:themeColor="text1"/>
          <w:shd w:val="clear" w:color="auto" w:fill="FFFFFF"/>
        </w:rPr>
        <w:t>-2.32</w:t>
      </w:r>
      <w:r w:rsidR="008A57D7" w:rsidRPr="00FC11E4">
        <w:rPr>
          <w:rFonts w:cs="Arial"/>
          <w:color w:val="000000" w:themeColor="text1"/>
          <w:shd w:val="clear" w:color="auto" w:fill="FFFFFF"/>
        </w:rPr>
        <w:t xml:space="preserve">), </w:t>
      </w:r>
      <w:r w:rsidR="008A57D7" w:rsidRPr="00FC11E4">
        <w:rPr>
          <w:rFonts w:cs="Arial"/>
          <w:i/>
          <w:color w:val="000000" w:themeColor="text1"/>
          <w:shd w:val="clear" w:color="auto" w:fill="FFFFFF"/>
        </w:rPr>
        <w:t>p</w:t>
      </w:r>
      <w:r w:rsidR="008A57D7" w:rsidRPr="00752C69">
        <w:rPr>
          <w:rFonts w:cs="Arial"/>
          <w:i/>
          <w:color w:val="000000" w:themeColor="text1"/>
          <w:shd w:val="clear" w:color="auto" w:fill="FFFFFF"/>
        </w:rPr>
        <w:t xml:space="preserve"> </w:t>
      </w:r>
      <w:r w:rsidR="008A57D7">
        <w:rPr>
          <w:rFonts w:cs="Arial"/>
          <w:color w:val="000000" w:themeColor="text1"/>
          <w:shd w:val="clear" w:color="auto" w:fill="FFFFFF"/>
        </w:rPr>
        <w:t xml:space="preserve">&lt; .001 </w:t>
      </w:r>
    </w:p>
    <w:p w:rsidR="008A57D7" w:rsidRDefault="007F65CE" w:rsidP="008A57D7">
      <w:pPr>
        <w:tabs>
          <w:tab w:val="right" w:pos="540"/>
          <w:tab w:val="left" w:pos="720"/>
        </w:tabs>
        <w:rPr>
          <w:rFonts w:cs="Arial"/>
        </w:rPr>
      </w:pPr>
      <w:r>
        <w:rPr>
          <w:rFonts w:cs="Arial"/>
        </w:rPr>
        <w:t>Attributable risk = 21.5% (CDI cases) – 10.1% (controls) = 11.4%</w:t>
      </w:r>
    </w:p>
    <w:p w:rsidR="007875C0" w:rsidRDefault="007875C0" w:rsidP="008A57D7">
      <w:pPr>
        <w:tabs>
          <w:tab w:val="right" w:pos="540"/>
          <w:tab w:val="left" w:pos="720"/>
        </w:tabs>
        <w:rPr>
          <w:rFonts w:cs="Arial"/>
        </w:rPr>
      </w:pPr>
    </w:p>
    <w:tbl>
      <w:tblPr>
        <w:tblW w:w="8240" w:type="dxa"/>
        <w:tblCellMar>
          <w:left w:w="0" w:type="dxa"/>
          <w:right w:w="0" w:type="dxa"/>
        </w:tblCellMar>
        <w:tblLook w:val="0420" w:firstRow="1" w:lastRow="0" w:firstColumn="0" w:lastColumn="0" w:noHBand="0" w:noVBand="1"/>
      </w:tblPr>
      <w:tblGrid>
        <w:gridCol w:w="1363"/>
        <w:gridCol w:w="2265"/>
        <w:gridCol w:w="2306"/>
        <w:gridCol w:w="2306"/>
      </w:tblGrid>
      <w:tr w:rsidR="008A57D7" w:rsidRPr="00D254C3" w:rsidTr="000960D8">
        <w:trPr>
          <w:trHeight w:val="584"/>
        </w:trPr>
        <w:tc>
          <w:tcPr>
            <w:tcW w:w="1363" w:type="dxa"/>
            <w:tcBorders>
              <w:top w:val="nil"/>
              <w:left w:val="nil"/>
              <w:bottom w:val="nil"/>
              <w:right w:val="nil"/>
            </w:tcBorders>
            <w:shd w:val="clear" w:color="auto" w:fill="auto"/>
            <w:tcMar>
              <w:top w:w="72" w:type="dxa"/>
              <w:left w:w="144" w:type="dxa"/>
              <w:bottom w:w="72" w:type="dxa"/>
              <w:right w:w="144" w:type="dxa"/>
            </w:tcMar>
            <w:hideMark/>
          </w:tcPr>
          <w:p w:rsidR="008A57D7" w:rsidRPr="00D254C3" w:rsidRDefault="008A57D7" w:rsidP="007F65CE">
            <w:pPr>
              <w:rPr>
                <w:rFonts w:eastAsia="Times New Roman" w:cs="Arial"/>
              </w:rPr>
            </w:pPr>
          </w:p>
        </w:tc>
        <w:tc>
          <w:tcPr>
            <w:tcW w:w="2265" w:type="dxa"/>
            <w:tcBorders>
              <w:top w:val="nil"/>
              <w:left w:val="nil"/>
              <w:bottom w:val="nil"/>
              <w:right w:val="nil"/>
            </w:tcBorders>
            <w:shd w:val="clear" w:color="auto" w:fill="auto"/>
            <w:tcMar>
              <w:top w:w="72" w:type="dxa"/>
              <w:left w:w="144" w:type="dxa"/>
              <w:bottom w:w="72" w:type="dxa"/>
              <w:right w:w="144" w:type="dxa"/>
            </w:tcMar>
            <w:hideMark/>
          </w:tcPr>
          <w:p w:rsidR="008A57D7" w:rsidRPr="00327953" w:rsidRDefault="008A57D7" w:rsidP="008A57D7">
            <w:pPr>
              <w:pStyle w:val="ListParagraph"/>
              <w:numPr>
                <w:ilvl w:val="0"/>
                <w:numId w:val="25"/>
              </w:numPr>
              <w:rPr>
                <w:rFonts w:cs="Arial"/>
              </w:rPr>
            </w:pPr>
          </w:p>
        </w:tc>
        <w:tc>
          <w:tcPr>
            <w:tcW w:w="4612" w:type="dxa"/>
            <w:gridSpan w:val="2"/>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rsidR="008A57D7" w:rsidRPr="00D254C3" w:rsidRDefault="008A57D7" w:rsidP="007F65CE">
            <w:pPr>
              <w:jc w:val="center"/>
              <w:rPr>
                <w:rFonts w:eastAsia="Times New Roman" w:cs="Arial"/>
              </w:rPr>
            </w:pPr>
            <w:r w:rsidRPr="00D254C3">
              <w:rPr>
                <w:rFonts w:eastAsia="Times New Roman" w:cs="Arial"/>
                <w:b/>
                <w:bCs/>
                <w:color w:val="000000" w:themeColor="text1"/>
                <w:kern w:val="24"/>
              </w:rPr>
              <w:t>Control</w:t>
            </w:r>
          </w:p>
        </w:tc>
      </w:tr>
      <w:tr w:rsidR="000960D8" w:rsidRPr="00D254C3" w:rsidTr="000960D8">
        <w:trPr>
          <w:trHeight w:val="584"/>
        </w:trPr>
        <w:tc>
          <w:tcPr>
            <w:tcW w:w="1363" w:type="dxa"/>
            <w:tcBorders>
              <w:top w:val="nil"/>
              <w:left w:val="nil"/>
              <w:bottom w:val="nil"/>
              <w:right w:val="nil"/>
            </w:tcBorders>
            <w:shd w:val="clear" w:color="auto" w:fill="auto"/>
            <w:tcMar>
              <w:top w:w="72" w:type="dxa"/>
              <w:left w:w="144" w:type="dxa"/>
              <w:bottom w:w="72" w:type="dxa"/>
              <w:right w:w="144" w:type="dxa"/>
            </w:tcMar>
            <w:hideMark/>
          </w:tcPr>
          <w:p w:rsidR="000960D8" w:rsidRPr="00D254C3" w:rsidRDefault="000960D8" w:rsidP="007F65CE">
            <w:pPr>
              <w:rPr>
                <w:rFonts w:eastAsia="Times New Roman" w:cs="Arial"/>
              </w:rPr>
            </w:pPr>
          </w:p>
        </w:tc>
        <w:tc>
          <w:tcPr>
            <w:tcW w:w="2265"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rsidR="000960D8" w:rsidRPr="00D254C3" w:rsidRDefault="000960D8" w:rsidP="007F65CE">
            <w:pPr>
              <w:rPr>
                <w:rFonts w:eastAsia="Times New Roman" w:cs="Arial"/>
              </w:rPr>
            </w:pP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60D8" w:rsidRPr="00D254C3" w:rsidRDefault="000960D8" w:rsidP="007F65CE">
            <w:pPr>
              <w:jc w:val="center"/>
              <w:rPr>
                <w:rFonts w:eastAsia="Times New Roman" w:cs="Arial"/>
              </w:rPr>
            </w:pPr>
            <w:r>
              <w:rPr>
                <w:rFonts w:eastAsia="Times New Roman" w:cs="Arial"/>
                <w:b/>
                <w:bCs/>
                <w:color w:val="000000" w:themeColor="text1"/>
                <w:kern w:val="24"/>
              </w:rPr>
              <w:t>Hospitalization within 90 days</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60D8" w:rsidRPr="00D254C3" w:rsidRDefault="000960D8" w:rsidP="007F65CE">
            <w:pPr>
              <w:jc w:val="center"/>
              <w:rPr>
                <w:rFonts w:eastAsia="Times New Roman" w:cs="Arial"/>
              </w:rPr>
            </w:pPr>
            <w:r>
              <w:rPr>
                <w:rFonts w:eastAsia="Times New Roman" w:cs="Arial"/>
                <w:b/>
                <w:bCs/>
                <w:color w:val="000000" w:themeColor="text1"/>
                <w:kern w:val="24"/>
              </w:rPr>
              <w:t>Not hospitalized within 90 days</w:t>
            </w:r>
          </w:p>
        </w:tc>
      </w:tr>
      <w:tr w:rsidR="000960D8" w:rsidRPr="00D254C3" w:rsidTr="000960D8">
        <w:trPr>
          <w:trHeight w:val="584"/>
        </w:trPr>
        <w:tc>
          <w:tcPr>
            <w:tcW w:w="1363" w:type="dxa"/>
            <w:vMerge w:val="restart"/>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rsidR="000960D8" w:rsidRPr="00D254C3" w:rsidRDefault="000960D8" w:rsidP="007F65CE">
            <w:pPr>
              <w:rPr>
                <w:rFonts w:eastAsia="Times New Roman" w:cs="Arial"/>
              </w:rPr>
            </w:pPr>
            <w:r>
              <w:rPr>
                <w:rFonts w:eastAsia="Times New Roman" w:cs="Arial"/>
                <w:b/>
                <w:bCs/>
                <w:color w:val="000000" w:themeColor="text1"/>
                <w:kern w:val="24"/>
              </w:rPr>
              <w:t xml:space="preserve">CDI </w:t>
            </w:r>
            <w:r w:rsidRPr="00D254C3">
              <w:rPr>
                <w:rFonts w:eastAsia="Times New Roman" w:cs="Arial"/>
                <w:b/>
                <w:bCs/>
                <w:color w:val="000000" w:themeColor="text1"/>
                <w:kern w:val="24"/>
              </w:rPr>
              <w:t>Case</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60D8" w:rsidRPr="00D254C3" w:rsidRDefault="000960D8" w:rsidP="000960D8">
            <w:pPr>
              <w:rPr>
                <w:rFonts w:eastAsia="Times New Roman" w:cs="Arial"/>
              </w:rPr>
            </w:pPr>
            <w:r>
              <w:rPr>
                <w:rFonts w:eastAsia="Times New Roman" w:cs="Arial"/>
                <w:b/>
                <w:bCs/>
                <w:color w:val="000000" w:themeColor="text1"/>
                <w:kern w:val="24"/>
              </w:rPr>
              <w:t>Hospitalization within 90 days</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60D8" w:rsidRPr="00D254C3" w:rsidRDefault="00FE639A" w:rsidP="007F65CE">
            <w:pPr>
              <w:jc w:val="center"/>
              <w:rPr>
                <w:rFonts w:eastAsia="Times New Roman" w:cs="Arial"/>
              </w:rPr>
            </w:pPr>
            <w:r>
              <w:rPr>
                <w:rFonts w:eastAsia="Times New Roman" w:cs="Arial"/>
                <w:color w:val="000000" w:themeColor="text1"/>
                <w:kern w:val="24"/>
              </w:rPr>
              <w:t>10,640</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60D8" w:rsidRPr="00D254C3" w:rsidRDefault="00FE639A" w:rsidP="007F65CE">
            <w:pPr>
              <w:jc w:val="center"/>
              <w:rPr>
                <w:rFonts w:eastAsia="Times New Roman" w:cs="Arial"/>
              </w:rPr>
            </w:pPr>
            <w:r>
              <w:rPr>
                <w:rFonts w:eastAsia="Times New Roman" w:cs="Arial"/>
                <w:color w:val="000000" w:themeColor="text1"/>
                <w:kern w:val="24"/>
              </w:rPr>
              <w:t>34,378</w:t>
            </w:r>
          </w:p>
        </w:tc>
      </w:tr>
      <w:tr w:rsidR="000960D8" w:rsidRPr="00D254C3" w:rsidTr="000960D8">
        <w:trPr>
          <w:trHeight w:val="584"/>
        </w:trPr>
        <w:tc>
          <w:tcPr>
            <w:tcW w:w="0" w:type="auto"/>
            <w:vMerge/>
            <w:tcBorders>
              <w:top w:val="nil"/>
              <w:left w:val="nil"/>
              <w:bottom w:val="nil"/>
              <w:right w:val="single" w:sz="8" w:space="0" w:color="000000"/>
            </w:tcBorders>
            <w:vAlign w:val="center"/>
            <w:hideMark/>
          </w:tcPr>
          <w:p w:rsidR="000960D8" w:rsidRPr="00D254C3" w:rsidRDefault="000960D8" w:rsidP="007F65CE">
            <w:pPr>
              <w:rPr>
                <w:rFonts w:eastAsia="Times New Roman" w:cs="Arial"/>
              </w:rPr>
            </w:pP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60D8" w:rsidRPr="00D254C3" w:rsidRDefault="000960D8" w:rsidP="007F65CE">
            <w:pPr>
              <w:rPr>
                <w:rFonts w:eastAsia="Times New Roman" w:cs="Arial"/>
              </w:rPr>
            </w:pPr>
            <w:r>
              <w:rPr>
                <w:rFonts w:eastAsia="Times New Roman" w:cs="Arial"/>
                <w:b/>
                <w:bCs/>
                <w:color w:val="000000" w:themeColor="text1"/>
                <w:kern w:val="24"/>
              </w:rPr>
              <w:t>Not hospitalized within 90 days</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60D8" w:rsidRPr="00D254C3" w:rsidRDefault="00FE639A" w:rsidP="007F65CE">
            <w:pPr>
              <w:jc w:val="center"/>
              <w:rPr>
                <w:rFonts w:eastAsia="Times New Roman" w:cs="Arial"/>
              </w:rPr>
            </w:pPr>
            <w:r>
              <w:rPr>
                <w:rFonts w:eastAsia="Times New Roman" w:cs="Arial"/>
                <w:color w:val="000000" w:themeColor="text1"/>
                <w:kern w:val="24"/>
              </w:rPr>
              <w:t>15,332</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60D8" w:rsidRPr="00D254C3" w:rsidRDefault="00FE639A" w:rsidP="007F65CE">
            <w:pPr>
              <w:jc w:val="center"/>
              <w:rPr>
                <w:rFonts w:eastAsia="Times New Roman" w:cs="Arial"/>
              </w:rPr>
            </w:pPr>
            <w:r>
              <w:rPr>
                <w:rFonts w:eastAsia="Times New Roman" w:cs="Arial"/>
                <w:color w:val="000000" w:themeColor="text1"/>
                <w:kern w:val="24"/>
              </w:rPr>
              <w:t>61,480</w:t>
            </w:r>
          </w:p>
        </w:tc>
      </w:tr>
    </w:tbl>
    <w:p w:rsidR="008A57D7" w:rsidRDefault="008A57D7" w:rsidP="008A57D7">
      <w:pPr>
        <w:tabs>
          <w:tab w:val="right" w:pos="540"/>
          <w:tab w:val="left" w:pos="720"/>
        </w:tabs>
        <w:rPr>
          <w:rFonts w:cs="Arial"/>
        </w:rPr>
      </w:pPr>
    </w:p>
    <w:p w:rsidR="008A57D7" w:rsidRDefault="008A57D7" w:rsidP="008A57D7">
      <w:pPr>
        <w:tabs>
          <w:tab w:val="right" w:pos="540"/>
          <w:tab w:val="left" w:pos="720"/>
        </w:tabs>
        <w:rPr>
          <w:rFonts w:cs="Arial"/>
          <w:color w:val="000000" w:themeColor="text1"/>
        </w:rPr>
      </w:pPr>
    </w:p>
    <w:p w:rsidR="00FE639A" w:rsidRDefault="00FE639A" w:rsidP="00FE639A">
      <w:pPr>
        <w:tabs>
          <w:tab w:val="right" w:pos="540"/>
          <w:tab w:val="left" w:pos="720"/>
        </w:tabs>
        <w:rPr>
          <w:rFonts w:cs="Arial"/>
          <w:color w:val="000000" w:themeColor="text1"/>
          <w:shd w:val="clear" w:color="auto" w:fill="FFFFFF"/>
        </w:rPr>
      </w:pPr>
      <w:r w:rsidRPr="00FC11E4">
        <w:rPr>
          <w:rFonts w:cs="Arial"/>
          <w:color w:val="000000" w:themeColor="text1"/>
        </w:rPr>
        <w:t xml:space="preserve">HR = </w:t>
      </w:r>
      <w:r w:rsidR="00FC11E4">
        <w:rPr>
          <w:rFonts w:cs="Arial"/>
          <w:color w:val="000000" w:themeColor="text1"/>
        </w:rPr>
        <w:t>1.95</w:t>
      </w:r>
      <w:r w:rsidRPr="00FC11E4">
        <w:rPr>
          <w:rFonts w:cs="Arial"/>
          <w:color w:val="000000" w:themeColor="text1"/>
          <w:shd w:val="clear" w:color="auto" w:fill="FFFFFF"/>
        </w:rPr>
        <w:t xml:space="preserve"> (CI</w:t>
      </w:r>
      <w:proofErr w:type="gramStart"/>
      <w:r w:rsidRPr="00FC11E4">
        <w:rPr>
          <w:rFonts w:cs="Arial"/>
          <w:color w:val="000000" w:themeColor="text1"/>
          <w:shd w:val="clear" w:color="auto" w:fill="FFFFFF"/>
        </w:rPr>
        <w:t>:</w:t>
      </w:r>
      <w:r w:rsidR="00FC11E4">
        <w:rPr>
          <w:rFonts w:cs="Arial"/>
          <w:color w:val="000000" w:themeColor="text1"/>
          <w:shd w:val="clear" w:color="auto" w:fill="FFFFFF"/>
        </w:rPr>
        <w:t>1.92</w:t>
      </w:r>
      <w:proofErr w:type="gramEnd"/>
      <w:r w:rsidR="00FC11E4">
        <w:rPr>
          <w:rFonts w:cs="Arial"/>
          <w:color w:val="000000" w:themeColor="text1"/>
          <w:shd w:val="clear" w:color="auto" w:fill="FFFFFF"/>
        </w:rPr>
        <w:t>-1.98</w:t>
      </w:r>
      <w:r w:rsidRPr="00FC11E4">
        <w:rPr>
          <w:rFonts w:cs="Arial"/>
          <w:color w:val="000000" w:themeColor="text1"/>
          <w:shd w:val="clear" w:color="auto" w:fill="FFFFFF"/>
        </w:rPr>
        <w:t>),</w:t>
      </w:r>
      <w:r>
        <w:rPr>
          <w:rFonts w:cs="Arial"/>
          <w:color w:val="000000" w:themeColor="text1"/>
          <w:shd w:val="clear" w:color="auto" w:fill="FFFFFF"/>
        </w:rPr>
        <w:t xml:space="preserve"> </w:t>
      </w:r>
      <w:r w:rsidRPr="00752C69">
        <w:rPr>
          <w:rFonts w:cs="Arial"/>
          <w:i/>
          <w:color w:val="000000" w:themeColor="text1"/>
          <w:shd w:val="clear" w:color="auto" w:fill="FFFFFF"/>
        </w:rPr>
        <w:t xml:space="preserve">p </w:t>
      </w:r>
      <w:r>
        <w:rPr>
          <w:rFonts w:cs="Arial"/>
          <w:color w:val="000000" w:themeColor="text1"/>
          <w:shd w:val="clear" w:color="auto" w:fill="FFFFFF"/>
        </w:rPr>
        <w:t xml:space="preserve">&lt; .001 </w:t>
      </w:r>
    </w:p>
    <w:p w:rsidR="008A57D7" w:rsidRDefault="007F65CE" w:rsidP="008A57D7">
      <w:pPr>
        <w:tabs>
          <w:tab w:val="right" w:pos="540"/>
          <w:tab w:val="left" w:pos="720"/>
        </w:tabs>
        <w:rPr>
          <w:rFonts w:cs="Arial"/>
        </w:rPr>
      </w:pPr>
      <w:r>
        <w:rPr>
          <w:rFonts w:cs="Arial"/>
        </w:rPr>
        <w:t>Attributable risk = 37.0% (CDI cases) – 21.3% (controls) = 15.7%</w:t>
      </w:r>
    </w:p>
    <w:p w:rsidR="008A57D7" w:rsidRDefault="008A57D7" w:rsidP="008A57D7">
      <w:pPr>
        <w:tabs>
          <w:tab w:val="right" w:pos="540"/>
          <w:tab w:val="left" w:pos="720"/>
        </w:tabs>
        <w:rPr>
          <w:rFonts w:cs="Arial"/>
        </w:rPr>
      </w:pPr>
    </w:p>
    <w:tbl>
      <w:tblPr>
        <w:tblW w:w="8240" w:type="dxa"/>
        <w:tblCellMar>
          <w:left w:w="0" w:type="dxa"/>
          <w:right w:w="0" w:type="dxa"/>
        </w:tblCellMar>
        <w:tblLook w:val="0420" w:firstRow="1" w:lastRow="0" w:firstColumn="0" w:lastColumn="0" w:noHBand="0" w:noVBand="1"/>
      </w:tblPr>
      <w:tblGrid>
        <w:gridCol w:w="1363"/>
        <w:gridCol w:w="2265"/>
        <w:gridCol w:w="2306"/>
        <w:gridCol w:w="2306"/>
      </w:tblGrid>
      <w:tr w:rsidR="008A57D7" w:rsidRPr="00D254C3" w:rsidTr="007F65CE">
        <w:trPr>
          <w:trHeight w:val="584"/>
        </w:trPr>
        <w:tc>
          <w:tcPr>
            <w:tcW w:w="1363" w:type="dxa"/>
            <w:tcBorders>
              <w:top w:val="nil"/>
              <w:left w:val="nil"/>
              <w:bottom w:val="nil"/>
              <w:right w:val="nil"/>
            </w:tcBorders>
            <w:shd w:val="clear" w:color="auto" w:fill="auto"/>
            <w:tcMar>
              <w:top w:w="72" w:type="dxa"/>
              <w:left w:w="144" w:type="dxa"/>
              <w:bottom w:w="72" w:type="dxa"/>
              <w:right w:w="144" w:type="dxa"/>
            </w:tcMar>
            <w:hideMark/>
          </w:tcPr>
          <w:p w:rsidR="008A57D7" w:rsidRPr="00D254C3" w:rsidRDefault="008A57D7" w:rsidP="007F65CE">
            <w:pPr>
              <w:rPr>
                <w:rFonts w:eastAsia="Times New Roman" w:cs="Arial"/>
              </w:rPr>
            </w:pPr>
          </w:p>
        </w:tc>
        <w:tc>
          <w:tcPr>
            <w:tcW w:w="2265" w:type="dxa"/>
            <w:tcBorders>
              <w:top w:val="nil"/>
              <w:left w:val="nil"/>
              <w:bottom w:val="nil"/>
              <w:right w:val="nil"/>
            </w:tcBorders>
            <w:shd w:val="clear" w:color="auto" w:fill="auto"/>
            <w:tcMar>
              <w:top w:w="72" w:type="dxa"/>
              <w:left w:w="144" w:type="dxa"/>
              <w:bottom w:w="72" w:type="dxa"/>
              <w:right w:w="144" w:type="dxa"/>
            </w:tcMar>
            <w:hideMark/>
          </w:tcPr>
          <w:p w:rsidR="008A57D7" w:rsidRPr="00327953" w:rsidRDefault="008A57D7" w:rsidP="008A57D7">
            <w:pPr>
              <w:pStyle w:val="ListParagraph"/>
              <w:numPr>
                <w:ilvl w:val="0"/>
                <w:numId w:val="25"/>
              </w:numPr>
              <w:rPr>
                <w:rFonts w:cs="Arial"/>
              </w:rPr>
            </w:pPr>
          </w:p>
        </w:tc>
        <w:tc>
          <w:tcPr>
            <w:tcW w:w="4612" w:type="dxa"/>
            <w:gridSpan w:val="2"/>
            <w:tcBorders>
              <w:top w:val="nil"/>
              <w:left w:val="nil"/>
              <w:bottom w:val="single" w:sz="8" w:space="0" w:color="000000"/>
              <w:right w:val="nil"/>
            </w:tcBorders>
            <w:shd w:val="clear" w:color="auto" w:fill="auto"/>
            <w:tcMar>
              <w:top w:w="72" w:type="dxa"/>
              <w:left w:w="144" w:type="dxa"/>
              <w:bottom w:w="72" w:type="dxa"/>
              <w:right w:w="144" w:type="dxa"/>
            </w:tcMar>
            <w:vAlign w:val="center"/>
            <w:hideMark/>
          </w:tcPr>
          <w:p w:rsidR="008A57D7" w:rsidRPr="00D254C3" w:rsidRDefault="008A57D7" w:rsidP="007F65CE">
            <w:pPr>
              <w:jc w:val="center"/>
              <w:rPr>
                <w:rFonts w:eastAsia="Times New Roman" w:cs="Arial"/>
              </w:rPr>
            </w:pPr>
            <w:r w:rsidRPr="00D254C3">
              <w:rPr>
                <w:rFonts w:eastAsia="Times New Roman" w:cs="Arial"/>
                <w:b/>
                <w:bCs/>
                <w:color w:val="000000" w:themeColor="text1"/>
                <w:kern w:val="24"/>
              </w:rPr>
              <w:t>Control</w:t>
            </w:r>
          </w:p>
        </w:tc>
      </w:tr>
      <w:tr w:rsidR="000960D8" w:rsidRPr="00D254C3" w:rsidTr="007F65CE">
        <w:trPr>
          <w:trHeight w:val="584"/>
        </w:trPr>
        <w:tc>
          <w:tcPr>
            <w:tcW w:w="1363" w:type="dxa"/>
            <w:tcBorders>
              <w:top w:val="nil"/>
              <w:left w:val="nil"/>
              <w:bottom w:val="nil"/>
              <w:right w:val="nil"/>
            </w:tcBorders>
            <w:shd w:val="clear" w:color="auto" w:fill="auto"/>
            <w:tcMar>
              <w:top w:w="72" w:type="dxa"/>
              <w:left w:w="144" w:type="dxa"/>
              <w:bottom w:w="72" w:type="dxa"/>
              <w:right w:w="144" w:type="dxa"/>
            </w:tcMar>
            <w:hideMark/>
          </w:tcPr>
          <w:p w:rsidR="000960D8" w:rsidRPr="00D254C3" w:rsidRDefault="000960D8" w:rsidP="007F65CE">
            <w:pPr>
              <w:rPr>
                <w:rFonts w:eastAsia="Times New Roman" w:cs="Arial"/>
              </w:rPr>
            </w:pPr>
          </w:p>
        </w:tc>
        <w:tc>
          <w:tcPr>
            <w:tcW w:w="2265" w:type="dxa"/>
            <w:tcBorders>
              <w:top w:val="nil"/>
              <w:left w:val="nil"/>
              <w:bottom w:val="single" w:sz="8" w:space="0" w:color="000000"/>
              <w:right w:val="single" w:sz="8" w:space="0" w:color="000000"/>
            </w:tcBorders>
            <w:shd w:val="clear" w:color="auto" w:fill="auto"/>
            <w:tcMar>
              <w:top w:w="72" w:type="dxa"/>
              <w:left w:w="144" w:type="dxa"/>
              <w:bottom w:w="72" w:type="dxa"/>
              <w:right w:w="144" w:type="dxa"/>
            </w:tcMar>
            <w:hideMark/>
          </w:tcPr>
          <w:p w:rsidR="000960D8" w:rsidRPr="00D254C3" w:rsidRDefault="000960D8" w:rsidP="007F65CE">
            <w:pPr>
              <w:rPr>
                <w:rFonts w:eastAsia="Times New Roman" w:cs="Arial"/>
              </w:rPr>
            </w:pP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60D8" w:rsidRPr="00D254C3" w:rsidRDefault="000960D8" w:rsidP="000960D8">
            <w:pPr>
              <w:jc w:val="center"/>
              <w:rPr>
                <w:rFonts w:eastAsia="Times New Roman" w:cs="Arial"/>
              </w:rPr>
            </w:pPr>
            <w:r>
              <w:rPr>
                <w:rFonts w:eastAsia="Times New Roman" w:cs="Arial"/>
                <w:b/>
                <w:bCs/>
                <w:color w:val="000000" w:themeColor="text1"/>
                <w:kern w:val="24"/>
              </w:rPr>
              <w:t>Hospitalization within one year</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60D8" w:rsidRPr="00D254C3" w:rsidRDefault="000960D8" w:rsidP="000960D8">
            <w:pPr>
              <w:jc w:val="center"/>
              <w:rPr>
                <w:rFonts w:eastAsia="Times New Roman" w:cs="Arial"/>
              </w:rPr>
            </w:pPr>
            <w:r>
              <w:rPr>
                <w:rFonts w:eastAsia="Times New Roman" w:cs="Arial"/>
                <w:b/>
                <w:bCs/>
                <w:color w:val="000000" w:themeColor="text1"/>
                <w:kern w:val="24"/>
              </w:rPr>
              <w:t>Not hospitalized within one year</w:t>
            </w:r>
          </w:p>
        </w:tc>
      </w:tr>
      <w:tr w:rsidR="000960D8" w:rsidRPr="00D254C3" w:rsidTr="007F65CE">
        <w:trPr>
          <w:trHeight w:val="584"/>
        </w:trPr>
        <w:tc>
          <w:tcPr>
            <w:tcW w:w="1363" w:type="dxa"/>
            <w:vMerge w:val="restart"/>
            <w:tcBorders>
              <w:top w:val="nil"/>
              <w:left w:val="nil"/>
              <w:bottom w:val="nil"/>
              <w:right w:val="single" w:sz="8" w:space="0" w:color="000000"/>
            </w:tcBorders>
            <w:shd w:val="clear" w:color="auto" w:fill="auto"/>
            <w:tcMar>
              <w:top w:w="72" w:type="dxa"/>
              <w:left w:w="144" w:type="dxa"/>
              <w:bottom w:w="72" w:type="dxa"/>
              <w:right w:w="144" w:type="dxa"/>
            </w:tcMar>
            <w:vAlign w:val="center"/>
            <w:hideMark/>
          </w:tcPr>
          <w:p w:rsidR="000960D8" w:rsidRPr="00D254C3" w:rsidRDefault="000960D8" w:rsidP="007F65CE">
            <w:pPr>
              <w:rPr>
                <w:rFonts w:eastAsia="Times New Roman" w:cs="Arial"/>
              </w:rPr>
            </w:pPr>
            <w:r w:rsidRPr="00D254C3">
              <w:rPr>
                <w:rFonts w:eastAsia="Times New Roman" w:cs="Arial"/>
                <w:b/>
                <w:bCs/>
                <w:color w:val="000000" w:themeColor="text1"/>
                <w:kern w:val="24"/>
              </w:rPr>
              <w:t>Case</w:t>
            </w: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60D8" w:rsidRPr="00D254C3" w:rsidRDefault="000960D8" w:rsidP="000960D8">
            <w:pPr>
              <w:rPr>
                <w:rFonts w:eastAsia="Times New Roman" w:cs="Arial"/>
              </w:rPr>
            </w:pPr>
            <w:r>
              <w:rPr>
                <w:rFonts w:eastAsia="Times New Roman" w:cs="Arial"/>
                <w:b/>
                <w:bCs/>
                <w:color w:val="000000" w:themeColor="text1"/>
                <w:kern w:val="24"/>
              </w:rPr>
              <w:t>Hospitalization within one year</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60D8" w:rsidRPr="00D254C3" w:rsidRDefault="003F0C85" w:rsidP="007F65CE">
            <w:pPr>
              <w:jc w:val="center"/>
              <w:rPr>
                <w:rFonts w:eastAsia="Times New Roman" w:cs="Arial"/>
              </w:rPr>
            </w:pPr>
            <w:r>
              <w:rPr>
                <w:rFonts w:eastAsia="Times New Roman" w:cs="Arial"/>
                <w:color w:val="000000" w:themeColor="text1"/>
                <w:kern w:val="24"/>
              </w:rPr>
              <w:t>31,447</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60D8" w:rsidRPr="00D254C3" w:rsidRDefault="003F0C85" w:rsidP="007F65CE">
            <w:pPr>
              <w:jc w:val="center"/>
              <w:rPr>
                <w:rFonts w:eastAsia="Times New Roman" w:cs="Arial"/>
              </w:rPr>
            </w:pPr>
            <w:r>
              <w:rPr>
                <w:rFonts w:eastAsia="Times New Roman" w:cs="Arial"/>
                <w:color w:val="000000" w:themeColor="text1"/>
                <w:kern w:val="24"/>
              </w:rPr>
              <w:t>36,817</w:t>
            </w:r>
          </w:p>
        </w:tc>
      </w:tr>
      <w:tr w:rsidR="000960D8" w:rsidRPr="00D254C3" w:rsidTr="007F65CE">
        <w:trPr>
          <w:trHeight w:val="584"/>
        </w:trPr>
        <w:tc>
          <w:tcPr>
            <w:tcW w:w="0" w:type="auto"/>
            <w:vMerge/>
            <w:tcBorders>
              <w:top w:val="nil"/>
              <w:left w:val="nil"/>
              <w:bottom w:val="nil"/>
              <w:right w:val="single" w:sz="8" w:space="0" w:color="000000"/>
            </w:tcBorders>
            <w:vAlign w:val="center"/>
            <w:hideMark/>
          </w:tcPr>
          <w:p w:rsidR="000960D8" w:rsidRPr="00D254C3" w:rsidRDefault="000960D8" w:rsidP="007F65CE">
            <w:pPr>
              <w:rPr>
                <w:rFonts w:eastAsia="Times New Roman" w:cs="Arial"/>
              </w:rPr>
            </w:pPr>
          </w:p>
        </w:tc>
        <w:tc>
          <w:tcPr>
            <w:tcW w:w="22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60D8" w:rsidRPr="00D254C3" w:rsidRDefault="000960D8" w:rsidP="000960D8">
            <w:pPr>
              <w:rPr>
                <w:rFonts w:eastAsia="Times New Roman" w:cs="Arial"/>
              </w:rPr>
            </w:pPr>
            <w:r>
              <w:rPr>
                <w:rFonts w:eastAsia="Times New Roman" w:cs="Arial"/>
                <w:b/>
                <w:bCs/>
                <w:color w:val="000000" w:themeColor="text1"/>
                <w:kern w:val="24"/>
              </w:rPr>
              <w:t>Not hospitalized within one year</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60D8" w:rsidRPr="00D254C3" w:rsidRDefault="003F0C85" w:rsidP="007F65CE">
            <w:pPr>
              <w:jc w:val="center"/>
              <w:rPr>
                <w:rFonts w:eastAsia="Times New Roman" w:cs="Arial"/>
              </w:rPr>
            </w:pPr>
            <w:r>
              <w:rPr>
                <w:rFonts w:eastAsia="Times New Roman" w:cs="Arial"/>
                <w:color w:val="000000" w:themeColor="text1"/>
                <w:kern w:val="24"/>
              </w:rPr>
              <w:t>21,669</w:t>
            </w:r>
          </w:p>
        </w:tc>
        <w:tc>
          <w:tcPr>
            <w:tcW w:w="230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0960D8" w:rsidRPr="00D254C3" w:rsidRDefault="003F0C85" w:rsidP="007F65CE">
            <w:pPr>
              <w:jc w:val="center"/>
              <w:rPr>
                <w:rFonts w:eastAsia="Times New Roman" w:cs="Arial"/>
              </w:rPr>
            </w:pPr>
            <w:r>
              <w:rPr>
                <w:rFonts w:eastAsia="Times New Roman" w:cs="Arial"/>
                <w:color w:val="000000" w:themeColor="text1"/>
                <w:kern w:val="24"/>
              </w:rPr>
              <w:t>31,897</w:t>
            </w:r>
          </w:p>
        </w:tc>
      </w:tr>
    </w:tbl>
    <w:p w:rsidR="008A57D7" w:rsidRDefault="008A57D7" w:rsidP="008A57D7">
      <w:pPr>
        <w:tabs>
          <w:tab w:val="right" w:pos="540"/>
          <w:tab w:val="left" w:pos="720"/>
        </w:tabs>
        <w:rPr>
          <w:rFonts w:cs="Arial"/>
        </w:rPr>
      </w:pPr>
    </w:p>
    <w:p w:rsidR="003F0C85" w:rsidRDefault="003F0C85" w:rsidP="003F0C85">
      <w:pPr>
        <w:tabs>
          <w:tab w:val="right" w:pos="540"/>
          <w:tab w:val="left" w:pos="720"/>
        </w:tabs>
        <w:rPr>
          <w:rFonts w:cs="Arial"/>
          <w:color w:val="000000" w:themeColor="text1"/>
          <w:shd w:val="clear" w:color="auto" w:fill="FFFFFF"/>
        </w:rPr>
      </w:pPr>
      <w:r>
        <w:rPr>
          <w:rFonts w:cs="Arial"/>
          <w:color w:val="000000" w:themeColor="text1"/>
        </w:rPr>
        <w:t>HR</w:t>
      </w:r>
      <w:r w:rsidRPr="00925359">
        <w:rPr>
          <w:rFonts w:cs="Arial"/>
          <w:color w:val="000000" w:themeColor="text1"/>
        </w:rPr>
        <w:t xml:space="preserve"> </w:t>
      </w:r>
      <w:r w:rsidRPr="00FC11E4">
        <w:rPr>
          <w:rFonts w:cs="Arial"/>
          <w:color w:val="000000" w:themeColor="text1"/>
        </w:rPr>
        <w:t xml:space="preserve">= </w:t>
      </w:r>
      <w:r w:rsidR="00FC11E4">
        <w:rPr>
          <w:rFonts w:cs="Arial"/>
          <w:color w:val="000000" w:themeColor="text1"/>
        </w:rPr>
        <w:t xml:space="preserve">1.52 </w:t>
      </w:r>
      <w:r w:rsidRPr="00FC11E4">
        <w:rPr>
          <w:rFonts w:cs="Arial"/>
          <w:color w:val="000000" w:themeColor="text1"/>
          <w:shd w:val="clear" w:color="auto" w:fill="FFFFFF"/>
        </w:rPr>
        <w:t>(CI</w:t>
      </w:r>
      <w:proofErr w:type="gramStart"/>
      <w:r w:rsidRPr="00FC11E4">
        <w:rPr>
          <w:rFonts w:cs="Arial"/>
          <w:color w:val="000000" w:themeColor="text1"/>
          <w:shd w:val="clear" w:color="auto" w:fill="FFFFFF"/>
        </w:rPr>
        <w:t>:</w:t>
      </w:r>
      <w:r w:rsidR="00FC11E4">
        <w:rPr>
          <w:rFonts w:cs="Arial"/>
          <w:color w:val="000000" w:themeColor="text1"/>
          <w:shd w:val="clear" w:color="auto" w:fill="FFFFFF"/>
        </w:rPr>
        <w:t>1.51</w:t>
      </w:r>
      <w:proofErr w:type="gramEnd"/>
      <w:r w:rsidR="00FC11E4">
        <w:rPr>
          <w:rFonts w:cs="Arial"/>
          <w:color w:val="000000" w:themeColor="text1"/>
          <w:shd w:val="clear" w:color="auto" w:fill="FFFFFF"/>
        </w:rPr>
        <w:t>-1.54</w:t>
      </w:r>
      <w:r w:rsidRPr="00FC11E4">
        <w:rPr>
          <w:rFonts w:cs="Arial"/>
          <w:color w:val="000000" w:themeColor="text1"/>
          <w:shd w:val="clear" w:color="auto" w:fill="FFFFFF"/>
        </w:rPr>
        <w:t xml:space="preserve">), </w:t>
      </w:r>
      <w:r w:rsidRPr="00FC11E4">
        <w:rPr>
          <w:rFonts w:cs="Arial"/>
          <w:i/>
          <w:color w:val="000000" w:themeColor="text1"/>
          <w:shd w:val="clear" w:color="auto" w:fill="FFFFFF"/>
        </w:rPr>
        <w:t>p</w:t>
      </w:r>
      <w:r w:rsidRPr="00752C69">
        <w:rPr>
          <w:rFonts w:cs="Arial"/>
          <w:i/>
          <w:color w:val="000000" w:themeColor="text1"/>
          <w:shd w:val="clear" w:color="auto" w:fill="FFFFFF"/>
        </w:rPr>
        <w:t xml:space="preserve"> </w:t>
      </w:r>
      <w:r>
        <w:rPr>
          <w:rFonts w:cs="Arial"/>
          <w:color w:val="000000" w:themeColor="text1"/>
          <w:shd w:val="clear" w:color="auto" w:fill="FFFFFF"/>
        </w:rPr>
        <w:t xml:space="preserve">&lt; .001 </w:t>
      </w:r>
    </w:p>
    <w:p w:rsidR="008A57D7" w:rsidRDefault="007F65CE" w:rsidP="00415DA1">
      <w:pPr>
        <w:tabs>
          <w:tab w:val="right" w:pos="540"/>
          <w:tab w:val="left" w:pos="720"/>
        </w:tabs>
        <w:rPr>
          <w:rFonts w:cs="Arial"/>
        </w:rPr>
      </w:pPr>
      <w:r>
        <w:rPr>
          <w:rFonts w:cs="Arial"/>
          <w:color w:val="000000" w:themeColor="text1"/>
          <w:shd w:val="clear" w:color="auto" w:fill="FFFFFF"/>
        </w:rPr>
        <w:t xml:space="preserve">Attributable risk = </w:t>
      </w:r>
      <w:r w:rsidR="003D7350">
        <w:rPr>
          <w:rFonts w:cs="Arial"/>
          <w:color w:val="000000" w:themeColor="text1"/>
          <w:shd w:val="clear" w:color="auto" w:fill="FFFFFF"/>
        </w:rPr>
        <w:t>56.0% (</w:t>
      </w:r>
      <w:r>
        <w:rPr>
          <w:rFonts w:cs="Arial"/>
        </w:rPr>
        <w:t xml:space="preserve">CDI cases) – </w:t>
      </w:r>
      <w:r w:rsidR="003D7350">
        <w:rPr>
          <w:rFonts w:cs="Arial"/>
        </w:rPr>
        <w:t>43.6</w:t>
      </w:r>
      <w:r>
        <w:rPr>
          <w:rFonts w:cs="Arial"/>
        </w:rPr>
        <w:t xml:space="preserve">% (controls) = </w:t>
      </w:r>
      <w:r w:rsidR="003D7350">
        <w:rPr>
          <w:rFonts w:cs="Arial"/>
        </w:rPr>
        <w:t>12.4</w:t>
      </w:r>
      <w:r>
        <w:rPr>
          <w:rFonts w:cs="Arial"/>
        </w:rPr>
        <w:t>%</w:t>
      </w:r>
    </w:p>
    <w:p w:rsidR="00E943E0" w:rsidRDefault="00E943E0" w:rsidP="00415DA1">
      <w:pPr>
        <w:tabs>
          <w:tab w:val="right" w:pos="540"/>
          <w:tab w:val="left" w:pos="720"/>
        </w:tabs>
        <w:rPr>
          <w:rFonts w:cs="Arial"/>
        </w:rPr>
      </w:pPr>
    </w:p>
    <w:p w:rsidR="00E943E0" w:rsidRDefault="00E943E0" w:rsidP="00415DA1">
      <w:pPr>
        <w:tabs>
          <w:tab w:val="right" w:pos="540"/>
          <w:tab w:val="left" w:pos="720"/>
        </w:tabs>
        <w:rPr>
          <w:rFonts w:cs="Arial"/>
        </w:rPr>
      </w:pPr>
    </w:p>
    <w:p w:rsidR="00E943E0" w:rsidRDefault="00E943E0" w:rsidP="00415DA1">
      <w:pPr>
        <w:tabs>
          <w:tab w:val="right" w:pos="540"/>
          <w:tab w:val="left" w:pos="720"/>
        </w:tabs>
        <w:rPr>
          <w:rFonts w:cs="Arial"/>
        </w:rPr>
      </w:pPr>
    </w:p>
    <w:p w:rsidR="00E943E0" w:rsidRDefault="00E943E0" w:rsidP="00415DA1">
      <w:pPr>
        <w:tabs>
          <w:tab w:val="right" w:pos="540"/>
          <w:tab w:val="left" w:pos="720"/>
        </w:tabs>
        <w:rPr>
          <w:rFonts w:cs="Arial"/>
        </w:rPr>
      </w:pPr>
    </w:p>
    <w:p w:rsidR="004E0B20" w:rsidRDefault="00E943E0" w:rsidP="004E0B20">
      <w:pPr>
        <w:tabs>
          <w:tab w:val="right" w:pos="540"/>
          <w:tab w:val="left" w:pos="720"/>
        </w:tabs>
        <w:spacing w:line="480" w:lineRule="auto"/>
        <w:rPr>
          <w:rFonts w:cs="Arial"/>
        </w:rPr>
      </w:pPr>
      <w:r>
        <w:rPr>
          <w:rFonts w:cs="Arial"/>
        </w:rPr>
        <w:lastRenderedPageBreak/>
        <w:t xml:space="preserve">Appendix Figure 4. Stratified Hazard Ratios and Rates of Hospitalization </w:t>
      </w:r>
      <w:r w:rsidR="004E0B20">
        <w:rPr>
          <w:rFonts w:cs="Arial"/>
        </w:rPr>
        <w:t>within 9</w:t>
      </w:r>
      <w:r w:rsidR="004E0B20">
        <w:rPr>
          <w:rFonts w:eastAsia="Calibri" w:cs="Arial"/>
        </w:rPr>
        <w:t xml:space="preserve">0 days after CDI or Control Index Date. The number of total patient included in the hospitalization analyses was 1,475,045 (158,558 CDI case patients and 1,316,487 control patients), after excluding 18,396 persons who died during the index hospitalization. </w:t>
      </w:r>
      <w:r w:rsidR="004E0B20">
        <w:rPr>
          <w:rFonts w:cs="Arial"/>
        </w:rPr>
        <w:t>The bars represent the hospitalization rates in control patients (open bars) and CDI case patients (grey bars).</w:t>
      </w:r>
    </w:p>
    <w:p w:rsidR="00E943E0" w:rsidRDefault="00E943E0" w:rsidP="00B11742">
      <w:pPr>
        <w:tabs>
          <w:tab w:val="right" w:pos="540"/>
          <w:tab w:val="left" w:pos="720"/>
        </w:tabs>
        <w:spacing w:line="480" w:lineRule="auto"/>
        <w:rPr>
          <w:rFonts w:cs="Arial"/>
        </w:rPr>
      </w:pPr>
      <w:r>
        <w:rPr>
          <w:rFonts w:cs="Arial"/>
          <w:noProof/>
        </w:rPr>
        <mc:AlternateContent>
          <mc:Choice Requires="wps">
            <w:drawing>
              <wp:anchor distT="0" distB="0" distL="114300" distR="114300" simplePos="0" relativeHeight="251663360" behindDoc="0" locked="0" layoutInCell="1" allowOverlap="1" wp14:anchorId="0AAF048A" wp14:editId="774DDDEC">
                <wp:simplePos x="0" y="0"/>
                <wp:positionH relativeFrom="column">
                  <wp:posOffset>304800</wp:posOffset>
                </wp:positionH>
                <wp:positionV relativeFrom="paragraph">
                  <wp:posOffset>33020</wp:posOffset>
                </wp:positionV>
                <wp:extent cx="137160" cy="13716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137160" cy="1371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28FE1" id="Rectangle 4" o:spid="_x0000_s1026" style="position:absolute;margin-left:24pt;margin-top:2.6pt;width:10.8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" filled="f" strokecolor="black [3213]" strokeweight=".5pt"/>
            </w:pict>
          </mc:Fallback>
        </mc:AlternateContent>
      </w:r>
      <w:r>
        <w:rPr>
          <w:rFonts w:cs="Arial"/>
          <w:noProof/>
        </w:rPr>
        <mc:AlternateContent>
          <mc:Choice Requires="wps">
            <w:drawing>
              <wp:anchor distT="0" distB="0" distL="114300" distR="114300" simplePos="0" relativeHeight="251662336" behindDoc="0" locked="0" layoutInCell="1" allowOverlap="1" wp14:anchorId="0147A4FE" wp14:editId="34915A4C">
                <wp:simplePos x="0" y="0"/>
                <wp:positionH relativeFrom="column">
                  <wp:posOffset>69850</wp:posOffset>
                </wp:positionH>
                <wp:positionV relativeFrom="paragraph">
                  <wp:posOffset>102870</wp:posOffset>
                </wp:positionV>
                <wp:extent cx="723900" cy="6350"/>
                <wp:effectExtent l="19050" t="19050" r="19050" b="31750"/>
                <wp:wrapNone/>
                <wp:docPr id="7" name="Straight Connector 7"/>
                <wp:cNvGraphicFramePr/>
                <a:graphic xmlns:a="http://schemas.openxmlformats.org/drawingml/2006/main">
                  <a:graphicData uri="http://schemas.microsoft.com/office/word/2010/wordprocessingShape">
                    <wps:wsp>
                      <wps:cNvCnPr/>
                      <wps:spPr>
                        <a:xfrm flipV="1">
                          <a:off x="0" y="0"/>
                          <a:ext cx="723900" cy="635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953694" id="Straight Connector 7"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8.1pt" to="6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" strokecolor="black [3213]" strokeweight="2.25pt"/>
            </w:pict>
          </mc:Fallback>
        </mc:AlternateContent>
      </w:r>
      <w:r>
        <w:rPr>
          <w:rFonts w:cs="Arial"/>
        </w:rPr>
        <w:t xml:space="preserve">                          Hazard ratio and 95% confidence interval.</w:t>
      </w:r>
      <w:r w:rsidR="00B11742">
        <w:rPr>
          <w:rFonts w:cs="Arial"/>
        </w:rPr>
        <w:t xml:space="preserve"> The </w:t>
      </w:r>
      <w:proofErr w:type="gramStart"/>
      <w:r w:rsidR="00B11742">
        <w:rPr>
          <w:rFonts w:cs="Arial"/>
        </w:rPr>
        <w:t>null hazard ratio of 1.0 is indicated by the horizontal dashed line</w:t>
      </w:r>
      <w:proofErr w:type="gramEnd"/>
      <w:r w:rsidR="00B11742">
        <w:rPr>
          <w:rFonts w:cs="Arial"/>
        </w:rPr>
        <w:t>.</w:t>
      </w:r>
    </w:p>
    <w:p w:rsidR="00E943E0" w:rsidRDefault="00C831EE" w:rsidP="00415DA1">
      <w:pPr>
        <w:tabs>
          <w:tab w:val="right" w:pos="540"/>
          <w:tab w:val="left" w:pos="720"/>
        </w:tabs>
        <w:rPr>
          <w:rFonts w:cs="Arial"/>
          <w:color w:val="000000" w:themeColor="text1"/>
          <w:shd w:val="clear" w:color="auto" w:fill="FFFFFF"/>
        </w:rPr>
      </w:pPr>
      <w:r>
        <w:rPr>
          <w:rFonts w:cs="Arial"/>
          <w:noProof/>
          <w:color w:val="000000" w:themeColor="text1"/>
          <w:shd w:val="clear" w:color="auto" w:fill="FFFFFF"/>
        </w:rPr>
        <w:drawing>
          <wp:inline distT="0" distB="0" distL="0" distR="0">
            <wp:extent cx="5788152" cy="4343400"/>
            <wp:effectExtent l="0" t="0" r="317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entile_hazard_ratios_ip90_barchart.gif"/>
                    <pic:cNvPicPr/>
                  </pic:nvPicPr>
                  <pic:blipFill>
                    <a:blip r:embed="rId9">
                      <a:extLst>
                        <a:ext uri="{28A0092B-C50C-407E-A947-70E740481C1C}">
                          <a14:useLocalDpi xmlns:a14="http://schemas.microsoft.com/office/drawing/2010/main" val="0"/>
                        </a:ext>
                      </a:extLst>
                    </a:blip>
                    <a:stretch>
                      <a:fillRect/>
                    </a:stretch>
                  </pic:blipFill>
                  <pic:spPr>
                    <a:xfrm>
                      <a:off x="0" y="0"/>
                      <a:ext cx="5788152" cy="4343400"/>
                    </a:xfrm>
                    <a:prstGeom prst="rect">
                      <a:avLst/>
                    </a:prstGeom>
                  </pic:spPr>
                </pic:pic>
              </a:graphicData>
            </a:graphic>
          </wp:inline>
        </w:drawing>
      </w:r>
    </w:p>
    <w:sectPr w:rsidR="00E943E0" w:rsidSect="00C20FC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971"/>
    <w:multiLevelType w:val="hybridMultilevel"/>
    <w:tmpl w:val="26A86B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5718FA"/>
    <w:multiLevelType w:val="hybridMultilevel"/>
    <w:tmpl w:val="E09EA758"/>
    <w:lvl w:ilvl="0" w:tplc="7102C3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AD2E12"/>
    <w:multiLevelType w:val="hybridMultilevel"/>
    <w:tmpl w:val="61487CD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07B60C61"/>
    <w:multiLevelType w:val="hybridMultilevel"/>
    <w:tmpl w:val="77627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30558A"/>
    <w:multiLevelType w:val="hybridMultilevel"/>
    <w:tmpl w:val="E8220F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D57CA0"/>
    <w:multiLevelType w:val="hybridMultilevel"/>
    <w:tmpl w:val="A02C3204"/>
    <w:lvl w:ilvl="0" w:tplc="8F0E72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168E9"/>
    <w:multiLevelType w:val="hybridMultilevel"/>
    <w:tmpl w:val="E5D81318"/>
    <w:lvl w:ilvl="0" w:tplc="1B6447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865C86"/>
    <w:multiLevelType w:val="hybridMultilevel"/>
    <w:tmpl w:val="CA5CA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020A4"/>
    <w:multiLevelType w:val="hybridMultilevel"/>
    <w:tmpl w:val="38FA4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332152"/>
    <w:multiLevelType w:val="hybridMultilevel"/>
    <w:tmpl w:val="5688F29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6E7170"/>
    <w:multiLevelType w:val="hybridMultilevel"/>
    <w:tmpl w:val="57D02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6434A1"/>
    <w:multiLevelType w:val="hybridMultilevel"/>
    <w:tmpl w:val="15E66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905D3C"/>
    <w:multiLevelType w:val="hybridMultilevel"/>
    <w:tmpl w:val="4C2A5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990B96"/>
    <w:multiLevelType w:val="hybridMultilevel"/>
    <w:tmpl w:val="6FC8B092"/>
    <w:lvl w:ilvl="0" w:tplc="85ACA94C">
      <w:start w:val="55"/>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E80B5D"/>
    <w:multiLevelType w:val="hybridMultilevel"/>
    <w:tmpl w:val="15E66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8B22B8"/>
    <w:multiLevelType w:val="hybridMultilevel"/>
    <w:tmpl w:val="A6EC33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E36184"/>
    <w:multiLevelType w:val="hybridMultilevel"/>
    <w:tmpl w:val="15E66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605138"/>
    <w:multiLevelType w:val="hybridMultilevel"/>
    <w:tmpl w:val="1F3C985E"/>
    <w:lvl w:ilvl="0" w:tplc="623E6940">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AA37AC"/>
    <w:multiLevelType w:val="hybridMultilevel"/>
    <w:tmpl w:val="2F7E55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C25D93"/>
    <w:multiLevelType w:val="hybridMultilevel"/>
    <w:tmpl w:val="6722E07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EC5A2F"/>
    <w:multiLevelType w:val="hybridMultilevel"/>
    <w:tmpl w:val="13004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8761C3"/>
    <w:multiLevelType w:val="hybridMultilevel"/>
    <w:tmpl w:val="77627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6BC6930"/>
    <w:multiLevelType w:val="hybridMultilevel"/>
    <w:tmpl w:val="80663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8E0DA4"/>
    <w:multiLevelType w:val="hybridMultilevel"/>
    <w:tmpl w:val="15E66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CA81D2A"/>
    <w:multiLevelType w:val="hybridMultilevel"/>
    <w:tmpl w:val="C39A6D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5F4001"/>
    <w:multiLevelType w:val="hybridMultilevel"/>
    <w:tmpl w:val="B4581A2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25"/>
  </w:num>
  <w:num w:numId="4">
    <w:abstractNumId w:val="1"/>
  </w:num>
  <w:num w:numId="5">
    <w:abstractNumId w:val="19"/>
  </w:num>
  <w:num w:numId="6">
    <w:abstractNumId w:val="5"/>
  </w:num>
  <w:num w:numId="7">
    <w:abstractNumId w:val="6"/>
  </w:num>
  <w:num w:numId="8">
    <w:abstractNumId w:val="7"/>
  </w:num>
  <w:num w:numId="9">
    <w:abstractNumId w:val="2"/>
  </w:num>
  <w:num w:numId="10">
    <w:abstractNumId w:val="15"/>
  </w:num>
  <w:num w:numId="11">
    <w:abstractNumId w:val="14"/>
  </w:num>
  <w:num w:numId="12">
    <w:abstractNumId w:val="16"/>
  </w:num>
  <w:num w:numId="13">
    <w:abstractNumId w:val="11"/>
  </w:num>
  <w:num w:numId="14">
    <w:abstractNumId w:val="23"/>
  </w:num>
  <w:num w:numId="15">
    <w:abstractNumId w:val="17"/>
  </w:num>
  <w:num w:numId="16">
    <w:abstractNumId w:val="22"/>
  </w:num>
  <w:num w:numId="17">
    <w:abstractNumId w:val="24"/>
  </w:num>
  <w:num w:numId="18">
    <w:abstractNumId w:val="8"/>
  </w:num>
  <w:num w:numId="19">
    <w:abstractNumId w:val="10"/>
  </w:num>
  <w:num w:numId="20">
    <w:abstractNumId w:val="20"/>
  </w:num>
  <w:num w:numId="21">
    <w:abstractNumId w:val="12"/>
  </w:num>
  <w:num w:numId="22">
    <w:abstractNumId w:val="3"/>
  </w:num>
  <w:num w:numId="23">
    <w:abstractNumId w:val="4"/>
  </w:num>
  <w:num w:numId="24">
    <w:abstractNumId w:val="18"/>
  </w:num>
  <w:num w:numId="25">
    <w:abstractNumId w:val="21"/>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FC8"/>
    <w:rsid w:val="00016410"/>
    <w:rsid w:val="00022729"/>
    <w:rsid w:val="000608A6"/>
    <w:rsid w:val="00070CFE"/>
    <w:rsid w:val="000922DE"/>
    <w:rsid w:val="0009350D"/>
    <w:rsid w:val="000960D8"/>
    <w:rsid w:val="000C48C4"/>
    <w:rsid w:val="000F1990"/>
    <w:rsid w:val="001133AD"/>
    <w:rsid w:val="001A1316"/>
    <w:rsid w:val="001D342D"/>
    <w:rsid w:val="002434E1"/>
    <w:rsid w:val="00280D5D"/>
    <w:rsid w:val="002A05FE"/>
    <w:rsid w:val="002B0488"/>
    <w:rsid w:val="002E5649"/>
    <w:rsid w:val="0035119F"/>
    <w:rsid w:val="003657F0"/>
    <w:rsid w:val="003D7350"/>
    <w:rsid w:val="003F0C85"/>
    <w:rsid w:val="00415DA1"/>
    <w:rsid w:val="004E0B20"/>
    <w:rsid w:val="004F726C"/>
    <w:rsid w:val="0053749F"/>
    <w:rsid w:val="00577F24"/>
    <w:rsid w:val="00594456"/>
    <w:rsid w:val="006047B1"/>
    <w:rsid w:val="0060689A"/>
    <w:rsid w:val="00680205"/>
    <w:rsid w:val="006A0B06"/>
    <w:rsid w:val="006B0376"/>
    <w:rsid w:val="006B48A3"/>
    <w:rsid w:val="006B490D"/>
    <w:rsid w:val="006B4963"/>
    <w:rsid w:val="006D012B"/>
    <w:rsid w:val="006D3A14"/>
    <w:rsid w:val="00760648"/>
    <w:rsid w:val="007875C0"/>
    <w:rsid w:val="007B329F"/>
    <w:rsid w:val="007E4627"/>
    <w:rsid w:val="007F65CE"/>
    <w:rsid w:val="00811BE4"/>
    <w:rsid w:val="00820FA7"/>
    <w:rsid w:val="008374DF"/>
    <w:rsid w:val="008623A7"/>
    <w:rsid w:val="008A57D7"/>
    <w:rsid w:val="008E4418"/>
    <w:rsid w:val="0091639C"/>
    <w:rsid w:val="009307C3"/>
    <w:rsid w:val="009866C3"/>
    <w:rsid w:val="009A52E0"/>
    <w:rsid w:val="00A4483C"/>
    <w:rsid w:val="00A73F8B"/>
    <w:rsid w:val="00AA63E4"/>
    <w:rsid w:val="00AC6DEA"/>
    <w:rsid w:val="00AD0340"/>
    <w:rsid w:val="00B07407"/>
    <w:rsid w:val="00B11742"/>
    <w:rsid w:val="00B14B38"/>
    <w:rsid w:val="00B31EC7"/>
    <w:rsid w:val="00B6187C"/>
    <w:rsid w:val="00B77AA7"/>
    <w:rsid w:val="00B94764"/>
    <w:rsid w:val="00BC6529"/>
    <w:rsid w:val="00C12DDF"/>
    <w:rsid w:val="00C20FC8"/>
    <w:rsid w:val="00C274FD"/>
    <w:rsid w:val="00C40108"/>
    <w:rsid w:val="00C831EE"/>
    <w:rsid w:val="00CF357E"/>
    <w:rsid w:val="00D354E9"/>
    <w:rsid w:val="00D4783E"/>
    <w:rsid w:val="00D65F2A"/>
    <w:rsid w:val="00DB0919"/>
    <w:rsid w:val="00DC1D4C"/>
    <w:rsid w:val="00DC2E84"/>
    <w:rsid w:val="00E07376"/>
    <w:rsid w:val="00E451AD"/>
    <w:rsid w:val="00E6013F"/>
    <w:rsid w:val="00E943E0"/>
    <w:rsid w:val="00E968F0"/>
    <w:rsid w:val="00EE33C2"/>
    <w:rsid w:val="00F971F3"/>
    <w:rsid w:val="00FC11E4"/>
    <w:rsid w:val="00FE55B8"/>
    <w:rsid w:val="00FE63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FC8AD"/>
  <w15:docId w15:val="{867DB796-AD42-4A6D-87CD-9066FB1C4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FC8"/>
    <w:pPr>
      <w:spacing w:after="0" w:line="240" w:lineRule="auto"/>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0FC8"/>
    <w:rPr>
      <w:color w:val="0000FF" w:themeColor="hyperlink"/>
      <w:u w:val="single"/>
    </w:rPr>
  </w:style>
  <w:style w:type="character" w:styleId="CommentReference">
    <w:name w:val="annotation reference"/>
    <w:basedOn w:val="DefaultParagraphFont"/>
    <w:uiPriority w:val="99"/>
    <w:semiHidden/>
    <w:unhideWhenUsed/>
    <w:rsid w:val="00C20FC8"/>
    <w:rPr>
      <w:sz w:val="16"/>
      <w:szCs w:val="16"/>
    </w:rPr>
  </w:style>
  <w:style w:type="paragraph" w:styleId="CommentText">
    <w:name w:val="annotation text"/>
    <w:basedOn w:val="Normal"/>
    <w:link w:val="CommentTextChar"/>
    <w:uiPriority w:val="99"/>
    <w:unhideWhenUsed/>
    <w:rsid w:val="00C20FC8"/>
    <w:rPr>
      <w:sz w:val="20"/>
      <w:szCs w:val="20"/>
    </w:rPr>
  </w:style>
  <w:style w:type="character" w:customStyle="1" w:styleId="CommentTextChar">
    <w:name w:val="Comment Text Char"/>
    <w:basedOn w:val="DefaultParagraphFont"/>
    <w:link w:val="CommentText"/>
    <w:uiPriority w:val="99"/>
    <w:rsid w:val="00C20FC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20FC8"/>
    <w:rPr>
      <w:b/>
      <w:bCs/>
    </w:rPr>
  </w:style>
  <w:style w:type="character" w:customStyle="1" w:styleId="CommentSubjectChar">
    <w:name w:val="Comment Subject Char"/>
    <w:basedOn w:val="CommentTextChar"/>
    <w:link w:val="CommentSubject"/>
    <w:uiPriority w:val="99"/>
    <w:semiHidden/>
    <w:rsid w:val="00C20FC8"/>
    <w:rPr>
      <w:rFonts w:ascii="Arial" w:hAnsi="Arial"/>
      <w:b/>
      <w:bCs/>
      <w:sz w:val="20"/>
      <w:szCs w:val="20"/>
    </w:rPr>
  </w:style>
  <w:style w:type="paragraph" w:styleId="BalloonText">
    <w:name w:val="Balloon Text"/>
    <w:basedOn w:val="Normal"/>
    <w:link w:val="BalloonTextChar"/>
    <w:uiPriority w:val="99"/>
    <w:semiHidden/>
    <w:unhideWhenUsed/>
    <w:rsid w:val="00C20FC8"/>
    <w:rPr>
      <w:rFonts w:ascii="Tahoma" w:hAnsi="Tahoma" w:cs="Tahoma"/>
      <w:sz w:val="16"/>
      <w:szCs w:val="16"/>
    </w:rPr>
  </w:style>
  <w:style w:type="character" w:customStyle="1" w:styleId="BalloonTextChar">
    <w:name w:val="Balloon Text Char"/>
    <w:basedOn w:val="DefaultParagraphFont"/>
    <w:link w:val="BalloonText"/>
    <w:uiPriority w:val="99"/>
    <w:semiHidden/>
    <w:rsid w:val="00C20FC8"/>
    <w:rPr>
      <w:rFonts w:ascii="Tahoma" w:hAnsi="Tahoma" w:cs="Tahoma"/>
      <w:sz w:val="16"/>
      <w:szCs w:val="16"/>
    </w:rPr>
  </w:style>
  <w:style w:type="paragraph" w:styleId="ListParagraph">
    <w:name w:val="List Paragraph"/>
    <w:basedOn w:val="Normal"/>
    <w:uiPriority w:val="34"/>
    <w:qFormat/>
    <w:rsid w:val="00C20FC8"/>
    <w:pPr>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C20FC8"/>
    <w:pPr>
      <w:spacing w:after="0" w:line="240" w:lineRule="auto"/>
    </w:pPr>
    <w:rPr>
      <w:rFonts w:ascii="Arial"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link w:val="SubtitleChar"/>
    <w:uiPriority w:val="11"/>
    <w:qFormat/>
    <w:rsid w:val="00C20FC8"/>
    <w:pPr>
      <w:numPr>
        <w:ilvl w:val="1"/>
      </w:numPr>
      <w:spacing w:line="480" w:lineRule="auto"/>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20FC8"/>
    <w:rPr>
      <w:rFonts w:asciiTheme="majorHAnsi" w:eastAsiaTheme="majorEastAsia" w:hAnsiTheme="majorHAnsi" w:cstheme="majorBidi"/>
      <w:i/>
      <w:iCs/>
      <w:color w:val="4F81BD" w:themeColor="accent1"/>
      <w:spacing w:val="15"/>
      <w:sz w:val="24"/>
      <w:szCs w:val="24"/>
    </w:rPr>
  </w:style>
  <w:style w:type="paragraph" w:customStyle="1" w:styleId="fulltext-text">
    <w:name w:val="fulltext-text"/>
    <w:basedOn w:val="Normal"/>
    <w:rsid w:val="00C20FC8"/>
    <w:pPr>
      <w:spacing w:before="100" w:beforeAutospacing="1" w:after="360"/>
    </w:pPr>
    <w:rPr>
      <w:rFonts w:ascii="Times New Roman" w:eastAsia="Times New Roman" w:hAnsi="Times New Roman" w:cs="Times New Roman"/>
      <w:sz w:val="24"/>
      <w:szCs w:val="24"/>
    </w:rPr>
  </w:style>
  <w:style w:type="paragraph" w:styleId="BodyText">
    <w:name w:val="Body Text"/>
    <w:basedOn w:val="Normal"/>
    <w:link w:val="BodyTextChar"/>
    <w:rsid w:val="00C20FC8"/>
    <w:pPr>
      <w:spacing w:after="120"/>
    </w:pPr>
    <w:rPr>
      <w:rFonts w:ascii="Times New Roman" w:eastAsia="Times New Roman" w:hAnsi="Times New Roman" w:cs="Times New Roman"/>
      <w:sz w:val="24"/>
      <w:szCs w:val="24"/>
      <w:lang w:val="fr-FR" w:eastAsia="fr-FR"/>
    </w:rPr>
  </w:style>
  <w:style w:type="character" w:customStyle="1" w:styleId="BodyTextChar">
    <w:name w:val="Body Text Char"/>
    <w:basedOn w:val="DefaultParagraphFont"/>
    <w:link w:val="BodyText"/>
    <w:rsid w:val="00C20FC8"/>
    <w:rPr>
      <w:rFonts w:ascii="Times New Roman" w:eastAsia="Times New Roman" w:hAnsi="Times New Roman" w:cs="Times New Roman"/>
      <w:sz w:val="24"/>
      <w:szCs w:val="24"/>
      <w:lang w:val="fr-FR" w:eastAsia="fr-FR"/>
    </w:rPr>
  </w:style>
  <w:style w:type="paragraph" w:styleId="NormalWeb">
    <w:name w:val="Normal (Web)"/>
    <w:basedOn w:val="Normal"/>
    <w:uiPriority w:val="99"/>
    <w:unhideWhenUsed/>
    <w:rsid w:val="00C20FC8"/>
    <w:pPr>
      <w:spacing w:before="100" w:beforeAutospacing="1" w:after="100" w:afterAutospacing="1"/>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C20FC8"/>
  </w:style>
  <w:style w:type="paragraph" w:styleId="Header">
    <w:name w:val="header"/>
    <w:basedOn w:val="Normal"/>
    <w:link w:val="HeaderChar"/>
    <w:uiPriority w:val="99"/>
    <w:semiHidden/>
    <w:unhideWhenUsed/>
    <w:rsid w:val="00C20FC8"/>
    <w:pPr>
      <w:tabs>
        <w:tab w:val="center" w:pos="4680"/>
        <w:tab w:val="right" w:pos="9360"/>
      </w:tabs>
    </w:pPr>
  </w:style>
  <w:style w:type="character" w:customStyle="1" w:styleId="HeaderChar">
    <w:name w:val="Header Char"/>
    <w:basedOn w:val="DefaultParagraphFont"/>
    <w:link w:val="Header"/>
    <w:uiPriority w:val="99"/>
    <w:semiHidden/>
    <w:rsid w:val="00C20FC8"/>
    <w:rPr>
      <w:rFonts w:ascii="Arial" w:hAnsi="Arial"/>
    </w:rPr>
  </w:style>
  <w:style w:type="paragraph" w:styleId="Footer">
    <w:name w:val="footer"/>
    <w:basedOn w:val="Normal"/>
    <w:link w:val="FooterChar"/>
    <w:uiPriority w:val="99"/>
    <w:unhideWhenUsed/>
    <w:rsid w:val="00C20FC8"/>
    <w:pPr>
      <w:tabs>
        <w:tab w:val="center" w:pos="4680"/>
        <w:tab w:val="right" w:pos="9360"/>
      </w:tabs>
    </w:pPr>
  </w:style>
  <w:style w:type="character" w:customStyle="1" w:styleId="FooterChar">
    <w:name w:val="Footer Char"/>
    <w:basedOn w:val="DefaultParagraphFont"/>
    <w:link w:val="Footer"/>
    <w:uiPriority w:val="99"/>
    <w:rsid w:val="00C20FC8"/>
    <w:rPr>
      <w:rFonts w:ascii="Arial" w:hAnsi="Arial"/>
    </w:rPr>
  </w:style>
  <w:style w:type="paragraph" w:styleId="PlainText">
    <w:name w:val="Plain Text"/>
    <w:basedOn w:val="Normal"/>
    <w:link w:val="PlainTextChar"/>
    <w:uiPriority w:val="99"/>
    <w:unhideWhenUsed/>
    <w:rsid w:val="00C20FC8"/>
    <w:rPr>
      <w:rFonts w:ascii="Calibri" w:hAnsi="Calibri"/>
      <w:szCs w:val="21"/>
    </w:rPr>
  </w:style>
  <w:style w:type="character" w:customStyle="1" w:styleId="PlainTextChar">
    <w:name w:val="Plain Text Char"/>
    <w:basedOn w:val="DefaultParagraphFont"/>
    <w:link w:val="PlainText"/>
    <w:uiPriority w:val="99"/>
    <w:rsid w:val="00C20FC8"/>
    <w:rPr>
      <w:rFonts w:ascii="Calibri" w:hAnsi="Calibri"/>
      <w:szCs w:val="21"/>
    </w:rPr>
  </w:style>
  <w:style w:type="paragraph" w:customStyle="1" w:styleId="EndNoteBibliographyTitle">
    <w:name w:val="EndNote Bibliography Title"/>
    <w:basedOn w:val="Normal"/>
    <w:link w:val="EndNoteBibliographyTitleChar"/>
    <w:rsid w:val="00C20FC8"/>
    <w:pPr>
      <w:jc w:val="center"/>
    </w:pPr>
    <w:rPr>
      <w:rFonts w:cs="Arial"/>
      <w:noProof/>
    </w:rPr>
  </w:style>
  <w:style w:type="character" w:customStyle="1" w:styleId="EndNoteBibliographyTitleChar">
    <w:name w:val="EndNote Bibliography Title Char"/>
    <w:basedOn w:val="DefaultParagraphFont"/>
    <w:link w:val="EndNoteBibliographyTitle"/>
    <w:rsid w:val="00C20FC8"/>
    <w:rPr>
      <w:rFonts w:ascii="Arial" w:hAnsi="Arial" w:cs="Arial"/>
      <w:noProof/>
    </w:rPr>
  </w:style>
  <w:style w:type="paragraph" w:customStyle="1" w:styleId="EndNoteBibliography">
    <w:name w:val="EndNote Bibliography"/>
    <w:basedOn w:val="Normal"/>
    <w:link w:val="EndNoteBibliographyChar"/>
    <w:rsid w:val="00C20FC8"/>
    <w:rPr>
      <w:rFonts w:cs="Arial"/>
      <w:noProof/>
    </w:rPr>
  </w:style>
  <w:style w:type="character" w:customStyle="1" w:styleId="EndNoteBibliographyChar">
    <w:name w:val="EndNote Bibliography Char"/>
    <w:basedOn w:val="DefaultParagraphFont"/>
    <w:link w:val="EndNoteBibliography"/>
    <w:rsid w:val="00C20FC8"/>
    <w:rPr>
      <w:rFonts w:ascii="Arial" w:hAnsi="Arial" w:cs="Arial"/>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8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11</Pages>
  <Words>1429</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Washington University Department of Medicine</Company>
  <LinksUpToDate>false</LinksUpToDate>
  <CharactersWithSpaces>9556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molsen</dc:creator>
  <cp:lastModifiedBy>Olsen, Margaret</cp:lastModifiedBy>
  <cp:revision>18</cp:revision>
  <cp:lastPrinted>2017-07-15T19:35:00Z</cp:lastPrinted>
  <dcterms:created xsi:type="dcterms:W3CDTF">2018-08-22T15:17:00Z</dcterms:created>
  <dcterms:modified xsi:type="dcterms:W3CDTF">2018-08-23T20:53:00Z</dcterms:modified>
</cp:coreProperties>
</file>