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73" w:rsidRPr="00AB0CEF" w:rsidRDefault="006D6173" w:rsidP="006D6173">
      <w:pPr>
        <w:pStyle w:val="Funotentext"/>
        <w:pageBreakBefore/>
        <w:spacing w:line="276" w:lineRule="auto"/>
        <w:contextualSpacing/>
        <w:rPr>
          <w:rFonts w:asciiTheme="majorHAnsi" w:hAnsiTheme="majorHAnsi"/>
          <w:sz w:val="20"/>
          <w:szCs w:val="20"/>
          <w:lang w:val="en-US"/>
        </w:rPr>
      </w:pPr>
      <w:r w:rsidRPr="00AB0CEF">
        <w:rPr>
          <w:rFonts w:asciiTheme="majorHAnsi" w:hAnsiTheme="majorHAnsi"/>
          <w:b/>
          <w:sz w:val="20"/>
          <w:szCs w:val="20"/>
          <w:lang w:val="en-US"/>
        </w:rPr>
        <w:t xml:space="preserve">Supplemental Table </w:t>
      </w:r>
      <w:r>
        <w:rPr>
          <w:rFonts w:asciiTheme="majorHAnsi" w:hAnsiTheme="majorHAnsi"/>
          <w:b/>
          <w:sz w:val="20"/>
          <w:szCs w:val="20"/>
          <w:lang w:val="en-US"/>
        </w:rPr>
        <w:t>S</w:t>
      </w:r>
      <w:r w:rsidR="002B30BD">
        <w:rPr>
          <w:rFonts w:asciiTheme="majorHAnsi" w:hAnsiTheme="majorHAnsi"/>
          <w:b/>
          <w:sz w:val="20"/>
          <w:szCs w:val="20"/>
          <w:lang w:val="en-US"/>
        </w:rPr>
        <w:t>1</w:t>
      </w:r>
      <w:r w:rsidRPr="00AB0CEF">
        <w:rPr>
          <w:rFonts w:asciiTheme="majorHAnsi" w:hAnsiTheme="majorHAnsi"/>
          <w:sz w:val="20"/>
          <w:szCs w:val="20"/>
          <w:lang w:val="en-US"/>
        </w:rPr>
        <w:t xml:space="preserve"> Search strategies</w:t>
      </w:r>
    </w:p>
    <w:p w:rsidR="006D6173" w:rsidRPr="00AB0CEF" w:rsidRDefault="006D6173" w:rsidP="006D6173">
      <w:pPr>
        <w:pStyle w:val="Funotentext"/>
        <w:spacing w:line="276" w:lineRule="auto"/>
        <w:contextualSpacing/>
        <w:rPr>
          <w:rFonts w:asciiTheme="majorHAnsi" w:hAnsiTheme="majorHAnsi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50"/>
        <w:gridCol w:w="11153"/>
      </w:tblGrid>
      <w:tr w:rsidR="006D6173" w:rsidRPr="006D6173" w:rsidTr="005F51D1">
        <w:tc>
          <w:tcPr>
            <w:tcW w:w="911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OVID Medline</w:t>
            </w:r>
          </w:p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153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proofErr w:type="gram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Cross Infection/ or ((nosocomial or hospital or ward or 'health care' or healthcare or central-line-associated or catheter-associated or ventilator-associated or 'surgical site') adj3 infection*).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or (nosocomial adj3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acqui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*).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. or (CLABSI or CAUTI or VAP or SSI).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.) and (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Infection Control/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Bacterial Infections/pc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Cross Infection/pc or ((infection* or incidence or nosocomial) adj3 (control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reduc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decrease*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 or diminish* or prevent*)).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.) and (</w:t>
            </w:r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clinical trial/ or (((intervention* or 'before) and after') or before-after).</w:t>
            </w:r>
            <w:proofErr w:type="spellStart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. or (pre adj6 post).</w:t>
            </w:r>
            <w:proofErr w:type="spellStart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. or (education* adj1 program*).</w:t>
            </w:r>
            <w:proofErr w:type="spellStart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. or (survey* adj1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infection*).</w:t>
            </w:r>
            <w:proofErr w:type="spellStart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. or (surveillance adj3 (system* or program*)).</w:t>
            </w:r>
            <w:proofErr w:type="spellStart"/>
            <w:r w:rsidRPr="00CE0321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6D6173" w:rsidRPr="006D6173" w:rsidTr="005F51D1">
        <w:tc>
          <w:tcPr>
            <w:tcW w:w="911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1153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limit 1 to (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yr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="2005 -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" and (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english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german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))</w:t>
            </w:r>
          </w:p>
        </w:tc>
      </w:tr>
      <w:tr w:rsidR="006D6173" w:rsidRPr="006D6173" w:rsidTr="005F51D1"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EMBASE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153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'hospital infection'/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((nosocomial OR hospital OR ward OR 'health care' OR healthcare OR 'central line associated' OR 'catheter associated' OR 'ventilator associated' OR 'surgical site') NEAR/3 infection*):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(nosocomial NEAR/3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acqui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clabsi:ti,ab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cauti:ti,ab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vap:ti,ab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ssi:ti,ab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('infection control'/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'infection prevention'/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((infection OR incidence OR nosocomial) NEAR/3 (control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reduc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decrease*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 OR diminish* OR prevent*)):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 AND ('intervention study'/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'nursing intervention'/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exp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intervention*: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'before and after':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'before after':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(pre NEAR/6 post):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(education* NEAR/1 program*):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(survey* NEAR/1 infection*):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(surveillance NEAR/3 (system* OR program*)):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 AND [2005-2016]/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py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NOT [conference abstract]/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([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english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]/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[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german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]/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6D6173" w:rsidRPr="006D6173" w:rsidTr="005F51D1">
        <w:tc>
          <w:tcPr>
            <w:tcW w:w="911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CINAHL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Query</w:t>
            </w:r>
          </w:p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153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((MH "Cross Infection+") OR TI ((nosocomial OR hospital OR ward OR 'health care' OR healthcare OR central-line-associated OR catheter-associated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ventilatorassociated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'surgical site') N3 infection*)  OR TI (nosocomial N3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acqui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*) OR TI (CLABSI OR CAUTI OR VAP OR SSI) OR AB ((nosocomial OR hospital OR ward OR 'health care' OR healthcare OR central-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lineassociated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catheter-associated OR ventilator-associated OR 'surgical site') N3 infection*) OR AB (nosocomial N3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acqui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*) OR AB (CLABSI OR CAUTI OR VAP OR SSI)) AND ((MH "Infection Control+") OR (MH "Cross Infection/PC") OR (MH "Infection/PC") OR TI ((infection* OR incidence OR nosocomial) N3 (control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reduc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decrease*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diminish* OR prevent*)) OR AB ((infection* OR incidence OR nosocomial) N3 (control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reduc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decrease*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 OR diminish* OR prevent*)) ) AND ((MH "Nursing Interventions") OR (MH "Intervention Trials") OR TI (intervention* OR 'before and after' OR before-after) OR AB (intervention* OR 'before and after' OR before-after) OR TI (pre N6 post) OR TI (education* N1 program*) OR TI (survey* N1 infection*) OR TI (surveillance N3 (system* OR program*)) OR AB (pre N6 post) OR AB (education* N1 program*) OR AB (survey* N1 infection*) OR AB (surveillance N3 (system* OR program*)))</w:t>
            </w:r>
          </w:p>
        </w:tc>
      </w:tr>
      <w:tr w:rsidR="006D6173" w:rsidRPr="006D6173" w:rsidTr="005F51D1">
        <w:tc>
          <w:tcPr>
            <w:tcW w:w="911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Limiters/ expanders</w:t>
            </w:r>
          </w:p>
        </w:tc>
        <w:tc>
          <w:tcPr>
            <w:tcW w:w="11153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Limiters - Published Date: 20050101 - 20161231; Language: English, German; Search modes - Find all my search terms</w:t>
            </w:r>
          </w:p>
        </w:tc>
      </w:tr>
      <w:tr w:rsidR="006D6173" w:rsidRPr="006D6173" w:rsidTr="005F51D1"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PubMed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153" w:type="dxa"/>
            <w:tcBorders>
              <w:top w:val="single" w:sz="4" w:space="0" w:color="auto"/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Search (((((((nosocomial[Title/Abstract] OR hospital[Title/Abstract] OR ward[Title/Abstract] OR "health care"[Title/Abstract] OR healthcare[Title/Abstract] OR central-line-associated[Title/Abstract] OR catheter-associated[Title/Abstract] OR ventilator-associated[Title/Abstract] OR "surgical site"[Title/Abstract])) AND (infection[Title/Abstract] OR infections[Title/Abstract]) OR "nosocomial acquired" [Title/Abstract] OR "nosocomial acquisition"[Title/Abstract] OR (CLABSI[Title/Abstract] OR CAUTI[Title/Abstract] OR VAP[Title/Abstract] OR SSI[Title/Abstract])) AND (((infection[Title/Abstract] OR incidence[Title/Abstract] OR nosocomial[Title/Abstract])) AND (control[Title/Abstract] OR reduced[Title/Abstract] OR reduction[Title/Abstract] OR reducing[Title/Abstract] OR decreased[Title/Abstract] OR decrease[Title/Abstract] OR minimized[Title/Abstract] OR minimization[Title/Abstract]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minimised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[Title/Abstract]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minimisation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[Title/Abstract] OR diminish[Title/Abstract] OR diminishing[Title/Abstract] OR diminished[Title/Abstract] OR prevent[Title/Abstract] OR prevention[Title/Abstract] OR prevented[Title/Abstract] OR preventing[Title/Abstract]))) AND ((intervention[Title/Abstract] OR interventions[Title/Abstract] OR interventional[Title/Abstract] OR "before AND after"[Title/Abstract] OR before-after[Title/Abstract] OR "education program" [Title/Abstract] OR "education programs"[Title/Abstract] OR "educational program"[Title/Abstract] OR "educational programs"[Title/Abstract] OR "surveyed infection"[Title/Abstract] OR "surveyed infections"[Title/Abstract] OR "infection survey" [Title/Abstract] OR "infection surveys"[Title/Abstract]) OR (pre[Title/Abstract] AND post[Title/Abstract] ) OR ((surveillance[Title/Abstract]) AND (system[Title/Abstract] OR systems[Title/Abstract] OR program[Title/Abstract] OR programs[Title/Abstract]))))) AND (((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inprocess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sb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])) OR (publisher[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sb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] NOT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pubstatusnihms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NOT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pubstatuspmcsd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NOT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pmcbook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)) Filters: Publication date from 2014/01/01; English; German</w:t>
            </w:r>
          </w:p>
        </w:tc>
      </w:tr>
      <w:tr w:rsidR="006D6173" w:rsidRPr="006D6173" w:rsidTr="005F51D1">
        <w:tc>
          <w:tcPr>
            <w:tcW w:w="911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The Cochrane Library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#1</w:t>
            </w:r>
          </w:p>
        </w:tc>
        <w:tc>
          <w:tcPr>
            <w:tcW w:w="11153" w:type="dxa"/>
            <w:tcBorders>
              <w:top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((nosocomial or hospital or ward or 'health care' or healthcare or central-line-associated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catheterassociated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ventilator-associated or 'surgical site') near/3 infection*) or (nosocomial near/3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acqui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*) or (CLABSI or CAUTI or VAP or SSI):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ti,ab,kw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(infection or incidence or nosocomial) near/3 (control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reduc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* or decrease* or 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minimi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* or diminish* or prevent*):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ti,ab,kw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(intervention* or 'before and after'  or before-after) or (pre near/6 post) or (education* near/1 program*) or (survey* near/1 infection*) or (surveillance near/3 (system* or program*)):</w:t>
            </w: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ti,ab,kw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(Word variations have been searched)</w:t>
            </w:r>
          </w:p>
        </w:tc>
      </w:tr>
      <w:tr w:rsidR="006D6173" w:rsidRPr="00AB0CEF" w:rsidTr="005F51D1">
        <w:tc>
          <w:tcPr>
            <w:tcW w:w="911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#2</w:t>
            </w:r>
          </w:p>
        </w:tc>
        <w:tc>
          <w:tcPr>
            <w:tcW w:w="11153" w:type="dxa"/>
            <w:tcBorders>
              <w:bottom w:val="single" w:sz="4" w:space="0" w:color="auto"/>
            </w:tcBorders>
          </w:tcPr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#1</w:t>
            </w:r>
          </w:p>
          <w:p w:rsidR="006D6173" w:rsidRPr="00AB0CEF" w:rsidRDefault="006D6173" w:rsidP="005F51D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Publication Year from 2005 to 2016</w:t>
            </w:r>
          </w:p>
        </w:tc>
      </w:tr>
    </w:tbl>
    <w:p w:rsidR="006D6173" w:rsidRPr="00AB0CEF" w:rsidRDefault="006D6173" w:rsidP="006D6173">
      <w:pPr>
        <w:pStyle w:val="Funotentext"/>
        <w:spacing w:line="276" w:lineRule="auto"/>
        <w:contextualSpacing/>
        <w:rPr>
          <w:rFonts w:asciiTheme="majorHAnsi" w:hAnsiTheme="majorHAnsi"/>
          <w:sz w:val="20"/>
          <w:szCs w:val="20"/>
          <w:lang w:val="en-US"/>
        </w:rPr>
      </w:pPr>
    </w:p>
    <w:p w:rsidR="006D6173" w:rsidRDefault="006D6173" w:rsidP="006D6173">
      <w:pPr>
        <w:sectPr w:rsidR="006D6173" w:rsidSect="006D6173">
          <w:footerReference w:type="default" r:id="rId6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04BE8" w:rsidRPr="00604CA6" w:rsidRDefault="00804BE8" w:rsidP="00804BE8">
      <w:pPr>
        <w:pageBreakBefore/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b/>
          <w:sz w:val="20"/>
          <w:szCs w:val="20"/>
          <w:lang w:val="en-US"/>
        </w:rPr>
        <w:lastRenderedPageBreak/>
        <w:t>Supplementary Table S</w:t>
      </w:r>
      <w:r w:rsidR="006D6173">
        <w:rPr>
          <w:rFonts w:asciiTheme="majorHAnsi" w:hAnsiTheme="majorHAnsi"/>
          <w:b/>
          <w:sz w:val="20"/>
          <w:szCs w:val="20"/>
          <w:lang w:val="en-US"/>
        </w:rPr>
        <w:t>2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 Intervention effects in studies on catheter-associated urinary tract infections reporting aggregated data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lenraster"/>
        <w:tblW w:w="87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</w:tblGrid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First Author Year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Baseline or control infection rate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Intervention infection rate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Change from baseline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Apisarnthanarak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21.5/1000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5.2/1000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-75.8%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Halperin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10.85/1000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6.2/1000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-42.9%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Maric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6.5/1000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4.1/1000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-36.9%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0.067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Martinez-</w:t>
            </w: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Resendez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16.68/1000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20.32/1000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+21.8%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0.51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Parry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4.78/1000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1.53/1000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-68.0%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Tillekeratne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30.4/1000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0.002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Titsworth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13.3/1000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-69.9%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</w:tbl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vertAlign w:val="superscript"/>
          <w:lang w:val="en-US"/>
        </w:rPr>
        <w:t>1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infection rate as per catheter-days or patient-days, whichever </w:t>
      </w:r>
      <w:proofErr w:type="gramStart"/>
      <w:r w:rsidRPr="00604CA6">
        <w:rPr>
          <w:rFonts w:asciiTheme="majorHAnsi" w:hAnsiTheme="majorHAnsi"/>
          <w:sz w:val="20"/>
          <w:szCs w:val="20"/>
          <w:lang w:val="en-US"/>
        </w:rPr>
        <w:t>was reported</w:t>
      </w:r>
      <w:proofErr w:type="gramEnd"/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p w:rsidR="00804BE8" w:rsidRPr="00604CA6" w:rsidRDefault="00804BE8" w:rsidP="00804BE8">
      <w:pPr>
        <w:pageBreakBefore/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b/>
          <w:sz w:val="20"/>
          <w:szCs w:val="20"/>
          <w:lang w:val="en-US"/>
        </w:rPr>
        <w:lastRenderedPageBreak/>
        <w:t>Supplementary Table S</w:t>
      </w:r>
      <w:r w:rsidR="006D6173">
        <w:rPr>
          <w:rFonts w:asciiTheme="majorHAnsi" w:hAnsiTheme="majorHAnsi"/>
          <w:b/>
          <w:sz w:val="20"/>
          <w:szCs w:val="20"/>
          <w:lang w:val="en-US"/>
        </w:rPr>
        <w:t>3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 Intervention effects in studies on central-line associated bloodstream infections reporting aggregated data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lenraster"/>
        <w:tblW w:w="87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</w:tblGrid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First Author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Baseline or control infection rate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Intervention infection rate 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Change from baseline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Abboud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2.84/1000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1.66/1000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-41.5%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Bukhari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10.1/1000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6.5/1000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-35.6%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Bion</w:t>
            </w:r>
            <w:proofErr w:type="spellEnd"/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3.70/1000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1.48/1000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Collignon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0.6/1000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-50.0%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&lt;0.0005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Frankel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11/1000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1.7/1000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-84.5%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Galpern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5.0/1000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0.9/1000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-82.0%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Grigonis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1.28/1000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0.96/1000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-25.0%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Maric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7.5/1000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2.5/1000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-66.7%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0.017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Marsteller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2.16/1000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1.33/1000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-38.4%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0.003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Martinez-</w:t>
            </w: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Resendez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14.37/1000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15.23/1000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+6.0%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0.81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Pronovost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2.7/1000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&lt;0.002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Reddy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2.41/1000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1.14/1000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-52.7%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&lt;0,001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Remington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1.2/1000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0.02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Wahl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12/1000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-66.7%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0.03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Zingg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2.3/1000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0.7/1000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-69.6%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&lt;0,001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for linear trend</w:t>
            </w:r>
          </w:p>
        </w:tc>
      </w:tr>
    </w:tbl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vertAlign w:val="superscript"/>
          <w:lang w:val="en-US"/>
        </w:rPr>
        <w:t>1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infection rate as per catheter-days or patient-days, whichever </w:t>
      </w:r>
      <w:proofErr w:type="gramStart"/>
      <w:r w:rsidRPr="00604CA6">
        <w:rPr>
          <w:rFonts w:asciiTheme="majorHAnsi" w:hAnsiTheme="majorHAnsi"/>
          <w:sz w:val="20"/>
          <w:szCs w:val="20"/>
          <w:lang w:val="en-US"/>
        </w:rPr>
        <w:t>was reported</w:t>
      </w:r>
      <w:proofErr w:type="gramEnd"/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p w:rsidR="00804BE8" w:rsidRPr="00604CA6" w:rsidRDefault="00804BE8" w:rsidP="00804BE8">
      <w:pPr>
        <w:pageBreakBefore/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b/>
          <w:sz w:val="20"/>
          <w:szCs w:val="20"/>
          <w:lang w:val="en-US"/>
        </w:rPr>
        <w:lastRenderedPageBreak/>
        <w:t>Supplementary Table S</w:t>
      </w:r>
      <w:r w:rsidR="006D6173">
        <w:rPr>
          <w:rFonts w:asciiTheme="majorHAnsi" w:hAnsiTheme="majorHAnsi"/>
          <w:b/>
          <w:sz w:val="20"/>
          <w:szCs w:val="20"/>
          <w:lang w:val="en-US"/>
        </w:rPr>
        <w:t>4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 Intervention effects in studies on surgical site infections reporting aggregated data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lenraster"/>
        <w:tblW w:w="87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</w:tblGrid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First Author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Baseline or control infection proportion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Intervention infection proportion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Change from baseline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Abboud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6.5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4.5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-30.8%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Ceppa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15.2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-38.7%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&lt;0.03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Liau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3.1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-83.9%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Ng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8.2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4.1</w:t>
            </w:r>
          </w:p>
        </w:tc>
        <w:tc>
          <w:tcPr>
            <w:tcW w:w="1701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-50.0%</w:t>
            </w:r>
          </w:p>
        </w:tc>
        <w:tc>
          <w:tcPr>
            <w:tcW w:w="1701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&lt;0.001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for trend</w:t>
            </w:r>
          </w:p>
        </w:tc>
      </w:tr>
    </w:tbl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vertAlign w:val="superscript"/>
          <w:lang w:val="en-US"/>
        </w:rPr>
        <w:t>1</w:t>
      </w:r>
      <w:r w:rsidRPr="00604CA6">
        <w:rPr>
          <w:rFonts w:asciiTheme="majorHAnsi" w:hAnsiTheme="majorHAnsi"/>
          <w:sz w:val="20"/>
          <w:szCs w:val="20"/>
          <w:lang w:val="en-US"/>
        </w:rPr>
        <w:t>proportion in percent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p w:rsidR="00804BE8" w:rsidRPr="00604CA6" w:rsidRDefault="00804BE8" w:rsidP="00804BE8">
      <w:pPr>
        <w:pageBreakBefore/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b/>
          <w:sz w:val="20"/>
          <w:szCs w:val="20"/>
          <w:lang w:val="en-US"/>
        </w:rPr>
        <w:lastRenderedPageBreak/>
        <w:t>Supplementary Table S</w:t>
      </w:r>
      <w:r w:rsidR="006D6173">
        <w:rPr>
          <w:rFonts w:asciiTheme="majorHAnsi" w:hAnsiTheme="majorHAnsi"/>
          <w:b/>
          <w:sz w:val="20"/>
          <w:szCs w:val="20"/>
          <w:lang w:val="en-US"/>
        </w:rPr>
        <w:t>5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 Intervention effects in studies on ventilator-associated pneumonia reporting aggregated data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lenraster"/>
        <w:tblW w:w="91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1873"/>
        <w:gridCol w:w="1529"/>
      </w:tblGrid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First Author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Baseline or control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infection rate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or proportion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Intervention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infection rate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or proportion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Change from baseline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Abboud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1.22/1000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1.43/1000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+17.2%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Alsadat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30/1000 (Hospital 1)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24/1000 (Hospital 2)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12/1000 (Hospital 3)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6.4/1000 (Hospital 1)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19/1000 (Hospital 2)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4.9/1000 (Hospital 3)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-78.7% (Hospital 1) 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-20.8% (Hospital 2)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-59.2% (Hospital 3)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Ban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17.38/1000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11.04/1000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-36.5%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0.074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Berenholtz</w:t>
            </w:r>
            <w:proofErr w:type="spellEnd"/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5.5/1000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Bird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10.2/1000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3.4/1000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-66. 7%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Cachecho</w:t>
            </w:r>
            <w:proofErr w:type="spellEnd"/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7.8/1000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1.4/1000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-82.1%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&lt;0.05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Chen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1.5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Khan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8.6/1000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2.0/1000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-76.7%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Maric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28.4/1000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26.5/1000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-6.7%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0.055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Martinez-</w:t>
            </w: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Resendez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17.47/1000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12.40/1000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-29.0%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0.086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Micik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13.4/1000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7.69/1000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-42.6%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Miller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2.7/1000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1.6/1000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-40.7%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Mohamed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23/1000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14/1000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-39.1%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Morris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32/1000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12/1000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-62.5%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Parisi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21.6/1000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11.6/1000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-46. 3%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Perez-</w:t>
            </w: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Granda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23.92/1000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13.49/1000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-43.6%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0.005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Rello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12.9/1000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9.28/1000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-28. 1%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&lt;0.05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Sen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15.4/1000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9.1/1000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-40.9%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ns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Shitrit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5.97/1000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2.34/1000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-60.8%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&lt;0.001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Viana</w:t>
            </w:r>
            <w:proofErr w:type="spellEnd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18.6/1000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11.8/1000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-36.6%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0.002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 xml:space="preserve">Wahl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42/1000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13/1000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-69.1%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0.001</w:t>
            </w:r>
          </w:p>
        </w:tc>
      </w:tr>
      <w:tr w:rsidR="00804BE8" w:rsidRPr="00604CA6" w:rsidTr="00D143B3">
        <w:trPr>
          <w:trHeight w:val="255"/>
        </w:trPr>
        <w:tc>
          <w:tcPr>
            <w:tcW w:w="1814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Youngquist</w:t>
            </w:r>
            <w:proofErr w:type="spellEnd"/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6.01/1000 (Site 1)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2.66/1000 (Site 2)</w:t>
            </w:r>
          </w:p>
        </w:tc>
        <w:tc>
          <w:tcPr>
            <w:tcW w:w="1984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2.7/1000 (Site 1)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0/1000 (Site 2)</w:t>
            </w:r>
          </w:p>
        </w:tc>
        <w:tc>
          <w:tcPr>
            <w:tcW w:w="1873" w:type="dxa"/>
            <w:noWrap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-55.1% (Site 1)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-100% (Site 2)</w:t>
            </w:r>
          </w:p>
        </w:tc>
        <w:tc>
          <w:tcPr>
            <w:tcW w:w="1529" w:type="dxa"/>
          </w:tcPr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  <w:p w:rsidR="00804BE8" w:rsidRPr="00604CA6" w:rsidRDefault="00804BE8" w:rsidP="00D143B3">
            <w:pPr>
              <w:spacing w:after="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Not reported</w:t>
            </w:r>
          </w:p>
        </w:tc>
      </w:tr>
    </w:tbl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vertAlign w:val="superscript"/>
          <w:lang w:val="en-US"/>
        </w:rPr>
        <w:t>1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infection rate as per ventilator-days or patient-days, whichever </w:t>
      </w:r>
      <w:proofErr w:type="gramStart"/>
      <w:r w:rsidRPr="00604CA6">
        <w:rPr>
          <w:rFonts w:asciiTheme="majorHAnsi" w:hAnsiTheme="majorHAnsi"/>
          <w:sz w:val="20"/>
          <w:szCs w:val="20"/>
          <w:lang w:val="en-US"/>
        </w:rPr>
        <w:t>was reported</w:t>
      </w:r>
      <w:proofErr w:type="gramEnd"/>
    </w:p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Pr="00604CA6">
        <w:rPr>
          <w:rFonts w:asciiTheme="majorHAnsi" w:hAnsiTheme="majorHAnsi"/>
          <w:sz w:val="20"/>
          <w:szCs w:val="20"/>
          <w:lang w:val="en-US"/>
        </w:rPr>
        <w:t>proportion in percent</w:t>
      </w:r>
    </w:p>
    <w:p w:rsidR="00804BE8" w:rsidRPr="00604CA6" w:rsidRDefault="00804BE8" w:rsidP="00804BE8">
      <w:pPr>
        <w:tabs>
          <w:tab w:val="left" w:pos="4305"/>
        </w:tabs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sz w:val="20"/>
          <w:szCs w:val="20"/>
          <w:lang w:val="en-US"/>
        </w:rPr>
        <w:t>Abbreviation: ns, not significant</w:t>
      </w:r>
    </w:p>
    <w:p w:rsidR="00804BE8" w:rsidRPr="00604CA6" w:rsidRDefault="00804BE8" w:rsidP="00804BE8">
      <w:pPr>
        <w:pageBreakBefore/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604CA6">
        <w:rPr>
          <w:rFonts w:asciiTheme="majorHAnsi" w:hAnsiTheme="majorHAnsi"/>
          <w:b/>
          <w:sz w:val="20"/>
          <w:szCs w:val="20"/>
          <w:lang w:val="en-US"/>
        </w:rPr>
        <w:lastRenderedPageBreak/>
        <w:t>Supplementary Table S</w:t>
      </w:r>
      <w:r w:rsidR="006D6173">
        <w:rPr>
          <w:rFonts w:asciiTheme="majorHAnsi" w:hAnsiTheme="majorHAnsi"/>
          <w:b/>
          <w:sz w:val="20"/>
          <w:szCs w:val="20"/>
          <w:lang w:val="en-US"/>
        </w:rPr>
        <w:t>6</w:t>
      </w:r>
      <w:r w:rsidRPr="00604CA6">
        <w:rPr>
          <w:rFonts w:asciiTheme="majorHAnsi" w:hAnsiTheme="majorHAnsi"/>
          <w:sz w:val="20"/>
          <w:szCs w:val="20"/>
          <w:lang w:val="en-US"/>
        </w:rPr>
        <w:t xml:space="preserve"> Risk of bias assessment in included studies with designs other than uncontrolled before-and-after</w:t>
      </w:r>
    </w:p>
    <w:p w:rsidR="00804BE8" w:rsidRPr="00604CA6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1580"/>
        <w:gridCol w:w="586"/>
        <w:gridCol w:w="585"/>
        <w:gridCol w:w="585"/>
        <w:gridCol w:w="584"/>
        <w:gridCol w:w="584"/>
        <w:gridCol w:w="584"/>
        <w:gridCol w:w="584"/>
        <w:gridCol w:w="584"/>
        <w:gridCol w:w="584"/>
        <w:gridCol w:w="584"/>
      </w:tblGrid>
      <w:tr w:rsidR="00804BE8" w:rsidRPr="006D6173" w:rsidTr="00D143B3">
        <w:trPr>
          <w:cantSplit/>
          <w:trHeight w:val="454"/>
        </w:trPr>
        <w:tc>
          <w:tcPr>
            <w:tcW w:w="9070" w:type="dxa"/>
            <w:gridSpan w:val="12"/>
            <w:noWrap/>
            <w:vAlign w:val="bottom"/>
          </w:tcPr>
          <w:p w:rsidR="00804BE8" w:rsidRPr="00604CA6" w:rsidRDefault="00804BE8" w:rsidP="00D143B3">
            <w:pPr>
              <w:spacing w:after="0"/>
              <w:ind w:left="23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  <w:t>Randomized controlled trials or controlled before-and-after studies</w:t>
            </w:r>
          </w:p>
        </w:tc>
      </w:tr>
      <w:tr w:rsidR="00804BE8" w:rsidRPr="00AB0CEF" w:rsidTr="00D143B3">
        <w:trPr>
          <w:cantSplit/>
          <w:trHeight w:val="2444"/>
        </w:trPr>
        <w:tc>
          <w:tcPr>
            <w:tcW w:w="1647" w:type="dxa"/>
            <w:noWrap/>
            <w:vAlign w:val="bottom"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First Author </w:t>
            </w:r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79" w:type="dxa"/>
            <w:noWrap/>
            <w:vAlign w:val="bottom"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586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Adequate sequence generation?</w:t>
            </w:r>
          </w:p>
        </w:tc>
        <w:tc>
          <w:tcPr>
            <w:tcW w:w="585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Allocation concealment?</w:t>
            </w:r>
          </w:p>
        </w:tc>
        <w:tc>
          <w:tcPr>
            <w:tcW w:w="585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proofErr w:type="gramStart"/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Blinding?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 xml:space="preserve">Incomplete outcome data </w:t>
            </w:r>
            <w:proofErr w:type="gramStart"/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addressed?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proofErr w:type="gramStart"/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Free of selective reporting?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proofErr w:type="gramStart"/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Free of other bias?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Baseline outcomes similar?</w:t>
            </w:r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proofErr w:type="gramStart"/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Free of contamination?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604CA6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Baseline characteristics similar?</w:t>
            </w:r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/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604CA6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Overall risk of bias</w:t>
            </w: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Abbasinia</w:t>
            </w:r>
            <w:proofErr w:type="spellEnd"/>
          </w:p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579" w:type="dxa"/>
            <w:noWrap/>
          </w:tcPr>
          <w:p w:rsidR="00804BE8" w:rsidRPr="00604CA6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04CA6">
              <w:rPr>
                <w:rFonts w:asciiTheme="majorHAnsi" w:hAnsiTheme="majorHAnsi"/>
                <w:sz w:val="20"/>
                <w:szCs w:val="20"/>
                <w:lang w:val="en-US"/>
              </w:rPr>
              <w:t>RCT</w:t>
            </w:r>
          </w:p>
        </w:tc>
        <w:tc>
          <w:tcPr>
            <w:tcW w:w="586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Anthony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RCT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Chen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RCT</w:t>
            </w:r>
          </w:p>
        </w:tc>
        <w:tc>
          <w:tcPr>
            <w:tcW w:w="586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Marsteller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Cluster-RCT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Mody</w:t>
            </w:r>
            <w:proofErr w:type="spellEnd"/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Cluster-RCT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O'Neil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CBA</w:t>
            </w:r>
          </w:p>
        </w:tc>
        <w:tc>
          <w:tcPr>
            <w:tcW w:w="586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0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  <w:tr w:rsidR="00804BE8" w:rsidRPr="00AB0CEF" w:rsidTr="00D143B3">
        <w:trPr>
          <w:cantSplit/>
          <w:trHeight w:val="454"/>
        </w:trPr>
        <w:tc>
          <w:tcPr>
            <w:tcW w:w="9070" w:type="dxa"/>
            <w:gridSpan w:val="12"/>
            <w:noWrap/>
            <w:vAlign w:val="bottom"/>
          </w:tcPr>
          <w:p w:rsidR="00804BE8" w:rsidRPr="00AB0CEF" w:rsidRDefault="00804BE8" w:rsidP="00D143B3">
            <w:pPr>
              <w:spacing w:after="0"/>
              <w:ind w:left="23" w:right="113" w:hanging="23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  <w:t>Interrupted time-series study</w:t>
            </w:r>
          </w:p>
        </w:tc>
      </w:tr>
      <w:tr w:rsidR="00804BE8" w:rsidRPr="00AB0CEF" w:rsidTr="00D143B3">
        <w:trPr>
          <w:cantSplit/>
          <w:trHeight w:val="2267"/>
        </w:trPr>
        <w:tc>
          <w:tcPr>
            <w:tcW w:w="1647" w:type="dxa"/>
            <w:noWrap/>
            <w:vAlign w:val="bottom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First Author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highlight w:val="green"/>
                <w:lang w:val="en-US"/>
              </w:rPr>
            </w:pPr>
            <w:r w:rsidRPr="00AB0CE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79" w:type="dxa"/>
            <w:noWrap/>
            <w:vAlign w:val="bottom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highlight w:val="magenta"/>
                <w:lang w:val="en-US"/>
              </w:rPr>
            </w:pPr>
            <w:r w:rsidRPr="00AB0CE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586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Intervention independent?</w:t>
            </w:r>
          </w:p>
        </w:tc>
        <w:tc>
          <w:tcPr>
            <w:tcW w:w="585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Analy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z</w:t>
            </w:r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ed appropriately?</w:t>
            </w:r>
            <w:proofErr w:type="gramEnd"/>
          </w:p>
        </w:tc>
        <w:tc>
          <w:tcPr>
            <w:tcW w:w="585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Shape of effect pre-</w:t>
            </w:r>
            <w:proofErr w:type="gramStart"/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specified?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Unlikely to affect data collection?</w:t>
            </w:r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Blinding?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 xml:space="preserve">Incomplete outcome data </w:t>
            </w:r>
            <w:proofErr w:type="gramStart"/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addressed?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B0CEF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Free of selective reporting?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B0CE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  <w:t>Free of other bias?</w:t>
            </w:r>
            <w:proofErr w:type="gramEnd"/>
          </w:p>
        </w:tc>
        <w:tc>
          <w:tcPr>
            <w:tcW w:w="584" w:type="dxa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04BE8" w:rsidRPr="00AB0CEF" w:rsidRDefault="00804BE8" w:rsidP="00D143B3">
            <w:pPr>
              <w:spacing w:after="0"/>
              <w:ind w:left="21" w:right="113" w:hanging="21"/>
              <w:contextualSpacing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</w:pPr>
            <w:r w:rsidRPr="00AB0CE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n-US"/>
              </w:rPr>
              <w:t>Overall risk of bias</w:t>
            </w:r>
          </w:p>
        </w:tc>
      </w:tr>
      <w:tr w:rsidR="00804BE8" w:rsidRPr="00AB0CEF" w:rsidTr="00D143B3">
        <w:trPr>
          <w:trHeight w:val="255"/>
        </w:trPr>
        <w:tc>
          <w:tcPr>
            <w:tcW w:w="1647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Ng </w:t>
            </w:r>
          </w:p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579" w:type="dxa"/>
            <w:noWrap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CEF">
              <w:rPr>
                <w:rFonts w:asciiTheme="majorHAnsi" w:hAnsiTheme="majorHAnsi"/>
                <w:sz w:val="20"/>
                <w:szCs w:val="20"/>
                <w:lang w:val="en-US"/>
              </w:rPr>
              <w:t>ITS</w:t>
            </w:r>
          </w:p>
        </w:tc>
        <w:tc>
          <w:tcPr>
            <w:tcW w:w="586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92D05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shd w:val="clear" w:color="auto" w:fill="FFC000"/>
            <w:vAlign w:val="center"/>
          </w:tcPr>
          <w:p w:rsidR="00804BE8" w:rsidRPr="00AB0CEF" w:rsidRDefault="00804BE8" w:rsidP="00D143B3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  <w:bCs/>
                <w:color w:val="0066CC"/>
                <w:sz w:val="20"/>
                <w:szCs w:val="20"/>
                <w:lang w:val="en-US"/>
              </w:rPr>
            </w:pPr>
          </w:p>
        </w:tc>
      </w:tr>
    </w:tbl>
    <w:p w:rsidR="00804BE8" w:rsidRPr="00AB0CEF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AB0CEF">
        <w:rPr>
          <w:rFonts w:asciiTheme="majorHAnsi" w:hAnsiTheme="majorHAnsi"/>
          <w:sz w:val="20"/>
          <w:szCs w:val="20"/>
          <w:lang w:val="en-US"/>
        </w:rPr>
        <w:t xml:space="preserve">Abbreviations: RCT, randomized controlled trial; CBA, controlled before-and-after </w:t>
      </w:r>
      <w:proofErr w:type="spellStart"/>
      <w:r w:rsidRPr="00AB0CEF">
        <w:rPr>
          <w:rFonts w:asciiTheme="majorHAnsi" w:hAnsiTheme="majorHAnsi"/>
          <w:sz w:val="20"/>
          <w:szCs w:val="20"/>
          <w:lang w:val="en-US"/>
        </w:rPr>
        <w:t>desgn</w:t>
      </w:r>
      <w:proofErr w:type="spellEnd"/>
      <w:r w:rsidRPr="00AB0CEF">
        <w:rPr>
          <w:rFonts w:asciiTheme="majorHAnsi" w:hAnsiTheme="majorHAnsi"/>
          <w:sz w:val="20"/>
          <w:szCs w:val="20"/>
          <w:lang w:val="en-US"/>
        </w:rPr>
        <w:t>; ITS, interrupted time-series study</w:t>
      </w:r>
    </w:p>
    <w:p w:rsidR="00804BE8" w:rsidRPr="00AB0CEF" w:rsidRDefault="00804BE8" w:rsidP="00804BE8">
      <w:pPr>
        <w:spacing w:after="0"/>
        <w:contextualSpacing/>
        <w:rPr>
          <w:rFonts w:asciiTheme="majorHAnsi" w:hAnsiTheme="majorHAnsi"/>
          <w:sz w:val="20"/>
          <w:szCs w:val="20"/>
          <w:lang w:val="en-US"/>
        </w:rPr>
      </w:pPr>
      <w:r w:rsidRPr="00AB0CEF">
        <w:rPr>
          <w:rFonts w:asciiTheme="majorHAnsi" w:hAnsiTheme="majorHAnsi"/>
          <w:sz w:val="20"/>
          <w:szCs w:val="20"/>
          <w:lang w:val="en-US"/>
        </w:rPr>
        <w:t xml:space="preserve">Note: red cells indicate high risk of bias, orange cells indicate unknown risk of bias, </w:t>
      </w:r>
      <w:proofErr w:type="gramStart"/>
      <w:r w:rsidRPr="00AB0CEF">
        <w:rPr>
          <w:rFonts w:asciiTheme="majorHAnsi" w:hAnsiTheme="majorHAnsi"/>
          <w:sz w:val="20"/>
          <w:szCs w:val="20"/>
          <w:lang w:val="en-US"/>
        </w:rPr>
        <w:t>green</w:t>
      </w:r>
      <w:proofErr w:type="gramEnd"/>
      <w:r w:rsidRPr="00AB0CEF">
        <w:rPr>
          <w:rFonts w:asciiTheme="majorHAnsi" w:hAnsiTheme="majorHAnsi"/>
          <w:sz w:val="20"/>
          <w:szCs w:val="20"/>
          <w:lang w:val="en-US"/>
        </w:rPr>
        <w:t xml:space="preserve"> cells indicate low risk of bias.</w:t>
      </w:r>
    </w:p>
    <w:sectPr w:rsidR="00804BE8" w:rsidRPr="00AB0CEF" w:rsidSect="006D6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BF" w:rsidRDefault="008C67BF" w:rsidP="008C67BF">
      <w:pPr>
        <w:spacing w:after="0" w:line="240" w:lineRule="auto"/>
      </w:pPr>
      <w:r>
        <w:separator/>
      </w:r>
    </w:p>
  </w:endnote>
  <w:endnote w:type="continuationSeparator" w:id="0">
    <w:p w:rsidR="008C67BF" w:rsidRDefault="008C67BF" w:rsidP="008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4247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67BF" w:rsidRPr="008C67BF" w:rsidRDefault="008C67BF">
        <w:pPr>
          <w:pStyle w:val="Fuzeile"/>
          <w:jc w:val="right"/>
          <w:rPr>
            <w:sz w:val="20"/>
            <w:szCs w:val="20"/>
          </w:rPr>
        </w:pPr>
        <w:r w:rsidRPr="008C67BF">
          <w:rPr>
            <w:sz w:val="20"/>
            <w:szCs w:val="20"/>
          </w:rPr>
          <w:fldChar w:fldCharType="begin"/>
        </w:r>
        <w:r w:rsidRPr="008C67BF">
          <w:rPr>
            <w:sz w:val="20"/>
            <w:szCs w:val="20"/>
          </w:rPr>
          <w:instrText>PAGE   \* MERGEFORMAT</w:instrText>
        </w:r>
        <w:r w:rsidRPr="008C67BF">
          <w:rPr>
            <w:sz w:val="20"/>
            <w:szCs w:val="20"/>
          </w:rPr>
          <w:fldChar w:fldCharType="separate"/>
        </w:r>
        <w:r w:rsidR="00DC5D1B" w:rsidRPr="00DC5D1B">
          <w:rPr>
            <w:noProof/>
            <w:sz w:val="20"/>
            <w:szCs w:val="20"/>
            <w:lang w:val="de-DE"/>
          </w:rPr>
          <w:t>8</w:t>
        </w:r>
        <w:r w:rsidRPr="008C67BF">
          <w:rPr>
            <w:sz w:val="20"/>
            <w:szCs w:val="20"/>
          </w:rPr>
          <w:fldChar w:fldCharType="end"/>
        </w:r>
      </w:p>
    </w:sdtContent>
  </w:sdt>
  <w:p w:rsidR="008C67BF" w:rsidRDefault="008C6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BF" w:rsidRDefault="008C67BF" w:rsidP="008C67BF">
      <w:pPr>
        <w:spacing w:after="0" w:line="240" w:lineRule="auto"/>
      </w:pPr>
      <w:r>
        <w:separator/>
      </w:r>
    </w:p>
  </w:footnote>
  <w:footnote w:type="continuationSeparator" w:id="0">
    <w:p w:rsidR="008C67BF" w:rsidRDefault="008C67BF" w:rsidP="008C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E8"/>
    <w:rsid w:val="00043FC3"/>
    <w:rsid w:val="002B30BD"/>
    <w:rsid w:val="006D6173"/>
    <w:rsid w:val="00786833"/>
    <w:rsid w:val="007F078A"/>
    <w:rsid w:val="00804BE8"/>
    <w:rsid w:val="008C67BF"/>
    <w:rsid w:val="00AF2852"/>
    <w:rsid w:val="00BF1F82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54F4C"/>
  <w15:chartTrackingRefBased/>
  <w15:docId w15:val="{299D5AB3-BF82-4B7F-B3ED-667F9E2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B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uiPriority w:val="99"/>
    <w:unhideWhenUsed/>
    <w:rsid w:val="00804BE8"/>
    <w:pPr>
      <w:spacing w:after="0" w:line="180" w:lineRule="exact"/>
    </w:pPr>
    <w:rPr>
      <w:rFonts w:ascii="Calibri" w:eastAsia="Times New Roman" w:hAnsi="Calibri" w:cs="Times New Roman"/>
      <w:color w:val="000000"/>
      <w:spacing w:val="6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04BE8"/>
    <w:rPr>
      <w:rFonts w:ascii="Calibri" w:eastAsia="Times New Roman" w:hAnsi="Calibri" w:cs="Times New Roman"/>
      <w:color w:val="000000"/>
      <w:spacing w:val="6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8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7BF"/>
  </w:style>
  <w:style w:type="paragraph" w:styleId="Fuzeile">
    <w:name w:val="footer"/>
    <w:basedOn w:val="Standard"/>
    <w:link w:val="FuzeileZchn"/>
    <w:uiPriority w:val="99"/>
    <w:unhideWhenUsed/>
    <w:rsid w:val="008C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1504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 Stefan</dc:creator>
  <cp:keywords/>
  <dc:description/>
  <cp:lastModifiedBy>Kuster Stefan</cp:lastModifiedBy>
  <cp:revision>4</cp:revision>
  <dcterms:created xsi:type="dcterms:W3CDTF">2018-04-10T14:07:00Z</dcterms:created>
  <dcterms:modified xsi:type="dcterms:W3CDTF">2018-04-19T13:40:00Z</dcterms:modified>
</cp:coreProperties>
</file>