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F" w:rsidRPr="008C73FF" w:rsidRDefault="008C73FF" w:rsidP="008C73FF">
      <w:pPr>
        <w:spacing w:line="480" w:lineRule="auto"/>
        <w:rPr>
          <w:b/>
          <w:kern w:val="24"/>
          <w:sz w:val="24"/>
          <w:u w:val="single"/>
          <w:lang w:val="en-GB"/>
        </w:rPr>
      </w:pPr>
      <w:r w:rsidRPr="008C73FF">
        <w:rPr>
          <w:b/>
          <w:kern w:val="24"/>
          <w:sz w:val="24"/>
          <w:u w:val="single"/>
          <w:lang w:val="en-GB"/>
        </w:rPr>
        <w:t>Supplementary Material</w:t>
      </w:r>
    </w:p>
    <w:p w:rsidR="008C73FF" w:rsidRDefault="008C73FF" w:rsidP="008C73FF">
      <w:pPr>
        <w:spacing w:line="480" w:lineRule="auto"/>
        <w:rPr>
          <w:kern w:val="24"/>
          <w:sz w:val="24"/>
          <w:lang w:val="en-GB"/>
        </w:rPr>
      </w:pPr>
    </w:p>
    <w:p w:rsidR="008C73FF" w:rsidRPr="00420E3D" w:rsidRDefault="008C73FF" w:rsidP="008C73FF">
      <w:pPr>
        <w:spacing w:line="480" w:lineRule="auto"/>
        <w:rPr>
          <w:kern w:val="24"/>
          <w:sz w:val="24"/>
          <w:lang w:val="en-GB"/>
        </w:rPr>
      </w:pPr>
      <w:r>
        <w:rPr>
          <w:kern w:val="24"/>
          <w:sz w:val="24"/>
          <w:lang w:val="en-GB"/>
        </w:rPr>
        <w:t>Figure 1</w:t>
      </w:r>
      <w:r w:rsidRPr="00420E3D">
        <w:rPr>
          <w:kern w:val="24"/>
          <w:sz w:val="24"/>
          <w:lang w:val="en-GB"/>
        </w:rPr>
        <w:t>: Grouped cases of pulmonary pneumocystosis in solid organ transplant recipients, Grenoble University Hospital between 2012 and May 2015</w:t>
      </w:r>
    </w:p>
    <w:p w:rsidR="008C73FF" w:rsidRPr="00361274" w:rsidRDefault="008C73FF" w:rsidP="008C73FF">
      <w:pPr>
        <w:pStyle w:val="NormalWeb"/>
        <w:spacing w:before="0" w:beforeAutospacing="0" w:after="200" w:afterAutospacing="0" w:line="480" w:lineRule="auto"/>
        <w:rPr>
          <w:rFonts w:ascii="Cambria" w:eastAsia="Cambria" w:hAnsi="Cambria"/>
          <w:color w:val="000000" w:themeColor="text1"/>
          <w:kern w:val="24"/>
          <w:sz w:val="24"/>
          <w:szCs w:val="24"/>
          <w:lang w:val="en-GB"/>
        </w:rPr>
      </w:pPr>
    </w:p>
    <w:p w:rsidR="008C73FF" w:rsidRPr="00361274" w:rsidRDefault="008C73FF" w:rsidP="008C73FF">
      <w:pPr>
        <w:pStyle w:val="NormalWeb"/>
        <w:spacing w:before="0" w:beforeAutospacing="0" w:after="200" w:afterAutospacing="0" w:line="480" w:lineRule="auto"/>
        <w:rPr>
          <w:rFonts w:ascii="Cambria" w:eastAsia="Cambria" w:hAnsi="Cambria"/>
          <w:color w:val="000000" w:themeColor="text1"/>
          <w:kern w:val="24"/>
          <w:sz w:val="24"/>
          <w:szCs w:val="24"/>
          <w:lang w:val="en-GB"/>
        </w:rPr>
      </w:pPr>
      <w:r w:rsidRPr="00361274">
        <w:rPr>
          <w:rFonts w:ascii="Cambria" w:eastAsia="Cambria" w:hAnsi="Cambria"/>
          <w:color w:val="000000" w:themeColor="text1"/>
          <w:kern w:val="24"/>
          <w:sz w:val="24"/>
          <w:szCs w:val="24"/>
          <w:lang w:val="en-GB"/>
        </w:rPr>
        <w:t>Each rectangle represents one patient, numbering is chronological based on the date of diagnosis. Rectangles surrounded by a continuous black line correspond to patients from whom the same major strain was isolated (patients 4, 6, 7, 9, 10 and 11); the rectangle surrounded by a dashed black line corresponds to the patient for whom the same major strain was suspected of involvement (patient 2).</w:t>
      </w:r>
    </w:p>
    <w:p w:rsidR="0037551F" w:rsidRDefault="0037551F" w:rsidP="008C73FF">
      <w:pPr>
        <w:pStyle w:val="NormalWeb"/>
        <w:spacing w:before="0" w:beforeAutospacing="0" w:after="200" w:afterAutospacing="0" w:line="480" w:lineRule="auto"/>
        <w:rPr>
          <w:rFonts w:ascii="Cambria" w:eastAsia="Cambria" w:hAnsi="Cambria"/>
          <w:color w:val="000000" w:themeColor="text1"/>
          <w:kern w:val="24"/>
          <w:sz w:val="24"/>
          <w:szCs w:val="24"/>
          <w:lang w:val="en-GB"/>
        </w:rPr>
      </w:pPr>
      <w:r>
        <w:rPr>
          <w:rFonts w:ascii="Cambria" w:eastAsia="Cambria" w:hAnsi="Cambria"/>
          <w:noProof/>
          <w:color w:val="000000" w:themeColor="text1"/>
          <w:kern w:val="24"/>
          <w:sz w:val="24"/>
          <w:szCs w:val="24"/>
        </w:rPr>
        <w:drawing>
          <wp:inline distT="0" distB="0" distL="0" distR="0">
            <wp:extent cx="6629400" cy="1308100"/>
            <wp:effectExtent l="25400" t="0" r="0" b="0"/>
            <wp:docPr id="1" name="Image 1" descr=":SuppData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uppDataFi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FF" w:rsidRPr="00361274" w:rsidRDefault="008C73FF" w:rsidP="008C73FF">
      <w:pPr>
        <w:pStyle w:val="NormalWeb"/>
        <w:spacing w:before="0" w:beforeAutospacing="0" w:after="200" w:afterAutospacing="0" w:line="480" w:lineRule="auto"/>
        <w:rPr>
          <w:rFonts w:ascii="Cambria" w:eastAsia="Cambria" w:hAnsi="Cambria"/>
          <w:color w:val="000000" w:themeColor="text1"/>
          <w:kern w:val="24"/>
          <w:sz w:val="24"/>
          <w:szCs w:val="24"/>
          <w:lang w:val="en-GB"/>
        </w:rPr>
      </w:pPr>
    </w:p>
    <w:p w:rsidR="008C73FF" w:rsidRDefault="008C73FF" w:rsidP="008C73FF">
      <w:pPr>
        <w:spacing w:line="480" w:lineRule="auto"/>
        <w:rPr>
          <w:sz w:val="24"/>
          <w:szCs w:val="24"/>
          <w:lang w:val="en-GB"/>
        </w:rPr>
      </w:pPr>
      <w:r>
        <w:rPr>
          <w:rFonts w:ascii="Cambria" w:eastAsia="Cambria" w:hAnsi="Cambria"/>
          <w:color w:val="000000" w:themeColor="text1"/>
          <w:kern w:val="24"/>
          <w:sz w:val="24"/>
          <w:szCs w:val="24"/>
          <w:lang w:val="en-GB"/>
        </w:rPr>
        <w:br w:type="page"/>
      </w:r>
      <w:r w:rsidRPr="00361274">
        <w:rPr>
          <w:sz w:val="24"/>
          <w:szCs w:val="24"/>
          <w:lang w:val="en-GB"/>
        </w:rPr>
        <w:t xml:space="preserve">Table I: Main clinical and para-clinical characteristics of the 12 solid organ transplant </w:t>
      </w:r>
      <w:r>
        <w:rPr>
          <w:sz w:val="24"/>
          <w:szCs w:val="24"/>
          <w:lang w:val="en-GB"/>
        </w:rPr>
        <w:t>recip</w:t>
      </w:r>
      <w:r w:rsidRPr="00361274">
        <w:rPr>
          <w:sz w:val="24"/>
          <w:szCs w:val="24"/>
          <w:lang w:val="en-GB"/>
        </w:rPr>
        <w:t>ients with pulmonary pneumocyst</w:t>
      </w:r>
      <w:r>
        <w:rPr>
          <w:sz w:val="24"/>
          <w:szCs w:val="24"/>
          <w:lang w:val="en-GB"/>
        </w:rPr>
        <w:t>os</w:t>
      </w:r>
      <w:r w:rsidRPr="00361274">
        <w:rPr>
          <w:sz w:val="24"/>
          <w:szCs w:val="24"/>
          <w:lang w:val="en-GB"/>
        </w:rPr>
        <w:t>is at Grenoble University Hospital from 2012 to May 2015</w:t>
      </w:r>
    </w:p>
    <w:p w:rsidR="008C73FF" w:rsidRDefault="008C73FF" w:rsidP="008C73FF">
      <w:pPr>
        <w:spacing w:line="480" w:lineRule="auto"/>
        <w:rPr>
          <w:sz w:val="24"/>
          <w:szCs w:val="24"/>
          <w:lang w:val="en-GB"/>
        </w:rPr>
      </w:pPr>
    </w:p>
    <w:p w:rsidR="008C73FF" w:rsidRPr="00361274" w:rsidRDefault="008C73FF" w:rsidP="008C73FF">
      <w:pPr>
        <w:spacing w:line="480" w:lineRule="auto"/>
        <w:rPr>
          <w:sz w:val="24"/>
          <w:szCs w:val="24"/>
          <w:lang w:val="en-GB"/>
        </w:rPr>
        <w:sectPr w:rsidR="008C73FF" w:rsidRPr="00361274">
          <w:pgSz w:w="11900" w:h="16840"/>
          <w:pgMar w:top="720" w:right="720" w:bottom="720" w:left="720" w:header="709" w:footer="709" w:gutter="0"/>
          <w:cols w:space="708"/>
          <w:docGrid w:linePitch="326"/>
          <w:printerSettings r:id="rId6"/>
        </w:sectPr>
      </w:pPr>
    </w:p>
    <w:p w:rsidR="008C73FF" w:rsidRPr="00361274" w:rsidRDefault="008C73FF" w:rsidP="008C73FF">
      <w:pPr>
        <w:spacing w:after="0" w:line="480" w:lineRule="auto"/>
        <w:rPr>
          <w:sz w:val="24"/>
          <w:szCs w:val="24"/>
          <w:lang w:val="en-GB"/>
        </w:rPr>
      </w:pPr>
    </w:p>
    <w:tbl>
      <w:tblPr>
        <w:tblW w:w="5643" w:type="pct"/>
        <w:tblInd w:w="-432" w:type="dxa"/>
        <w:tblLayout w:type="fixed"/>
        <w:tblCellMar>
          <w:left w:w="0" w:type="dxa"/>
          <w:right w:w="0" w:type="dxa"/>
        </w:tblCellMar>
        <w:tblLook w:val="0420"/>
      </w:tblPr>
      <w:tblGrid>
        <w:gridCol w:w="748"/>
        <w:gridCol w:w="761"/>
        <w:gridCol w:w="1135"/>
        <w:gridCol w:w="968"/>
        <w:gridCol w:w="1654"/>
        <w:gridCol w:w="761"/>
        <w:gridCol w:w="938"/>
        <w:gridCol w:w="751"/>
        <w:gridCol w:w="900"/>
        <w:gridCol w:w="971"/>
        <w:gridCol w:w="1106"/>
        <w:gridCol w:w="761"/>
        <w:gridCol w:w="955"/>
        <w:gridCol w:w="713"/>
        <w:gridCol w:w="832"/>
        <w:gridCol w:w="642"/>
        <w:gridCol w:w="671"/>
        <w:gridCol w:w="858"/>
      </w:tblGrid>
      <w:tr w:rsidR="008C73FF" w:rsidRPr="0037551F">
        <w:trPr>
          <w:trHeight w:val="427"/>
        </w:trPr>
        <w:tc>
          <w:tcPr>
            <w:tcW w:w="2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Patient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Age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Organ transplanted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Age of transplant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Immunosuppressors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Total Ly (/L)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CD4 (/mm3)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Other risk factors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Time to diagnosis (d)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Diagnostic sample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Direct examination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PCR (Log cp/mL)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Pulm coinf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vertAlign w:val="superscript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Severe</w:t>
            </w:r>
            <w:r w:rsidRPr="0037551F">
              <w:rPr>
                <w:rFonts w:eastAsia="Times New Roman" w:cs="Arial"/>
                <w:bCs/>
                <w:color w:val="000000" w:themeColor="text1"/>
                <w:kern w:val="24"/>
                <w:sz w:val="20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5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Corticosteroids</w:t>
            </w:r>
            <w:r w:rsidRPr="0037551F">
              <w:rPr>
                <w:rFonts w:eastAsia="Times New Roman" w:cs="Arial"/>
                <w:bCs/>
                <w:color w:val="000000" w:themeColor="text1"/>
                <w:kern w:val="24"/>
                <w:sz w:val="20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ICU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Mecanichal ventilation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ind w:left="-234" w:hanging="16"/>
              <w:jc w:val="center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Outcome</w:t>
            </w:r>
          </w:p>
        </w:tc>
      </w:tr>
      <w:tr w:rsidR="008C73FF" w:rsidRPr="0037551F">
        <w:trPr>
          <w:trHeight w:val="722"/>
        </w:trPr>
        <w:tc>
          <w:tcPr>
            <w:tcW w:w="23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56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Liver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 months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Ciclo, MMF, Pred 10 mg/d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0.4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NA*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-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5.53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 (limitation of active care)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Death</w:t>
            </w:r>
          </w:p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(HCV relapse on transplant)</w:t>
            </w:r>
          </w:p>
        </w:tc>
      </w:tr>
      <w:tr w:rsidR="008C73FF" w:rsidRPr="0037551F">
        <w:trPr>
          <w:trHeight w:val="499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Lung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21 months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Tac, MMF, Pred 7.5 mg/d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250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Acute rejection &lt; 3 months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3.75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4"/>
                <w:lang w:val="en-GB"/>
              </w:rPr>
              <w:t>S. Aureus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 xml:space="preserve">Favourable </w:t>
            </w:r>
          </w:p>
        </w:tc>
      </w:tr>
      <w:tr w:rsidR="008C73FF" w:rsidRPr="0037551F">
        <w:trPr>
          <w:trHeight w:val="39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33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Lung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 years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Ev, Tac, Aza, Pred 4 mg /d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+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9.03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4"/>
                <w:lang w:val="en-GB"/>
              </w:rPr>
              <w:t>P. Aeruginosa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Death</w:t>
            </w:r>
          </w:p>
        </w:tc>
      </w:tr>
      <w:tr w:rsidR="008C73FF" w:rsidRPr="0037551F">
        <w:trPr>
          <w:trHeight w:val="61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Heart</w:t>
            </w:r>
          </w:p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then Kidney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Heart 25 years,</w:t>
            </w:r>
          </w:p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Kidney 2 months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ATG, Tac, MMF, Pred &gt; 20 mg/d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MissMatch CMV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8.59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Favourable</w:t>
            </w:r>
          </w:p>
        </w:tc>
      </w:tr>
      <w:tr w:rsidR="008C73FF" w:rsidRPr="0037551F">
        <w:trPr>
          <w:trHeight w:val="22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Heart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10 years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Tac, Ev, MMF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200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Re-read +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8.43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SAMR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Death</w:t>
            </w:r>
          </w:p>
        </w:tc>
      </w:tr>
      <w:tr w:rsidR="008C73FF" w:rsidRPr="0037551F">
        <w:trPr>
          <w:trHeight w:val="468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 xml:space="preserve">Heart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 years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Tac, MMF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370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CMV reactivation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+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8.18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4"/>
                <w:lang w:val="en-GB"/>
              </w:rPr>
              <w:t>P. aeruginosa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Death</w:t>
            </w:r>
          </w:p>
        </w:tc>
      </w:tr>
      <w:tr w:rsidR="008C73FF" w:rsidRPr="0037551F">
        <w:trPr>
          <w:trHeight w:val="506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Kidney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4 months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Tac, MMF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MissMatch CMV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Induced sputum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10.52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Favourable</w:t>
            </w:r>
          </w:p>
        </w:tc>
      </w:tr>
      <w:tr w:rsidR="008C73FF" w:rsidRPr="0037551F">
        <w:trPr>
          <w:trHeight w:val="26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48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 xml:space="preserve">Heart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 years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Ciclo, MMF, Pred 2 mg/d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Re-read +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6.01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Favourable</w:t>
            </w:r>
          </w:p>
        </w:tc>
      </w:tr>
      <w:tr w:rsidR="008C73FF" w:rsidRPr="0037551F">
        <w:trPr>
          <w:trHeight w:val="35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Kidney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10 years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Tac, MMF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+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7.30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Death</w:t>
            </w:r>
          </w:p>
        </w:tc>
      </w:tr>
      <w:tr w:rsidR="008C73FF" w:rsidRPr="0037551F">
        <w:trPr>
          <w:trHeight w:val="288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48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Kidney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2.5 years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Tac, MMF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+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6.94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Favourable</w:t>
            </w:r>
          </w:p>
        </w:tc>
      </w:tr>
      <w:tr w:rsidR="008C73FF" w:rsidRPr="0037551F">
        <w:trPr>
          <w:trHeight w:val="238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Kidney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18 years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Ciclo, MMF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0.4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NA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Induced sputum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5.07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Favourable</w:t>
            </w:r>
          </w:p>
        </w:tc>
      </w:tr>
      <w:tr w:rsidR="008C73FF" w:rsidRPr="0037551F">
        <w:trPr>
          <w:trHeight w:val="202"/>
        </w:trPr>
        <w:tc>
          <w:tcPr>
            <w:tcW w:w="2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Heart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9 years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Ev, Pred 2 mg/d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BAL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textAlignment w:val="bottom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3.49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_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YES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NO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color w:val="000000" w:themeColor="text1"/>
                <w:kern w:val="24"/>
                <w:sz w:val="20"/>
                <w:szCs w:val="24"/>
                <w:lang w:val="en-GB"/>
              </w:rPr>
              <w:t>Favourable</w:t>
            </w:r>
          </w:p>
        </w:tc>
      </w:tr>
      <w:tr w:rsidR="008C73FF" w:rsidRPr="0037551F">
        <w:trPr>
          <w:trHeight w:val="18"/>
        </w:trPr>
        <w:tc>
          <w:tcPr>
            <w:tcW w:w="23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TOTAL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Median 58</w:t>
            </w:r>
          </w:p>
        </w:tc>
        <w:tc>
          <w:tcPr>
            <w:tcW w:w="35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Median 38.5 months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Median 0.55 G/L</w:t>
            </w:r>
          </w:p>
        </w:tc>
        <w:tc>
          <w:tcPr>
            <w:tcW w:w="2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Median 275/mm3</w:t>
            </w:r>
          </w:p>
        </w:tc>
        <w:tc>
          <w:tcPr>
            <w:tcW w:w="23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4/12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Median 7.5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LBA or BA 10/12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Direct + 6/12</w:t>
            </w:r>
          </w:p>
        </w:tc>
        <w:tc>
          <w:tcPr>
            <w:tcW w:w="23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Median 7.12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4/12</w:t>
            </w:r>
          </w:p>
        </w:tc>
        <w:tc>
          <w:tcPr>
            <w:tcW w:w="2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9/12</w:t>
            </w:r>
          </w:p>
        </w:tc>
        <w:tc>
          <w:tcPr>
            <w:tcW w:w="25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6/12</w:t>
            </w:r>
          </w:p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(severe 6/9)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5/12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vAlign w:val="center"/>
          </w:tcPr>
          <w:p w:rsidR="008C73FF" w:rsidRPr="0037551F" w:rsidRDefault="008C73FF" w:rsidP="003755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5/12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73FF" w:rsidRPr="0037551F" w:rsidRDefault="008C73FF" w:rsidP="0037551F">
            <w:pPr>
              <w:spacing w:after="0" w:line="240" w:lineRule="auto"/>
              <w:rPr>
                <w:rFonts w:eastAsia="Times New Roman" w:cs="Arial"/>
                <w:sz w:val="20"/>
                <w:szCs w:val="24"/>
                <w:lang w:val="en-GB"/>
              </w:rPr>
            </w:pPr>
            <w:r w:rsidRPr="0037551F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4"/>
                <w:lang w:val="en-GB"/>
              </w:rPr>
              <w:t>Deaths 5/12</w:t>
            </w:r>
          </w:p>
        </w:tc>
      </w:tr>
    </w:tbl>
    <w:p w:rsidR="008C73FF" w:rsidRDefault="008C73FF" w:rsidP="008C73FF">
      <w:pPr>
        <w:spacing w:after="0" w:line="480" w:lineRule="auto"/>
        <w:rPr>
          <w:rFonts w:hAnsi="Calibri"/>
          <w:color w:val="000000" w:themeColor="text1"/>
          <w:kern w:val="24"/>
          <w:sz w:val="24"/>
          <w:szCs w:val="24"/>
        </w:rPr>
      </w:pPr>
      <w:r>
        <w:rPr>
          <w:rFonts w:hAnsi="Calibri"/>
          <w:color w:val="000000" w:themeColor="text1"/>
          <w:kern w:val="24"/>
          <w:sz w:val="24"/>
          <w:szCs w:val="24"/>
        </w:rPr>
        <w:t>ICU</w:t>
      </w:r>
      <w:r>
        <w:rPr>
          <w:rFonts w:hAnsi="Calibri"/>
          <w:color w:val="000000" w:themeColor="text1"/>
          <w:kern w:val="24"/>
          <w:sz w:val="24"/>
          <w:szCs w:val="24"/>
        </w:rPr>
        <w:t> </w:t>
      </w:r>
      <w:r>
        <w:rPr>
          <w:rFonts w:hAnsi="Calibri"/>
          <w:color w:val="000000" w:themeColor="text1"/>
          <w:kern w:val="24"/>
          <w:sz w:val="24"/>
          <w:szCs w:val="24"/>
        </w:rPr>
        <w:t xml:space="preserve">: Intensive Care Unit, </w:t>
      </w:r>
      <w:r w:rsidRPr="00557893">
        <w:rPr>
          <w:rFonts w:hAnsi="Calibri"/>
          <w:color w:val="000000" w:themeColor="text1"/>
          <w:kern w:val="24"/>
          <w:sz w:val="24"/>
          <w:szCs w:val="24"/>
        </w:rPr>
        <w:t>Tac: Tacrolimus, Ciclo: Ciclosporin, MMF: mycophenolate mofetil, Pred: Prednisone, Ev: Everolimus. NA: data Not Available</w:t>
      </w:r>
    </w:p>
    <w:p w:rsidR="008C73FF" w:rsidRDefault="008C73FF" w:rsidP="008C73FF">
      <w:pPr>
        <w:spacing w:after="0" w:line="480" w:lineRule="auto"/>
        <w:rPr>
          <w:rFonts w:hAnsi="Calibri"/>
          <w:color w:val="000000" w:themeColor="text1"/>
          <w:kern w:val="24"/>
          <w:sz w:val="24"/>
          <w:szCs w:val="24"/>
        </w:rPr>
      </w:pPr>
      <w:r>
        <w:rPr>
          <w:rFonts w:hAnsi="Calibri"/>
          <w:color w:val="000000" w:themeColor="text1"/>
          <w:kern w:val="24"/>
          <w:sz w:val="24"/>
          <w:szCs w:val="24"/>
        </w:rPr>
        <w:t>1</w:t>
      </w:r>
      <w:r>
        <w:rPr>
          <w:rFonts w:hAnsi="Calibri"/>
          <w:color w:val="000000" w:themeColor="text1"/>
          <w:kern w:val="24"/>
          <w:sz w:val="24"/>
          <w:szCs w:val="24"/>
        </w:rPr>
        <w:t> </w:t>
      </w:r>
      <w:r>
        <w:rPr>
          <w:rFonts w:hAnsi="Calibri"/>
          <w:color w:val="000000" w:themeColor="text1"/>
          <w:kern w:val="24"/>
          <w:sz w:val="24"/>
          <w:szCs w:val="24"/>
        </w:rPr>
        <w:t>: severe = PaO2 &lt; 70 mmHg</w:t>
      </w:r>
    </w:p>
    <w:p w:rsidR="008C73FF" w:rsidRDefault="008C73FF" w:rsidP="008C73FF">
      <w:pPr>
        <w:spacing w:after="0" w:line="480" w:lineRule="auto"/>
        <w:rPr>
          <w:rFonts w:ascii="Cambria" w:hAnsi="Cambria"/>
          <w:color w:val="000000" w:themeColor="text1"/>
          <w:kern w:val="24"/>
          <w:sz w:val="24"/>
          <w:szCs w:val="24"/>
        </w:rPr>
      </w:pPr>
      <w:r>
        <w:rPr>
          <w:rFonts w:hAnsi="Calibri"/>
          <w:color w:val="000000" w:themeColor="text1"/>
          <w:kern w:val="24"/>
          <w:sz w:val="24"/>
          <w:szCs w:val="24"/>
        </w:rPr>
        <w:t>2</w:t>
      </w:r>
      <w:r>
        <w:rPr>
          <w:rFonts w:hAnsi="Calibri"/>
          <w:color w:val="000000" w:themeColor="text1"/>
          <w:kern w:val="24"/>
          <w:sz w:val="24"/>
          <w:szCs w:val="24"/>
        </w:rPr>
        <w:t> </w:t>
      </w:r>
      <w:r>
        <w:rPr>
          <w:rFonts w:hAnsi="Calibri"/>
          <w:color w:val="000000" w:themeColor="text1"/>
          <w:kern w:val="24"/>
          <w:sz w:val="24"/>
          <w:szCs w:val="24"/>
        </w:rPr>
        <w:t xml:space="preserve">: Corticosteroids </w:t>
      </w:r>
      <w:r>
        <w:rPr>
          <w:rFonts w:ascii="Cambria" w:hAnsi="Cambria"/>
          <w:color w:val="000000" w:themeColor="text1"/>
          <w:kern w:val="24"/>
          <w:sz w:val="24"/>
          <w:szCs w:val="24"/>
        </w:rPr>
        <w:t>≥ 1 mg/kg per day, ≥ 5 days</w:t>
      </w:r>
    </w:p>
    <w:p w:rsidR="008C73FF" w:rsidRPr="0037551F" w:rsidRDefault="008C73FF" w:rsidP="0037551F">
      <w:pPr>
        <w:spacing w:after="0" w:line="480" w:lineRule="auto"/>
        <w:rPr>
          <w:rFonts w:ascii="Cambria" w:hAnsi="Cambria"/>
          <w:color w:val="000000" w:themeColor="text1"/>
          <w:kern w:val="24"/>
          <w:sz w:val="24"/>
          <w:szCs w:val="24"/>
        </w:rPr>
      </w:pPr>
      <w:r>
        <w:rPr>
          <w:rFonts w:ascii="Cambria" w:hAnsi="Cambria"/>
          <w:color w:val="000000" w:themeColor="text1"/>
          <w:kern w:val="24"/>
          <w:sz w:val="24"/>
          <w:szCs w:val="24"/>
        </w:rPr>
        <w:t>* : patient presented to hospital with astheniae and rapidly multi-organ distress.</w:t>
      </w:r>
    </w:p>
    <w:p w:rsidR="00483541" w:rsidRDefault="0037551F" w:rsidP="008C73FF"/>
    <w:sectPr w:rsidR="00483541" w:rsidSect="008C73FF">
      <w:pgSz w:w="16834" w:h="11904" w:orient="landscape"/>
      <w:pgMar w:top="1417" w:right="1417" w:bottom="1417" w:left="1417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0E9"/>
    <w:multiLevelType w:val="hybridMultilevel"/>
    <w:tmpl w:val="A81E1FC0"/>
    <w:lvl w:ilvl="0" w:tplc="69CE99F4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73FF"/>
    <w:rsid w:val="002D35A2"/>
    <w:rsid w:val="0037551F"/>
    <w:rsid w:val="008C73FF"/>
    <w:rsid w:val="00B446FC"/>
    <w:rsid w:val="00FF2A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FF"/>
    <w:pPr>
      <w:spacing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C73F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73F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73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73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73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73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73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73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73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8C7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73F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73F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C73FF"/>
    <w:rPr>
      <w:rFonts w:asciiTheme="majorHAnsi" w:eastAsiaTheme="majorEastAsia" w:hAnsiTheme="majorHAnsi" w:cstheme="majorBidi"/>
      <w:color w:val="E36C0A" w:themeColor="accent6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C73F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C73F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C73FF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C73FF"/>
    <w:rPr>
      <w:rFonts w:asciiTheme="majorHAnsi" w:eastAsiaTheme="majorEastAsia" w:hAnsiTheme="majorHAnsi" w:cstheme="majorBidi"/>
      <w:b/>
      <w:bCs/>
      <w:color w:val="F79646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C73F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C73F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ibliographie">
    <w:name w:val="Bibliography"/>
    <w:basedOn w:val="Normal"/>
    <w:next w:val="Normal"/>
    <w:uiPriority w:val="37"/>
    <w:unhideWhenUsed/>
    <w:rsid w:val="008C73FF"/>
    <w:pPr>
      <w:tabs>
        <w:tab w:val="left" w:pos="504"/>
      </w:tabs>
      <w:spacing w:after="240" w:line="240" w:lineRule="auto"/>
      <w:ind w:left="504" w:hanging="504"/>
    </w:pPr>
  </w:style>
  <w:style w:type="character" w:styleId="Marquedannotation">
    <w:name w:val="annotation reference"/>
    <w:basedOn w:val="Policepardfaut"/>
    <w:uiPriority w:val="99"/>
    <w:semiHidden/>
    <w:unhideWhenUsed/>
    <w:rsid w:val="008C7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7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73FF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7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73F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3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3FF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73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C73FF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C73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C73FF"/>
    <w:rPr>
      <w:rFonts w:eastAsiaTheme="minorEastAsia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73F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C73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C73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73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C73FF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C73FF"/>
    <w:rPr>
      <w:b/>
      <w:bCs/>
    </w:rPr>
  </w:style>
  <w:style w:type="character" w:styleId="Accentuation">
    <w:name w:val="Emphasis"/>
    <w:basedOn w:val="Policepardfaut"/>
    <w:uiPriority w:val="20"/>
    <w:qFormat/>
    <w:rsid w:val="008C73FF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C73FF"/>
    <w:pPr>
      <w:spacing w:after="0"/>
    </w:pPr>
    <w:rPr>
      <w:rFonts w:eastAsiaTheme="minorEastAsia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8C73F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C73FF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73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73F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C73FF"/>
    <w:rPr>
      <w:i/>
      <w:iCs/>
    </w:rPr>
  </w:style>
  <w:style w:type="character" w:styleId="Emphaseintense">
    <w:name w:val="Intense Emphasis"/>
    <w:basedOn w:val="Policepardfaut"/>
    <w:uiPriority w:val="21"/>
    <w:qFormat/>
    <w:rsid w:val="008C73F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C73FF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C73FF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C73FF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73F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C73F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8C73FF"/>
    <w:pPr>
      <w:spacing w:after="0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73FF"/>
    <w:pPr>
      <w:spacing w:after="0"/>
    </w:pPr>
    <w:rPr>
      <w:rFonts w:eastAsiaTheme="minorEastAsia"/>
      <w:color w:val="000000" w:themeColor="text1" w:themeShade="BF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8C73FF"/>
    <w:pPr>
      <w:spacing w:after="0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rsid w:val="008C73FF"/>
    <w:pPr>
      <w:ind w:left="720"/>
      <w:contextualSpacing/>
    </w:pPr>
  </w:style>
  <w:style w:type="paragraph" w:styleId="Rvision">
    <w:name w:val="Revision"/>
    <w:hidden/>
    <w:semiHidden/>
    <w:rsid w:val="008C73FF"/>
    <w:pPr>
      <w:spacing w:after="0"/>
    </w:pPr>
    <w:rPr>
      <w:rFonts w:eastAsiaTheme="minorEastAsia"/>
      <w:sz w:val="21"/>
      <w:szCs w:val="21"/>
    </w:rPr>
  </w:style>
  <w:style w:type="character" w:styleId="Numrodeligne">
    <w:name w:val="line number"/>
    <w:basedOn w:val="Policepardfaut"/>
    <w:rsid w:val="008C73FF"/>
  </w:style>
  <w:style w:type="paragraph" w:customStyle="1" w:styleId="Bibliographie1">
    <w:name w:val="Bibliographie1"/>
    <w:basedOn w:val="Normal"/>
    <w:rsid w:val="008C73FF"/>
    <w:pPr>
      <w:tabs>
        <w:tab w:val="left" w:pos="380"/>
        <w:tab w:val="left" w:pos="500"/>
      </w:tabs>
      <w:spacing w:after="0" w:line="480" w:lineRule="auto"/>
      <w:ind w:left="384" w:hanging="384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</Words>
  <Characters>2284</Characters>
  <Application>Microsoft Macintosh Word</Application>
  <DocSecurity>0</DocSecurity>
  <Lines>19</Lines>
  <Paragraphs>4</Paragraphs>
  <ScaleCrop>false</ScaleCrop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Guillet</dc:creator>
  <cp:keywords/>
  <cp:lastModifiedBy>Benoit Guillet</cp:lastModifiedBy>
  <cp:revision>3</cp:revision>
  <dcterms:created xsi:type="dcterms:W3CDTF">2016-09-12T13:24:00Z</dcterms:created>
  <dcterms:modified xsi:type="dcterms:W3CDTF">2016-09-12T14:27:00Z</dcterms:modified>
</cp:coreProperties>
</file>