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23" w:rsidRPr="00395A4C" w:rsidRDefault="00937923" w:rsidP="00937923">
      <w:pPr>
        <w:spacing w:after="0" w:line="480" w:lineRule="auto"/>
        <w:rPr>
          <w:sz w:val="24"/>
          <w:szCs w:val="24"/>
        </w:rPr>
      </w:pPr>
      <w:r w:rsidRPr="00395A4C">
        <w:rPr>
          <w:sz w:val="24"/>
          <w:szCs w:val="24"/>
        </w:rPr>
        <w:t>Appendix: Variable Definitions</w:t>
      </w:r>
    </w:p>
    <w:p w:rsidR="00937923" w:rsidRPr="00395A4C" w:rsidRDefault="00937923" w:rsidP="00937923">
      <w:pPr>
        <w:spacing w:after="0" w:line="480" w:lineRule="auto"/>
        <w:rPr>
          <w:sz w:val="24"/>
          <w:szCs w:val="24"/>
        </w:rPr>
      </w:pPr>
      <w:r w:rsidRPr="00395A4C">
        <w:rPr>
          <w:sz w:val="24"/>
          <w:szCs w:val="24"/>
        </w:rPr>
        <w:t xml:space="preserve">Independent variables: </w:t>
      </w:r>
    </w:p>
    <w:p w:rsidR="00937923" w:rsidRPr="00395A4C" w:rsidRDefault="00937923" w:rsidP="00937923">
      <w:pPr>
        <w:spacing w:after="0" w:line="480" w:lineRule="auto"/>
        <w:rPr>
          <w:sz w:val="24"/>
          <w:szCs w:val="24"/>
        </w:rPr>
      </w:pPr>
      <w:r w:rsidRPr="00395A4C">
        <w:rPr>
          <w:sz w:val="24"/>
          <w:szCs w:val="24"/>
        </w:rPr>
        <w:t xml:space="preserve">Demographic variables, such as age, gender, race, BMI, and other important variables (smoking, diabetes mellitus, alcohol use) will be collected for all patients through the ICU </w:t>
      </w:r>
      <w:proofErr w:type="spellStart"/>
      <w:r w:rsidRPr="00395A4C">
        <w:rPr>
          <w:sz w:val="24"/>
          <w:szCs w:val="24"/>
        </w:rPr>
        <w:t>Datamart</w:t>
      </w:r>
      <w:proofErr w:type="spellEnd"/>
      <w:r w:rsidRPr="00395A4C">
        <w:rPr>
          <w:sz w:val="24"/>
          <w:szCs w:val="24"/>
        </w:rPr>
        <w:t>.</w:t>
      </w:r>
      <w:hyperlink w:anchor="_ENREF_16" w:tooltip="Herasevich, 2010 #16" w:history="1">
        <w:r w:rsidRPr="00395A4C"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ADDIN EN.CITE &lt;EndNote&gt;&lt;Cite&gt;&lt;Author&gt;Herasevich&lt;/Author&gt;&lt;Year&gt;2010&lt;/Year&gt;&lt;RecNum&gt;16&lt;/RecNum&gt;&lt;DisplayText&gt;&lt;style face="superscript"&gt;16&lt;/style&gt;&lt;/DisplayText&gt;&lt;record&gt;&lt;rec-number&gt;16&lt;/rec-number&gt;&lt;foreign-keys&gt;&lt;key app="EN" db-id="sx0taee2bssx5desfx4555t3vd5rzzfptxve"&gt;16&lt;/key&gt;&lt;/foreign-keys&gt;&lt;ref-type name="Journal Article"&gt;17&lt;/ref-type&gt;&lt;contributors&gt;&lt;authors&gt;&lt;author&gt;Herasevich, V.&lt;/author&gt;&lt;author&gt;Pickering, B. W.&lt;/author&gt;&lt;author&gt;Dong, Y.&lt;/author&gt;&lt;author&gt;Peters, S. G.&lt;/author&gt;&lt;author&gt;Gajic, O.&lt;/author&gt;&lt;/authors&gt;&lt;/contributors&gt;&lt;auth-address&gt;Division of Pulmonary and Critical Care Medicine, Mayo Clinic, Rochester, MN 55905, USA.&lt;/auth-address&gt;&lt;titles&gt;&lt;title&gt;Informatics infrastructure for syndrome surveillance, decision support, reporting, and modeling of critical illness&lt;/title&gt;&lt;secondary-title&gt;Mayo Clinic proceedings&lt;/secondary-title&gt;&lt;alt-title&gt;Mayo Clin Proc&lt;/alt-title&gt;&lt;/titles&gt;&lt;periodical&gt;&lt;full-title&gt;Mayo Clinic proceedings&lt;/full-title&gt;&lt;abbr-1&gt;Mayo Clin Proc&lt;/abbr-1&gt;&lt;/periodical&gt;&lt;alt-periodical&gt;&lt;full-title&gt;Mayo Clinic proceedings&lt;/full-title&gt;&lt;abbr-1&gt;Mayo Clin Proc&lt;/abbr-1&gt;&lt;/alt-periodical&gt;&lt;pages&gt;247-54&lt;/pages&gt;&lt;volume&gt;85&lt;/volume&gt;&lt;number&gt;3&lt;/number&gt;&lt;edition&gt;2010/03/03&lt;/edition&gt;&lt;keywords&gt;&lt;keyword&gt;Critical Illness/*therapy&lt;/keyword&gt;&lt;keyword&gt;Database Management Systems&lt;/keyword&gt;&lt;keyword&gt;Decision Support Systems, Clinical/*organization &amp;amp; administration&lt;/keyword&gt;&lt;keyword&gt;*Electronic Health Records&lt;/keyword&gt;&lt;keyword&gt;Humans&lt;/keyword&gt;&lt;keyword&gt;Intensive Care/*statistics &amp;amp; numerical data&lt;/keyword&gt;&lt;keyword&gt;Medical Informatics/*methods&lt;/keyword&gt;&lt;keyword&gt;United States&lt;/keyword&gt;&lt;/keywords&gt;&lt;dates&gt;&lt;year&gt;2010&lt;/year&gt;&lt;pub-dates&gt;&lt;date&gt;Mar&lt;/date&gt;&lt;/pub-dates&gt;&lt;/dates&gt;&lt;isbn&gt;1942-5546 (Electronic)&amp;#xD;0025-6196 (Linking)&lt;/isbn&gt;&lt;accession-num&gt;20194152&lt;/accession-num&gt;&lt;work-type&gt;Comparative Study&lt;/work-type&gt;&lt;urls&gt;&lt;related-urls&gt;&lt;url&gt;http://www.ncbi.nlm.nih.gov/pubmed/20194152&lt;/url&gt;&lt;/related-urls&gt;&lt;/urls&gt;&lt;custom2&gt;2843116&lt;/custom2&gt;&lt;electronic-resource-num&gt;10.4065/mcp.2009.0479&lt;/electronic-resource-num&gt;&lt;language&gt;eng&lt;/language&gt;&lt;/record&gt;&lt;/Cite&gt;&lt;/EndNote&gt;</w:instrText>
        </w:r>
        <w:r w:rsidRPr="00395A4C">
          <w:rPr>
            <w:sz w:val="24"/>
            <w:szCs w:val="24"/>
          </w:rPr>
          <w:fldChar w:fldCharType="separate"/>
        </w:r>
        <w:r w:rsidRPr="00D75E0A">
          <w:rPr>
            <w:noProof/>
            <w:sz w:val="24"/>
            <w:szCs w:val="24"/>
            <w:vertAlign w:val="superscript"/>
          </w:rPr>
          <w:t>16</w:t>
        </w:r>
        <w:r w:rsidRPr="00395A4C">
          <w:rPr>
            <w:sz w:val="24"/>
            <w:szCs w:val="24"/>
          </w:rPr>
          <w:fldChar w:fldCharType="end"/>
        </w:r>
      </w:hyperlink>
    </w:p>
    <w:p w:rsidR="00937923" w:rsidRPr="00395A4C" w:rsidRDefault="00937923" w:rsidP="00937923">
      <w:pPr>
        <w:spacing w:after="0" w:line="480" w:lineRule="auto"/>
        <w:rPr>
          <w:sz w:val="24"/>
          <w:szCs w:val="24"/>
        </w:rPr>
      </w:pPr>
      <w:r w:rsidRPr="00395A4C">
        <w:rPr>
          <w:sz w:val="24"/>
          <w:szCs w:val="24"/>
        </w:rPr>
        <w:t xml:space="preserve">Apache IV score and Unit of Admission (type, medical, mixed or surgical ICU) will be collected for all the patients who were admitted to the ICU through the METRIC </w:t>
      </w:r>
      <w:proofErr w:type="spellStart"/>
      <w:r w:rsidRPr="00395A4C">
        <w:rPr>
          <w:sz w:val="24"/>
          <w:szCs w:val="24"/>
        </w:rPr>
        <w:t>Datamart</w:t>
      </w:r>
      <w:proofErr w:type="spellEnd"/>
      <w:r w:rsidRPr="00395A4C">
        <w:rPr>
          <w:sz w:val="24"/>
          <w:szCs w:val="24"/>
        </w:rPr>
        <w:t>.</w:t>
      </w:r>
      <w:hyperlink w:anchor="_ENREF_16" w:tooltip="Herasevich, 2010 #16" w:history="1">
        <w:r w:rsidRPr="00395A4C"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ADDIN EN.CITE &lt;EndNote&gt;&lt;Cite&gt;&lt;Author&gt;Herasevich&lt;/Author&gt;&lt;Year&gt;2010&lt;/Year&gt;&lt;RecNum&gt;16&lt;/RecNum&gt;&lt;DisplayText&gt;&lt;style face="superscript"&gt;16&lt;/style&gt;&lt;/DisplayText&gt;&lt;record&gt;&lt;rec-number&gt;16&lt;/rec-number&gt;&lt;foreign-keys&gt;&lt;key app="EN" db-id="sx0taee2bssx5desfx4555t3vd5rzzfptxve"&gt;16&lt;/key&gt;&lt;/foreign-keys&gt;&lt;ref-type name="Journal Article"&gt;17&lt;/ref-type&gt;&lt;contributors&gt;&lt;authors&gt;&lt;author&gt;Herasevich, V.&lt;/author&gt;&lt;author&gt;Pickering, B. W.&lt;/author&gt;&lt;author&gt;Dong, Y.&lt;/author&gt;&lt;author&gt;Peters, S. G.&lt;/author&gt;&lt;author&gt;Gajic, O.&lt;/author&gt;&lt;/authors&gt;&lt;/contributors&gt;&lt;auth-address&gt;Division of Pulmonary and Critical Care Medicine, Mayo Clinic, Rochester, MN 55905, USA.&lt;/auth-address&gt;&lt;titles&gt;&lt;title&gt;Informatics infrastructure for syndrome surveillance, decision support, reporting, and modeling of critical illness&lt;/title&gt;&lt;secondary-title&gt;Mayo Clinic proceedings&lt;/secondary-title&gt;&lt;alt-title&gt;Mayo Clin Proc&lt;/alt-title&gt;&lt;/titles&gt;&lt;periodical&gt;&lt;full-title&gt;Mayo Clinic proceedings&lt;/full-title&gt;&lt;abbr-1&gt;Mayo Clin Proc&lt;/abbr-1&gt;&lt;/periodical&gt;&lt;alt-periodical&gt;&lt;full-title&gt;Mayo Clinic proceedings&lt;/full-title&gt;&lt;abbr-1&gt;Mayo Clin Proc&lt;/abbr-1&gt;&lt;/alt-periodical&gt;&lt;pages&gt;247-54&lt;/pages&gt;&lt;volume&gt;85&lt;/volume&gt;&lt;number&gt;3&lt;/number&gt;&lt;edition&gt;2010/03/03&lt;/edition&gt;&lt;keywords&gt;&lt;keyword&gt;Critical Illness/*therapy&lt;/keyword&gt;&lt;keyword&gt;Database Management Systems&lt;/keyword&gt;&lt;keyword&gt;Decision Support Systems, Clinical/*organization &amp;amp; administration&lt;/keyword&gt;&lt;keyword&gt;*Electronic Health Records&lt;/keyword&gt;&lt;keyword&gt;Humans&lt;/keyword&gt;&lt;keyword&gt;Intensive Care/*statistics &amp;amp; numerical data&lt;/keyword&gt;&lt;keyword&gt;Medical Informatics/*methods&lt;/keyword&gt;&lt;keyword&gt;United States&lt;/keyword&gt;&lt;/keywords&gt;&lt;dates&gt;&lt;year&gt;2010&lt;/year&gt;&lt;pub-dates&gt;&lt;date&gt;Mar&lt;/date&gt;&lt;/pub-dates&gt;&lt;/dates&gt;&lt;isbn&gt;1942-5546 (Electronic)&amp;#xD;0025-6196 (Linking)&lt;/isbn&gt;&lt;accession-num&gt;20194152&lt;/accession-num&gt;&lt;work-type&gt;Comparative Study&lt;/work-type&gt;&lt;urls&gt;&lt;related-urls&gt;&lt;url&gt;http://www.ncbi.nlm.nih.gov/pubmed/20194152&lt;/url&gt;&lt;/related-urls&gt;&lt;/urls&gt;&lt;custom2&gt;2843116&lt;/custom2&gt;&lt;electronic-resource-num&gt;10.4065/mcp.2009.0479&lt;/electronic-resource-num&gt;&lt;language&gt;eng&lt;/language&gt;&lt;/record&gt;&lt;/Cite&gt;&lt;/EndNote&gt;</w:instrText>
        </w:r>
        <w:r w:rsidRPr="00395A4C">
          <w:rPr>
            <w:sz w:val="24"/>
            <w:szCs w:val="24"/>
          </w:rPr>
          <w:fldChar w:fldCharType="separate"/>
        </w:r>
        <w:r w:rsidRPr="00D75E0A">
          <w:rPr>
            <w:noProof/>
            <w:sz w:val="24"/>
            <w:szCs w:val="24"/>
            <w:vertAlign w:val="superscript"/>
          </w:rPr>
          <w:t>16</w:t>
        </w:r>
        <w:r w:rsidRPr="00395A4C">
          <w:rPr>
            <w:sz w:val="24"/>
            <w:szCs w:val="24"/>
          </w:rPr>
          <w:fldChar w:fldCharType="end"/>
        </w:r>
      </w:hyperlink>
    </w:p>
    <w:p w:rsidR="00937923" w:rsidRPr="00395A4C" w:rsidRDefault="00937923" w:rsidP="00937923">
      <w:pPr>
        <w:spacing w:after="0" w:line="480" w:lineRule="auto"/>
        <w:rPr>
          <w:sz w:val="24"/>
          <w:szCs w:val="24"/>
        </w:rPr>
      </w:pPr>
      <w:r w:rsidRPr="00395A4C">
        <w:rPr>
          <w:sz w:val="24"/>
          <w:szCs w:val="24"/>
        </w:rPr>
        <w:t>Primary exposure of interest: Ventilator bundle compliance</w:t>
      </w:r>
    </w:p>
    <w:p w:rsidR="00937923" w:rsidRPr="00395A4C" w:rsidRDefault="00937923" w:rsidP="00937923">
      <w:pPr>
        <w:spacing w:after="0" w:line="480" w:lineRule="auto"/>
        <w:rPr>
          <w:sz w:val="24"/>
          <w:szCs w:val="24"/>
        </w:rPr>
      </w:pPr>
      <w:r w:rsidRPr="00395A4C">
        <w:rPr>
          <w:sz w:val="24"/>
          <w:szCs w:val="24"/>
        </w:rPr>
        <w:t>-Individual component compliance on each calendar day:</w:t>
      </w:r>
    </w:p>
    <w:p w:rsidR="00937923" w:rsidRPr="00395A4C" w:rsidRDefault="00937923" w:rsidP="00937923">
      <w:pPr>
        <w:spacing w:after="0" w:line="480" w:lineRule="auto"/>
        <w:rPr>
          <w:sz w:val="24"/>
          <w:szCs w:val="24"/>
        </w:rPr>
      </w:pPr>
      <w:r w:rsidRPr="00395A4C">
        <w:rPr>
          <w:sz w:val="24"/>
          <w:szCs w:val="24"/>
        </w:rPr>
        <w:t>-Appropriate DVT prophylaxis defined as medication administration record (MAR) documentation of either (</w:t>
      </w:r>
      <w:proofErr w:type="spellStart"/>
      <w:r w:rsidRPr="00395A4C">
        <w:rPr>
          <w:sz w:val="24"/>
          <w:szCs w:val="24"/>
        </w:rPr>
        <w:t>i</w:t>
      </w:r>
      <w:proofErr w:type="spellEnd"/>
      <w:r w:rsidRPr="00395A4C">
        <w:rPr>
          <w:sz w:val="24"/>
          <w:szCs w:val="24"/>
        </w:rPr>
        <w:t>) chemical prophylaxis (subcutaneous</w:t>
      </w:r>
      <w:r>
        <w:rPr>
          <w:sz w:val="24"/>
          <w:szCs w:val="24"/>
        </w:rPr>
        <w:t xml:space="preserve"> </w:t>
      </w:r>
      <w:r w:rsidRPr="00395A4C">
        <w:rPr>
          <w:sz w:val="24"/>
          <w:szCs w:val="24"/>
        </w:rPr>
        <w:t xml:space="preserve">heparin enoxaparin), (ii) mechanical prophylaxis (e.g. with </w:t>
      </w:r>
      <w:proofErr w:type="spellStart"/>
      <w:r w:rsidRPr="00395A4C">
        <w:rPr>
          <w:sz w:val="24"/>
          <w:szCs w:val="24"/>
        </w:rPr>
        <w:t>venodyne</w:t>
      </w:r>
      <w:proofErr w:type="spellEnd"/>
      <w:r w:rsidRPr="00395A4C">
        <w:rPr>
          <w:sz w:val="24"/>
          <w:szCs w:val="24"/>
        </w:rPr>
        <w:t xml:space="preserve"> boots) or (iii) therapeutic anticoagulation with IV unfractionated heparin OR having INR &gt;2.0 while on </w:t>
      </w:r>
      <w:proofErr w:type="spellStart"/>
      <w:r w:rsidRPr="00395A4C">
        <w:rPr>
          <w:sz w:val="24"/>
          <w:szCs w:val="24"/>
        </w:rPr>
        <w:t>coumadin</w:t>
      </w:r>
      <w:proofErr w:type="spellEnd"/>
      <w:r w:rsidRPr="00395A4C">
        <w:rPr>
          <w:sz w:val="24"/>
          <w:szCs w:val="24"/>
        </w:rPr>
        <w:t xml:space="preserve"> </w:t>
      </w:r>
    </w:p>
    <w:p w:rsidR="00937923" w:rsidRPr="00395A4C" w:rsidRDefault="00937923" w:rsidP="00937923">
      <w:pPr>
        <w:spacing w:after="0" w:line="480" w:lineRule="auto"/>
        <w:rPr>
          <w:sz w:val="24"/>
          <w:szCs w:val="24"/>
        </w:rPr>
      </w:pPr>
      <w:r w:rsidRPr="00395A4C">
        <w:rPr>
          <w:sz w:val="24"/>
          <w:szCs w:val="24"/>
        </w:rPr>
        <w:t>-Appropriate stress ulcer prophylaxis defined as MAR documented use of (</w:t>
      </w:r>
      <w:proofErr w:type="spellStart"/>
      <w:r w:rsidRPr="00395A4C">
        <w:rPr>
          <w:sz w:val="24"/>
          <w:szCs w:val="24"/>
        </w:rPr>
        <w:t>i</w:t>
      </w:r>
      <w:proofErr w:type="spellEnd"/>
      <w:r w:rsidRPr="00395A4C">
        <w:rPr>
          <w:sz w:val="24"/>
          <w:szCs w:val="24"/>
        </w:rPr>
        <w:t xml:space="preserve">) </w:t>
      </w:r>
      <w:proofErr w:type="spellStart"/>
      <w:r w:rsidRPr="00395A4C">
        <w:rPr>
          <w:sz w:val="24"/>
          <w:szCs w:val="24"/>
        </w:rPr>
        <w:t>aproton</w:t>
      </w:r>
      <w:proofErr w:type="spellEnd"/>
      <w:r w:rsidRPr="00395A4C">
        <w:rPr>
          <w:sz w:val="24"/>
          <w:szCs w:val="24"/>
        </w:rPr>
        <w:t xml:space="preserve"> pump inhibitor (esomeprazole, omeprazole, pantoprazole, lansoprazole or </w:t>
      </w:r>
      <w:proofErr w:type="spellStart"/>
      <w:r w:rsidRPr="00395A4C">
        <w:rPr>
          <w:sz w:val="24"/>
          <w:szCs w:val="24"/>
        </w:rPr>
        <w:t>rabeprazole</w:t>
      </w:r>
      <w:proofErr w:type="spellEnd"/>
      <w:r w:rsidRPr="00395A4C">
        <w:rPr>
          <w:sz w:val="24"/>
          <w:szCs w:val="24"/>
        </w:rPr>
        <w:t xml:space="preserve">), (ii) H2 blockers (cimetidine, ranitidine) or (iii) </w:t>
      </w:r>
      <w:proofErr w:type="spellStart"/>
      <w:r w:rsidRPr="00395A4C">
        <w:rPr>
          <w:sz w:val="24"/>
          <w:szCs w:val="24"/>
        </w:rPr>
        <w:t>sulfacrate</w:t>
      </w:r>
      <w:proofErr w:type="spellEnd"/>
    </w:p>
    <w:p w:rsidR="00937923" w:rsidRPr="00395A4C" w:rsidRDefault="00937923" w:rsidP="00937923">
      <w:pPr>
        <w:spacing w:after="0" w:line="480" w:lineRule="auto"/>
        <w:rPr>
          <w:sz w:val="24"/>
          <w:szCs w:val="24"/>
        </w:rPr>
      </w:pPr>
      <w:r w:rsidRPr="00395A4C">
        <w:rPr>
          <w:sz w:val="24"/>
          <w:szCs w:val="24"/>
        </w:rPr>
        <w:t>-Daily sedation holiday defined as nursing documentation of having performed this in the patient care flow sheet, or appropriate documentation of contraindication</w:t>
      </w:r>
    </w:p>
    <w:p w:rsidR="00937923" w:rsidRPr="00395A4C" w:rsidRDefault="00937923" w:rsidP="00937923">
      <w:pPr>
        <w:spacing w:after="0" w:line="480" w:lineRule="auto"/>
        <w:rPr>
          <w:sz w:val="24"/>
          <w:szCs w:val="24"/>
        </w:rPr>
      </w:pPr>
      <w:r w:rsidRPr="00395A4C">
        <w:rPr>
          <w:sz w:val="24"/>
          <w:szCs w:val="24"/>
        </w:rPr>
        <w:t>-Daily weaning trial defined as respiratory care documentation of use of a spontaneous mode of ventilation for any duration during the day or appropriate documentation of contraindication</w:t>
      </w:r>
    </w:p>
    <w:p w:rsidR="00937923" w:rsidRPr="00395A4C" w:rsidRDefault="00937923" w:rsidP="00937923">
      <w:pPr>
        <w:spacing w:after="0" w:line="480" w:lineRule="auto"/>
        <w:rPr>
          <w:sz w:val="24"/>
          <w:szCs w:val="24"/>
        </w:rPr>
      </w:pPr>
      <w:r w:rsidRPr="00395A4C">
        <w:rPr>
          <w:sz w:val="24"/>
          <w:szCs w:val="24"/>
        </w:rPr>
        <w:t>-Chlorhexidine mouthwash defined as MAR documentation of use of chlorhexidine oral care or appropriate documentation of contraindication</w:t>
      </w:r>
    </w:p>
    <w:p w:rsidR="00937923" w:rsidRPr="00395A4C" w:rsidRDefault="00937923" w:rsidP="00937923">
      <w:pPr>
        <w:spacing w:after="0" w:line="480" w:lineRule="auto"/>
        <w:rPr>
          <w:sz w:val="24"/>
          <w:szCs w:val="24"/>
        </w:rPr>
      </w:pPr>
      <w:r w:rsidRPr="00395A4C">
        <w:rPr>
          <w:sz w:val="24"/>
          <w:szCs w:val="24"/>
        </w:rPr>
        <w:lastRenderedPageBreak/>
        <w:t>-Head of bed elevation of at least 30 degrees consistently documented in the nursing chart or appropriate documentation of contraindication</w:t>
      </w:r>
    </w:p>
    <w:p w:rsidR="00937923" w:rsidRPr="00395A4C" w:rsidRDefault="00937923" w:rsidP="00937923">
      <w:pPr>
        <w:spacing w:after="0" w:line="480" w:lineRule="auto"/>
        <w:rPr>
          <w:sz w:val="24"/>
          <w:szCs w:val="24"/>
        </w:rPr>
      </w:pPr>
      <w:r w:rsidRPr="00395A4C">
        <w:rPr>
          <w:sz w:val="24"/>
          <w:szCs w:val="24"/>
        </w:rPr>
        <w:t>4. Potential bundle elements: # of calendar days with</w:t>
      </w:r>
    </w:p>
    <w:p w:rsidR="00937923" w:rsidRPr="00395A4C" w:rsidRDefault="00937923" w:rsidP="00937923">
      <w:pPr>
        <w:spacing w:after="0" w:line="480" w:lineRule="auto"/>
        <w:rPr>
          <w:sz w:val="24"/>
          <w:szCs w:val="24"/>
        </w:rPr>
      </w:pPr>
      <w:r w:rsidRPr="00395A4C">
        <w:rPr>
          <w:sz w:val="24"/>
          <w:szCs w:val="24"/>
        </w:rPr>
        <w:t>-Violations of low tidal volume ventilation strategy (&lt;10 ml/kg PBW) for patients not on spontaneous breathing modes while in ICU. Tidal volumes during spontaneous breathing trials and while not in ICU (i.e. in operating room) will be excluded</w:t>
      </w:r>
    </w:p>
    <w:p w:rsidR="00937923" w:rsidRPr="00395A4C" w:rsidRDefault="00937923" w:rsidP="00937923">
      <w:pPr>
        <w:spacing w:after="0" w:line="480" w:lineRule="auto"/>
        <w:rPr>
          <w:sz w:val="24"/>
          <w:szCs w:val="24"/>
        </w:rPr>
      </w:pPr>
      <w:r w:rsidRPr="00395A4C">
        <w:rPr>
          <w:sz w:val="24"/>
          <w:szCs w:val="24"/>
        </w:rPr>
        <w:tab/>
      </w:r>
      <w:r w:rsidRPr="00395A4C">
        <w:rPr>
          <w:sz w:val="24"/>
          <w:szCs w:val="24"/>
        </w:rPr>
        <w:tab/>
        <w:t xml:space="preserve">-Optimal glucose control strategy with all blood sugars &lt;180 </w:t>
      </w:r>
    </w:p>
    <w:p w:rsidR="00937923" w:rsidRPr="00395A4C" w:rsidRDefault="00937923" w:rsidP="00937923">
      <w:pPr>
        <w:spacing w:after="0" w:line="480" w:lineRule="auto"/>
        <w:rPr>
          <w:sz w:val="24"/>
          <w:szCs w:val="24"/>
        </w:rPr>
      </w:pPr>
      <w:r w:rsidRPr="00395A4C">
        <w:rPr>
          <w:sz w:val="24"/>
          <w:szCs w:val="24"/>
        </w:rPr>
        <w:tab/>
      </w:r>
      <w:r w:rsidRPr="00395A4C">
        <w:rPr>
          <w:sz w:val="24"/>
          <w:szCs w:val="24"/>
        </w:rPr>
        <w:tab/>
        <w:t>-Use of Dialysis/CRRT</w:t>
      </w:r>
    </w:p>
    <w:p w:rsidR="00937923" w:rsidRPr="00395A4C" w:rsidRDefault="00937923" w:rsidP="00937923">
      <w:pPr>
        <w:spacing w:after="0" w:line="480" w:lineRule="auto"/>
        <w:rPr>
          <w:sz w:val="24"/>
          <w:szCs w:val="24"/>
        </w:rPr>
      </w:pPr>
      <w:r w:rsidRPr="00395A4C">
        <w:rPr>
          <w:sz w:val="24"/>
          <w:szCs w:val="24"/>
        </w:rPr>
        <w:t>-Mobilization, defined as having an activity level of at least sitting up to chair. For this analysis, no contraindications to mobilization will be considered.</w:t>
      </w:r>
    </w:p>
    <w:p w:rsidR="00937923" w:rsidRPr="00395A4C" w:rsidRDefault="00937923" w:rsidP="00937923">
      <w:pPr>
        <w:spacing w:after="0" w:line="480" w:lineRule="auto"/>
        <w:rPr>
          <w:sz w:val="24"/>
          <w:szCs w:val="24"/>
        </w:rPr>
      </w:pPr>
      <w:r w:rsidRPr="00395A4C">
        <w:rPr>
          <w:sz w:val="24"/>
          <w:szCs w:val="24"/>
        </w:rPr>
        <w:t>-Use of benzodiazepine infusion in MAR</w:t>
      </w:r>
    </w:p>
    <w:p w:rsidR="00937923" w:rsidRPr="00395A4C" w:rsidRDefault="00937923" w:rsidP="00937923">
      <w:pPr>
        <w:spacing w:after="0" w:line="480" w:lineRule="auto"/>
        <w:rPr>
          <w:sz w:val="24"/>
          <w:szCs w:val="24"/>
        </w:rPr>
      </w:pPr>
      <w:r w:rsidRPr="00395A4C">
        <w:rPr>
          <w:sz w:val="24"/>
          <w:szCs w:val="24"/>
        </w:rPr>
        <w:t>6. Other exposures of interest</w:t>
      </w:r>
    </w:p>
    <w:p w:rsidR="00937923" w:rsidRPr="00395A4C" w:rsidRDefault="00937923" w:rsidP="00937923">
      <w:pPr>
        <w:spacing w:after="0" w:line="480" w:lineRule="auto"/>
        <w:rPr>
          <w:sz w:val="24"/>
          <w:szCs w:val="24"/>
        </w:rPr>
      </w:pPr>
      <w:r w:rsidRPr="00395A4C">
        <w:rPr>
          <w:sz w:val="24"/>
          <w:szCs w:val="24"/>
        </w:rPr>
        <w:t>-Fluid balance defined as checking volume status, positive balance (positive net volume more than 100 mL), neutral (within +/- 100 mL), negative balance (&gt;100 mL net volume loss)</w:t>
      </w:r>
    </w:p>
    <w:p w:rsidR="00937923" w:rsidRPr="00395A4C" w:rsidRDefault="00937923" w:rsidP="00937923">
      <w:pPr>
        <w:spacing w:after="0" w:line="480" w:lineRule="auto"/>
        <w:rPr>
          <w:sz w:val="24"/>
          <w:szCs w:val="24"/>
        </w:rPr>
      </w:pPr>
      <w:r w:rsidRPr="00395A4C">
        <w:rPr>
          <w:sz w:val="24"/>
          <w:szCs w:val="24"/>
        </w:rPr>
        <w:t xml:space="preserve">-Use of blood products, including fresh frozen plasma, packed red blood cells, cell saver, whole blood, cryoprecipitate and platelets. </w:t>
      </w:r>
    </w:p>
    <w:p w:rsidR="00937923" w:rsidRPr="00395A4C" w:rsidRDefault="00937923" w:rsidP="00937923">
      <w:pPr>
        <w:spacing w:after="0" w:line="480" w:lineRule="auto"/>
        <w:rPr>
          <w:sz w:val="24"/>
          <w:szCs w:val="24"/>
        </w:rPr>
      </w:pPr>
      <w:r w:rsidRPr="00395A4C">
        <w:rPr>
          <w:sz w:val="24"/>
          <w:szCs w:val="24"/>
        </w:rPr>
        <w:t>-Appropriately restrictive use of blood products based on hemoglobin, INR and platelet counts and documented reasons for transfusion</w:t>
      </w:r>
    </w:p>
    <w:p w:rsidR="00937923" w:rsidRPr="00395A4C" w:rsidRDefault="00937923" w:rsidP="00937923">
      <w:pPr>
        <w:spacing w:after="0" w:line="480" w:lineRule="auto"/>
        <w:rPr>
          <w:sz w:val="24"/>
          <w:szCs w:val="24"/>
        </w:rPr>
      </w:pPr>
      <w:r w:rsidRPr="00395A4C">
        <w:rPr>
          <w:sz w:val="24"/>
          <w:szCs w:val="24"/>
        </w:rPr>
        <w:t>-Nutrition strategy</w:t>
      </w:r>
    </w:p>
    <w:p w:rsidR="00937923" w:rsidRPr="00395A4C" w:rsidRDefault="00937923" w:rsidP="00937923">
      <w:pPr>
        <w:spacing w:after="0" w:line="480" w:lineRule="auto"/>
        <w:rPr>
          <w:sz w:val="24"/>
          <w:szCs w:val="24"/>
        </w:rPr>
      </w:pPr>
      <w:r w:rsidRPr="00395A4C">
        <w:rPr>
          <w:sz w:val="24"/>
          <w:szCs w:val="24"/>
        </w:rPr>
        <w:t>-Use of enteral or parenteral nutrition</w:t>
      </w:r>
    </w:p>
    <w:p w:rsidR="00937923" w:rsidRPr="00395A4C" w:rsidRDefault="00937923" w:rsidP="00937923">
      <w:pPr>
        <w:spacing w:after="0" w:line="480" w:lineRule="auto"/>
        <w:rPr>
          <w:sz w:val="24"/>
          <w:szCs w:val="24"/>
        </w:rPr>
      </w:pPr>
      <w:r w:rsidRPr="00395A4C">
        <w:rPr>
          <w:sz w:val="24"/>
          <w:szCs w:val="24"/>
        </w:rPr>
        <w:t>-Total estimated Kcal/Day delivered via enteral/parenteral nutrition sources</w:t>
      </w:r>
    </w:p>
    <w:p w:rsidR="00937923" w:rsidRPr="00395A4C" w:rsidRDefault="00937923" w:rsidP="00937923">
      <w:pPr>
        <w:spacing w:after="0" w:line="480" w:lineRule="auto"/>
        <w:rPr>
          <w:sz w:val="24"/>
          <w:szCs w:val="24"/>
        </w:rPr>
      </w:pPr>
      <w:r w:rsidRPr="00395A4C">
        <w:rPr>
          <w:sz w:val="24"/>
          <w:szCs w:val="24"/>
        </w:rPr>
        <w:lastRenderedPageBreak/>
        <w:t>-Degree of under/overfeeding as compared to predicted metabolic requirements from Harris-Benedict equation</w:t>
      </w:r>
    </w:p>
    <w:p w:rsidR="00937923" w:rsidRPr="00395A4C" w:rsidRDefault="00937923" w:rsidP="00937923">
      <w:pPr>
        <w:spacing w:after="0" w:line="480" w:lineRule="auto"/>
        <w:rPr>
          <w:sz w:val="24"/>
          <w:szCs w:val="24"/>
        </w:rPr>
      </w:pPr>
      <w:r w:rsidRPr="00395A4C">
        <w:rPr>
          <w:sz w:val="24"/>
          <w:szCs w:val="24"/>
        </w:rPr>
        <w:t>-Use of noninvasive ventilation</w:t>
      </w:r>
    </w:p>
    <w:p w:rsidR="00937923" w:rsidRPr="00395A4C" w:rsidRDefault="00937923" w:rsidP="00937923">
      <w:pPr>
        <w:spacing w:after="0" w:line="480" w:lineRule="auto"/>
        <w:rPr>
          <w:sz w:val="24"/>
          <w:szCs w:val="24"/>
        </w:rPr>
      </w:pPr>
      <w:r w:rsidRPr="00395A4C">
        <w:rPr>
          <w:sz w:val="24"/>
          <w:szCs w:val="24"/>
        </w:rPr>
        <w:tab/>
      </w:r>
      <w:r w:rsidRPr="00395A4C">
        <w:rPr>
          <w:sz w:val="24"/>
          <w:szCs w:val="24"/>
        </w:rPr>
        <w:tab/>
      </w:r>
      <w:r w:rsidRPr="00395A4C">
        <w:rPr>
          <w:sz w:val="24"/>
          <w:szCs w:val="24"/>
        </w:rPr>
        <w:tab/>
        <w:t>-Antecedent to intubation, measured in number of hours</w:t>
      </w:r>
    </w:p>
    <w:p w:rsidR="00937923" w:rsidRPr="00395A4C" w:rsidRDefault="00937923" w:rsidP="00937923">
      <w:pPr>
        <w:spacing w:after="0" w:line="480" w:lineRule="auto"/>
        <w:rPr>
          <w:sz w:val="24"/>
          <w:szCs w:val="24"/>
        </w:rPr>
      </w:pPr>
      <w:r w:rsidRPr="00395A4C">
        <w:rPr>
          <w:sz w:val="24"/>
          <w:szCs w:val="24"/>
        </w:rPr>
        <w:tab/>
      </w:r>
      <w:r w:rsidRPr="00395A4C">
        <w:rPr>
          <w:sz w:val="24"/>
          <w:szCs w:val="24"/>
        </w:rPr>
        <w:tab/>
        <w:t>-Intubation factors</w:t>
      </w:r>
    </w:p>
    <w:p w:rsidR="00937923" w:rsidRPr="00395A4C" w:rsidRDefault="00937923" w:rsidP="00937923">
      <w:pPr>
        <w:spacing w:after="0" w:line="480" w:lineRule="auto"/>
        <w:rPr>
          <w:sz w:val="24"/>
          <w:szCs w:val="24"/>
        </w:rPr>
      </w:pPr>
      <w:r w:rsidRPr="00395A4C">
        <w:rPr>
          <w:sz w:val="24"/>
          <w:szCs w:val="24"/>
        </w:rPr>
        <w:tab/>
      </w:r>
      <w:r w:rsidRPr="00395A4C">
        <w:rPr>
          <w:sz w:val="24"/>
          <w:szCs w:val="24"/>
        </w:rPr>
        <w:tab/>
      </w:r>
      <w:r w:rsidRPr="00395A4C">
        <w:rPr>
          <w:sz w:val="24"/>
          <w:szCs w:val="24"/>
        </w:rPr>
        <w:tab/>
        <w:t>-Elective vs. emergent as documented in the procedure note</w:t>
      </w:r>
    </w:p>
    <w:p w:rsidR="00937923" w:rsidRPr="00395A4C" w:rsidRDefault="00937923" w:rsidP="00937923">
      <w:pPr>
        <w:spacing w:after="0" w:line="480" w:lineRule="auto"/>
        <w:rPr>
          <w:sz w:val="24"/>
          <w:szCs w:val="24"/>
        </w:rPr>
      </w:pPr>
      <w:r w:rsidRPr="00395A4C">
        <w:rPr>
          <w:sz w:val="24"/>
          <w:szCs w:val="24"/>
        </w:rPr>
        <w:tab/>
      </w:r>
      <w:r w:rsidRPr="00395A4C">
        <w:rPr>
          <w:sz w:val="24"/>
          <w:szCs w:val="24"/>
        </w:rPr>
        <w:tab/>
      </w:r>
      <w:r w:rsidRPr="00395A4C">
        <w:rPr>
          <w:sz w:val="24"/>
          <w:szCs w:val="24"/>
        </w:rPr>
        <w:tab/>
        <w:t>-Whether patient was known to be NPO prior to intubation</w:t>
      </w:r>
    </w:p>
    <w:p w:rsidR="00937923" w:rsidRPr="00395A4C" w:rsidRDefault="00937923" w:rsidP="00937923">
      <w:pPr>
        <w:spacing w:after="0" w:line="480" w:lineRule="auto"/>
        <w:rPr>
          <w:sz w:val="24"/>
          <w:szCs w:val="24"/>
        </w:rPr>
      </w:pPr>
      <w:r w:rsidRPr="00395A4C">
        <w:rPr>
          <w:sz w:val="24"/>
          <w:szCs w:val="24"/>
        </w:rPr>
        <w:t>Compliance definitions</w:t>
      </w:r>
    </w:p>
    <w:p w:rsidR="00937923" w:rsidRPr="00395A4C" w:rsidRDefault="00937923" w:rsidP="00937923">
      <w:pPr>
        <w:spacing w:after="0" w:line="480" w:lineRule="auto"/>
        <w:rPr>
          <w:sz w:val="24"/>
          <w:szCs w:val="24"/>
        </w:rPr>
      </w:pPr>
      <w:r w:rsidRPr="00395A4C">
        <w:rPr>
          <w:sz w:val="24"/>
          <w:szCs w:val="24"/>
        </w:rPr>
        <w:t>Full Compliance- Presence of all bundle elements on every day that patient is eligible for each intervention. Documented contraindications to specific bundle elements will be considered “compliant” for that day.</w:t>
      </w:r>
    </w:p>
    <w:p w:rsidR="00937923" w:rsidRPr="00395A4C" w:rsidRDefault="00937923" w:rsidP="00937923">
      <w:pPr>
        <w:spacing w:after="0" w:line="480" w:lineRule="auto"/>
        <w:rPr>
          <w:sz w:val="24"/>
          <w:szCs w:val="24"/>
        </w:rPr>
      </w:pPr>
      <w:r w:rsidRPr="00395A4C">
        <w:rPr>
          <w:sz w:val="24"/>
          <w:szCs w:val="24"/>
        </w:rPr>
        <w:t>Partial compliance- Between 80%-100% compliance of bundle elements over the duration that they are eligible for the bundle (based on current data on median bundle compliance rates).</w:t>
      </w:r>
    </w:p>
    <w:p w:rsidR="00937923" w:rsidRPr="00395A4C" w:rsidRDefault="00937923" w:rsidP="00937923">
      <w:pPr>
        <w:spacing w:after="0" w:line="480" w:lineRule="auto"/>
        <w:rPr>
          <w:sz w:val="24"/>
          <w:szCs w:val="24"/>
        </w:rPr>
      </w:pPr>
      <w:r w:rsidRPr="00395A4C">
        <w:rPr>
          <w:sz w:val="24"/>
          <w:szCs w:val="24"/>
        </w:rPr>
        <w:t>Noncompliance-&lt;80% bundle compliance overall.</w:t>
      </w:r>
    </w:p>
    <w:p w:rsidR="00937923" w:rsidRPr="00395A4C" w:rsidRDefault="00937923" w:rsidP="00937923">
      <w:pPr>
        <w:spacing w:after="0" w:line="480" w:lineRule="auto"/>
        <w:rPr>
          <w:sz w:val="24"/>
          <w:szCs w:val="24"/>
        </w:rPr>
      </w:pPr>
      <w:r w:rsidRPr="00395A4C">
        <w:rPr>
          <w:sz w:val="24"/>
          <w:szCs w:val="24"/>
        </w:rPr>
        <w:t>Dependent variable definitions</w:t>
      </w:r>
    </w:p>
    <w:p w:rsidR="00937923" w:rsidRPr="00395A4C" w:rsidRDefault="00937923" w:rsidP="00937923">
      <w:pPr>
        <w:spacing w:after="0" w:line="480" w:lineRule="auto"/>
        <w:rPr>
          <w:sz w:val="24"/>
          <w:szCs w:val="24"/>
        </w:rPr>
      </w:pPr>
      <w:r w:rsidRPr="00395A4C">
        <w:rPr>
          <w:sz w:val="24"/>
          <w:szCs w:val="24"/>
        </w:rPr>
        <w:t xml:space="preserve">Hospital length of stay defined as the average length of stay among all patients discharged from the hospital </w:t>
      </w:r>
      <w:proofErr w:type="gramStart"/>
      <w:r w:rsidRPr="00395A4C">
        <w:rPr>
          <w:sz w:val="24"/>
          <w:szCs w:val="24"/>
        </w:rPr>
        <w:t>who</w:t>
      </w:r>
      <w:proofErr w:type="gramEnd"/>
      <w:r w:rsidRPr="00395A4C">
        <w:rPr>
          <w:sz w:val="24"/>
          <w:szCs w:val="24"/>
        </w:rPr>
        <w:t xml:space="preserve"> were admitted or transferred to this ICU during the specified timeframe. </w:t>
      </w:r>
    </w:p>
    <w:p w:rsidR="00937923" w:rsidRPr="00395A4C" w:rsidRDefault="00937923" w:rsidP="00937923">
      <w:pPr>
        <w:spacing w:after="0" w:line="480" w:lineRule="auto"/>
        <w:rPr>
          <w:sz w:val="24"/>
          <w:szCs w:val="24"/>
        </w:rPr>
      </w:pPr>
      <w:r w:rsidRPr="00395A4C">
        <w:rPr>
          <w:sz w:val="24"/>
          <w:szCs w:val="24"/>
        </w:rPr>
        <w:t>ICU length of stay, defined as similar to #1, but pertaining to total time spent in ICU during hospitalization</w:t>
      </w:r>
    </w:p>
    <w:p w:rsidR="00937923" w:rsidRPr="00395A4C" w:rsidRDefault="00937923" w:rsidP="00937923">
      <w:pPr>
        <w:spacing w:after="0" w:line="480" w:lineRule="auto"/>
        <w:rPr>
          <w:sz w:val="24"/>
          <w:szCs w:val="24"/>
        </w:rPr>
      </w:pPr>
      <w:r w:rsidRPr="00395A4C">
        <w:rPr>
          <w:sz w:val="24"/>
          <w:szCs w:val="24"/>
        </w:rPr>
        <w:t xml:space="preserve">Ventilator days, defined as time with invasive mechanical ventilation in place during hospitalization </w:t>
      </w:r>
    </w:p>
    <w:p w:rsidR="00937923" w:rsidRPr="00395A4C" w:rsidRDefault="00937923" w:rsidP="00937923">
      <w:pPr>
        <w:spacing w:after="0" w:line="480" w:lineRule="auto"/>
        <w:rPr>
          <w:sz w:val="24"/>
          <w:szCs w:val="24"/>
        </w:rPr>
      </w:pPr>
      <w:r w:rsidRPr="00395A4C">
        <w:rPr>
          <w:sz w:val="24"/>
          <w:szCs w:val="24"/>
        </w:rPr>
        <w:lastRenderedPageBreak/>
        <w:t xml:space="preserve">Antibiotic resource utilization defined as the number of days of administered antimicrobials after hospital admission –measured as a ratio of days of antibiotics to patient days, excluding surgical prophylaxis (i.e. </w:t>
      </w:r>
      <w:proofErr w:type="spellStart"/>
      <w:r w:rsidRPr="00395A4C">
        <w:rPr>
          <w:sz w:val="24"/>
          <w:szCs w:val="24"/>
        </w:rPr>
        <w:t>Ancef</w:t>
      </w:r>
      <w:proofErr w:type="spellEnd"/>
      <w:r w:rsidRPr="00395A4C">
        <w:rPr>
          <w:sz w:val="24"/>
          <w:szCs w:val="24"/>
        </w:rPr>
        <w:t>)</w:t>
      </w:r>
    </w:p>
    <w:p w:rsidR="00937923" w:rsidRPr="00395A4C" w:rsidRDefault="00937923" w:rsidP="00937923">
      <w:pPr>
        <w:spacing w:after="0" w:line="480" w:lineRule="auto"/>
        <w:rPr>
          <w:sz w:val="24"/>
          <w:szCs w:val="24"/>
        </w:rPr>
      </w:pPr>
      <w:r w:rsidRPr="00395A4C">
        <w:rPr>
          <w:sz w:val="24"/>
          <w:szCs w:val="24"/>
        </w:rPr>
        <w:t>Central line resource utilization, defined as ratio of central line days to patient days.</w:t>
      </w:r>
    </w:p>
    <w:p w:rsidR="00937923" w:rsidRPr="00395A4C" w:rsidRDefault="00937923" w:rsidP="00937923">
      <w:pPr>
        <w:spacing w:after="0" w:line="480" w:lineRule="auto"/>
        <w:rPr>
          <w:sz w:val="24"/>
          <w:szCs w:val="24"/>
        </w:rPr>
      </w:pPr>
      <w:r w:rsidRPr="00395A4C">
        <w:rPr>
          <w:sz w:val="24"/>
          <w:szCs w:val="24"/>
        </w:rPr>
        <w:t xml:space="preserve"> Unit readmission rates defined as readmissions to the ICU within 24 hours of ICU discharge or within the same hospitalization</w:t>
      </w:r>
    </w:p>
    <w:p w:rsidR="00937923" w:rsidRPr="00395A4C" w:rsidRDefault="00937923" w:rsidP="00937923">
      <w:pPr>
        <w:spacing w:after="0" w:line="480" w:lineRule="auto"/>
        <w:rPr>
          <w:sz w:val="24"/>
          <w:szCs w:val="24"/>
        </w:rPr>
      </w:pPr>
      <w:r w:rsidRPr="00395A4C">
        <w:rPr>
          <w:sz w:val="24"/>
          <w:szCs w:val="24"/>
        </w:rPr>
        <w:t>Hospital readmission rates defined as readmission to hospital within 30 days</w:t>
      </w:r>
    </w:p>
    <w:p w:rsidR="00937923" w:rsidRPr="00395A4C" w:rsidRDefault="00937923" w:rsidP="00937923">
      <w:pPr>
        <w:spacing w:after="0" w:line="480" w:lineRule="auto"/>
        <w:rPr>
          <w:sz w:val="24"/>
          <w:szCs w:val="24"/>
        </w:rPr>
      </w:pPr>
      <w:r w:rsidRPr="00395A4C">
        <w:rPr>
          <w:sz w:val="24"/>
          <w:szCs w:val="24"/>
        </w:rPr>
        <w:t>ICU mortality defined as mortality rate based on death rate among all patients discharged from the ICU during the specified timeframe</w:t>
      </w:r>
    </w:p>
    <w:p w:rsidR="00937923" w:rsidRPr="00395A4C" w:rsidRDefault="00937923" w:rsidP="00937923">
      <w:pPr>
        <w:spacing w:after="0" w:line="480" w:lineRule="auto"/>
        <w:rPr>
          <w:sz w:val="24"/>
          <w:szCs w:val="24"/>
        </w:rPr>
      </w:pPr>
      <w:r w:rsidRPr="00395A4C">
        <w:rPr>
          <w:sz w:val="24"/>
          <w:szCs w:val="24"/>
        </w:rPr>
        <w:t>Hospital mortality defined as basing on the mortality rate among all patients discharged from the hospital who were admitted or transferred to this ICU during the specified timeframe</w:t>
      </w:r>
    </w:p>
    <w:p w:rsidR="00937923" w:rsidRPr="00395A4C" w:rsidRDefault="00937923" w:rsidP="00937923">
      <w:pPr>
        <w:spacing w:after="0" w:line="480" w:lineRule="auto"/>
        <w:rPr>
          <w:sz w:val="24"/>
          <w:szCs w:val="24"/>
        </w:rPr>
      </w:pPr>
      <w:r w:rsidRPr="00395A4C">
        <w:rPr>
          <w:sz w:val="24"/>
          <w:szCs w:val="24"/>
        </w:rPr>
        <w:t>30-day mortality defined as basing on the mortality rate among all patients discharged alive from the hospital who were admitted or transferred to this ICU during the specified timeframe</w:t>
      </w:r>
      <w:bookmarkStart w:id="0" w:name="_GoBack"/>
      <w:bookmarkEnd w:id="0"/>
    </w:p>
    <w:p w:rsidR="00952FAE" w:rsidRDefault="00937923"/>
    <w:sectPr w:rsidR="00952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23"/>
    <w:rsid w:val="002C7A6E"/>
    <w:rsid w:val="00937923"/>
    <w:rsid w:val="00C5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92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92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M Ward</dc:creator>
  <cp:lastModifiedBy>Erica M Ward</cp:lastModifiedBy>
  <cp:revision>1</cp:revision>
  <dcterms:created xsi:type="dcterms:W3CDTF">2015-11-17T19:23:00Z</dcterms:created>
  <dcterms:modified xsi:type="dcterms:W3CDTF">2015-11-17T19:23:00Z</dcterms:modified>
</cp:coreProperties>
</file>