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A3" w:rsidRPr="001B4355" w:rsidRDefault="00456DA3" w:rsidP="00456DA3">
      <w:pPr>
        <w:spacing w:line="480" w:lineRule="auto"/>
        <w:ind w:right="-62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Supplementary online t</w:t>
      </w:r>
      <w:r w:rsidRPr="001B4355">
        <w:rPr>
          <w:rFonts w:ascii="Times New Roman" w:hAnsi="Times New Roman" w:cs="Times New Roman"/>
          <w:b/>
          <w:bCs/>
          <w:sz w:val="24"/>
          <w:szCs w:val="24"/>
        </w:rPr>
        <w:t>able 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1B4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2F34">
        <w:rPr>
          <w:rFonts w:ascii="Times New Roman" w:hAnsi="Times New Roman" w:cs="Times New Roman"/>
          <w:sz w:val="24"/>
          <w:szCs w:val="24"/>
        </w:rPr>
        <w:t>Baseline characteristics</w:t>
      </w:r>
    </w:p>
    <w:tbl>
      <w:tblPr>
        <w:tblW w:w="9180" w:type="dxa"/>
        <w:tblLayout w:type="fixed"/>
        <w:tblLook w:val="0420" w:firstRow="1" w:lastRow="0" w:firstColumn="0" w:lastColumn="0" w:noHBand="0" w:noVBand="1"/>
      </w:tblPr>
      <w:tblGrid>
        <w:gridCol w:w="4577"/>
        <w:gridCol w:w="1566"/>
        <w:gridCol w:w="1566"/>
        <w:gridCol w:w="1471"/>
      </w:tblGrid>
      <w:tr w:rsidR="00456DA3" w:rsidRPr="00FC2DBD" w:rsidTr="00D74DC4">
        <w:trPr>
          <w:trHeight w:val="404"/>
        </w:trPr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56DA3" w:rsidRPr="00C655EE" w:rsidRDefault="00456DA3" w:rsidP="00D74DC4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456DA3" w:rsidRPr="00C655EE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CARE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C655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=433)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</w:tcPr>
          <w:p w:rsidR="00456DA3" w:rsidRPr="00C655EE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Control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C655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=441)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456DA3" w:rsidRPr="00C655EE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</w:t>
            </w:r>
            <w:r w:rsidRPr="00C655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-value</w:t>
            </w:r>
          </w:p>
        </w:tc>
      </w:tr>
      <w:tr w:rsidR="00456DA3" w:rsidRPr="00FC2DBD" w:rsidTr="00D74DC4">
        <w:trPr>
          <w:trHeight w:val="360"/>
        </w:trPr>
        <w:tc>
          <w:tcPr>
            <w:tcW w:w="538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56DA3" w:rsidRPr="00C655EE" w:rsidRDefault="00456DA3" w:rsidP="00D74D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sz w:val="24"/>
                <w:szCs w:val="24"/>
              </w:rPr>
              <w:t xml:space="preserve">Mean age (year), </w:t>
            </w:r>
            <w:proofErr w:type="spellStart"/>
            <w:r w:rsidRPr="00C655EE">
              <w:rPr>
                <w:rFonts w:ascii="Times New Roman" w:hAnsi="Times New Roman" w:cs="Times New Roman"/>
                <w:sz w:val="24"/>
                <w:szCs w:val="24"/>
              </w:rPr>
              <w:t>mean±SD</w:t>
            </w:r>
            <w:proofErr w:type="spellEnd"/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56DA3" w:rsidRPr="00C655EE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61.5±18.6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:rsidR="00456DA3" w:rsidRPr="00C655EE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61.4±17.9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56DA3" w:rsidRPr="00C655EE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</w:tr>
      <w:tr w:rsidR="00456DA3" w:rsidRPr="00FC2DBD" w:rsidTr="00D74DC4">
        <w:trPr>
          <w:trHeight w:val="360"/>
        </w:trPr>
        <w:tc>
          <w:tcPr>
            <w:tcW w:w="5387" w:type="dxa"/>
            <w:shd w:val="clear" w:color="auto" w:fill="auto"/>
            <w:noWrap/>
          </w:tcPr>
          <w:p w:rsidR="00456DA3" w:rsidRPr="00C655EE" w:rsidRDefault="00456DA3" w:rsidP="00D74D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sz w:val="24"/>
                <w:szCs w:val="24"/>
              </w:rPr>
              <w:t xml:space="preserve">Female gender </w:t>
            </w:r>
          </w:p>
        </w:tc>
        <w:tc>
          <w:tcPr>
            <w:tcW w:w="1814" w:type="dxa"/>
            <w:shd w:val="clear" w:color="auto" w:fill="auto"/>
            <w:noWrap/>
          </w:tcPr>
          <w:p w:rsidR="00456DA3" w:rsidRPr="00C655EE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 (65.6%)</w:t>
            </w:r>
          </w:p>
        </w:tc>
        <w:tc>
          <w:tcPr>
            <w:tcW w:w="1814" w:type="dxa"/>
          </w:tcPr>
          <w:p w:rsidR="00456DA3" w:rsidRPr="00C655EE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(62.8%)</w:t>
            </w:r>
          </w:p>
        </w:tc>
        <w:tc>
          <w:tcPr>
            <w:tcW w:w="1701" w:type="dxa"/>
            <w:shd w:val="clear" w:color="auto" w:fill="auto"/>
            <w:noWrap/>
          </w:tcPr>
          <w:p w:rsidR="00456DA3" w:rsidRPr="00C655EE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456DA3" w:rsidRPr="00FC2DBD" w:rsidTr="00D74DC4">
        <w:trPr>
          <w:trHeight w:val="360"/>
        </w:trPr>
        <w:tc>
          <w:tcPr>
            <w:tcW w:w="5387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 xml:space="preserve">Previous hospitalization in 3 months </w:t>
            </w:r>
          </w:p>
        </w:tc>
        <w:tc>
          <w:tcPr>
            <w:tcW w:w="1814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152 (35.1%)</w:t>
            </w:r>
          </w:p>
        </w:tc>
        <w:tc>
          <w:tcPr>
            <w:tcW w:w="1814" w:type="dxa"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157 (35.6%)</w:t>
            </w:r>
          </w:p>
        </w:tc>
        <w:tc>
          <w:tcPr>
            <w:tcW w:w="1701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456DA3" w:rsidRPr="00E340C5" w:rsidTr="00D74DC4">
        <w:trPr>
          <w:trHeight w:val="360"/>
        </w:trPr>
        <w:tc>
          <w:tcPr>
            <w:tcW w:w="5387" w:type="dxa"/>
            <w:shd w:val="clear" w:color="auto" w:fill="auto"/>
            <w:noWrap/>
          </w:tcPr>
          <w:p w:rsidR="00456DA3" w:rsidRPr="00E340C5" w:rsidRDefault="00456DA3" w:rsidP="00D74DC4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Transfer status</w:t>
            </w:r>
          </w:p>
        </w:tc>
        <w:tc>
          <w:tcPr>
            <w:tcW w:w="1814" w:type="dxa"/>
            <w:shd w:val="clear" w:color="auto" w:fill="auto"/>
            <w:noWrap/>
          </w:tcPr>
          <w:p w:rsidR="00456DA3" w:rsidRPr="00E340C5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456DA3" w:rsidRPr="00E340C5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56DA3" w:rsidRPr="00E340C5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6DA3" w:rsidRPr="00FC2DBD" w:rsidTr="00D74DC4">
        <w:trPr>
          <w:trHeight w:val="360"/>
        </w:trPr>
        <w:tc>
          <w:tcPr>
            <w:tcW w:w="5387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14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391 (90.3%)</w:t>
            </w:r>
          </w:p>
        </w:tc>
        <w:tc>
          <w:tcPr>
            <w:tcW w:w="1814" w:type="dxa"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398 (90.3%)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</w:tr>
      <w:tr w:rsidR="00456DA3" w:rsidRPr="00FC2DBD" w:rsidTr="00D74DC4">
        <w:trPr>
          <w:trHeight w:val="360"/>
        </w:trPr>
        <w:tc>
          <w:tcPr>
            <w:tcW w:w="5387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Hospital</w:t>
            </w:r>
          </w:p>
        </w:tc>
        <w:tc>
          <w:tcPr>
            <w:tcW w:w="1814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37 (8.6%)</w:t>
            </w:r>
          </w:p>
        </w:tc>
        <w:tc>
          <w:tcPr>
            <w:tcW w:w="1814" w:type="dxa"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37 (8.4%)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DA3" w:rsidRPr="00FC2DBD" w:rsidTr="00D74DC4">
        <w:trPr>
          <w:trHeight w:val="360"/>
        </w:trPr>
        <w:tc>
          <w:tcPr>
            <w:tcW w:w="5387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 term care facility</w:t>
            </w:r>
          </w:p>
        </w:tc>
        <w:tc>
          <w:tcPr>
            <w:tcW w:w="1814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4 (0.9%)</w:t>
            </w:r>
          </w:p>
        </w:tc>
        <w:tc>
          <w:tcPr>
            <w:tcW w:w="1814" w:type="dxa"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4 (0.9%)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DA3" w:rsidRPr="00FC2DBD" w:rsidTr="00D74DC4">
        <w:trPr>
          <w:trHeight w:val="360"/>
        </w:trPr>
        <w:tc>
          <w:tcPr>
            <w:tcW w:w="5387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814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1 (0.2%)</w:t>
            </w:r>
          </w:p>
        </w:tc>
        <w:tc>
          <w:tcPr>
            <w:tcW w:w="1814" w:type="dxa"/>
            <w:tcBorders>
              <w:bottom w:val="single" w:sz="8" w:space="0" w:color="auto"/>
            </w:tcBorders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2 (0.4%)</w:t>
            </w: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DA3" w:rsidRPr="00FC2DBD" w:rsidTr="00D74DC4">
        <w:trPr>
          <w:trHeight w:val="360"/>
        </w:trPr>
        <w:tc>
          <w:tcPr>
            <w:tcW w:w="5387" w:type="dxa"/>
            <w:tcBorders>
              <w:top w:val="single" w:sz="8" w:space="0" w:color="auto"/>
            </w:tcBorders>
            <w:shd w:val="clear" w:color="auto" w:fill="auto"/>
            <w:noWrap/>
          </w:tcPr>
          <w:p w:rsidR="00456DA3" w:rsidRPr="00154F5B" w:rsidRDefault="00456DA3" w:rsidP="00D74D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F5B">
              <w:rPr>
                <w:rFonts w:ascii="Times New Roman" w:hAnsi="Times New Roman" w:cs="Times New Roman"/>
                <w:bCs/>
                <w:sz w:val="24"/>
                <w:szCs w:val="24"/>
              </w:rPr>
              <w:t>Underlying diseases</w:t>
            </w:r>
          </w:p>
        </w:tc>
        <w:tc>
          <w:tcPr>
            <w:tcW w:w="1814" w:type="dxa"/>
            <w:tcBorders>
              <w:top w:val="single" w:sz="8" w:space="0" w:color="auto"/>
            </w:tcBorders>
            <w:shd w:val="clear" w:color="auto" w:fill="auto"/>
            <w:noWrap/>
          </w:tcPr>
          <w:p w:rsidR="00456DA3" w:rsidRPr="00154F5B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F5B">
              <w:rPr>
                <w:rFonts w:ascii="Times New Roman" w:hAnsi="Times New Roman" w:cs="Times New Roman"/>
                <w:bCs/>
                <w:sz w:val="24"/>
                <w:szCs w:val="24"/>
              </w:rPr>
              <w:t>406 (93.8%)</w:t>
            </w:r>
          </w:p>
        </w:tc>
        <w:tc>
          <w:tcPr>
            <w:tcW w:w="1814" w:type="dxa"/>
            <w:tcBorders>
              <w:top w:val="single" w:sz="8" w:space="0" w:color="auto"/>
            </w:tcBorders>
          </w:tcPr>
          <w:p w:rsidR="00456DA3" w:rsidRPr="00154F5B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F5B">
              <w:rPr>
                <w:rFonts w:ascii="Times New Roman" w:hAnsi="Times New Roman" w:cs="Times New Roman"/>
                <w:bCs/>
                <w:sz w:val="24"/>
                <w:szCs w:val="24"/>
              </w:rPr>
              <w:t>409 (92.7%)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noWrap/>
          </w:tcPr>
          <w:p w:rsidR="00456DA3" w:rsidRPr="00154F5B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0.55</w:t>
            </w:r>
          </w:p>
        </w:tc>
      </w:tr>
      <w:tr w:rsidR="00456DA3" w:rsidRPr="00FC2DBD" w:rsidTr="00D74DC4">
        <w:trPr>
          <w:trHeight w:val="360"/>
        </w:trPr>
        <w:tc>
          <w:tcPr>
            <w:tcW w:w="5387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 xml:space="preserve">Diabetes mellitus </w:t>
            </w:r>
          </w:p>
        </w:tc>
        <w:tc>
          <w:tcPr>
            <w:tcW w:w="1814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146 (33.7%)</w:t>
            </w:r>
          </w:p>
        </w:tc>
        <w:tc>
          <w:tcPr>
            <w:tcW w:w="1814" w:type="dxa"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144 (32.6%)</w:t>
            </w:r>
          </w:p>
        </w:tc>
        <w:tc>
          <w:tcPr>
            <w:tcW w:w="1701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</w:tr>
      <w:tr w:rsidR="00456DA3" w:rsidRPr="00FC2DBD" w:rsidTr="00D74DC4">
        <w:trPr>
          <w:trHeight w:val="360"/>
        </w:trPr>
        <w:tc>
          <w:tcPr>
            <w:tcW w:w="5387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 xml:space="preserve">Hypertension </w:t>
            </w:r>
          </w:p>
        </w:tc>
        <w:tc>
          <w:tcPr>
            <w:tcW w:w="1814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236 (54.5%)</w:t>
            </w:r>
          </w:p>
        </w:tc>
        <w:tc>
          <w:tcPr>
            <w:tcW w:w="1814" w:type="dxa"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249 (56.5%)</w:t>
            </w:r>
          </w:p>
        </w:tc>
        <w:tc>
          <w:tcPr>
            <w:tcW w:w="1701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456DA3" w:rsidRPr="00FC2DBD" w:rsidTr="00D74DC4">
        <w:trPr>
          <w:trHeight w:val="360"/>
        </w:trPr>
        <w:tc>
          <w:tcPr>
            <w:tcW w:w="5387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 xml:space="preserve">Cerebrovascular disease </w:t>
            </w:r>
          </w:p>
        </w:tc>
        <w:tc>
          <w:tcPr>
            <w:tcW w:w="1814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85 (19.6%)</w:t>
            </w:r>
          </w:p>
        </w:tc>
        <w:tc>
          <w:tcPr>
            <w:tcW w:w="1814" w:type="dxa"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78 (17.7%)</w:t>
            </w:r>
          </w:p>
        </w:tc>
        <w:tc>
          <w:tcPr>
            <w:tcW w:w="1701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</w:tr>
      <w:tr w:rsidR="00456DA3" w:rsidRPr="00FC2DBD" w:rsidTr="00D74DC4">
        <w:trPr>
          <w:trHeight w:val="360"/>
        </w:trPr>
        <w:tc>
          <w:tcPr>
            <w:tcW w:w="5387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 xml:space="preserve">Pulmonary disease </w:t>
            </w:r>
          </w:p>
        </w:tc>
        <w:tc>
          <w:tcPr>
            <w:tcW w:w="1814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54 (12.5%)</w:t>
            </w:r>
          </w:p>
        </w:tc>
        <w:tc>
          <w:tcPr>
            <w:tcW w:w="1814" w:type="dxa"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53 (12.0%)</w:t>
            </w:r>
          </w:p>
        </w:tc>
        <w:tc>
          <w:tcPr>
            <w:tcW w:w="1701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</w:tr>
      <w:tr w:rsidR="00456DA3" w:rsidRPr="00FC2DBD" w:rsidTr="00D74DC4">
        <w:trPr>
          <w:trHeight w:val="360"/>
        </w:trPr>
        <w:tc>
          <w:tcPr>
            <w:tcW w:w="5387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 xml:space="preserve">Cardiovascular disease </w:t>
            </w:r>
          </w:p>
        </w:tc>
        <w:tc>
          <w:tcPr>
            <w:tcW w:w="1814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117 (27.0%)</w:t>
            </w:r>
          </w:p>
        </w:tc>
        <w:tc>
          <w:tcPr>
            <w:tcW w:w="1814" w:type="dxa"/>
          </w:tcPr>
          <w:p w:rsidR="00456DA3" w:rsidRPr="003E14CC" w:rsidRDefault="00456DA3" w:rsidP="00D74DC4">
            <w:pPr>
              <w:tabs>
                <w:tab w:val="left" w:pos="480"/>
                <w:tab w:val="center" w:pos="74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128 (29.0%)</w:t>
            </w:r>
          </w:p>
        </w:tc>
        <w:tc>
          <w:tcPr>
            <w:tcW w:w="1701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456DA3" w:rsidRPr="00FC2DBD" w:rsidTr="00D74DC4">
        <w:trPr>
          <w:trHeight w:val="360"/>
        </w:trPr>
        <w:tc>
          <w:tcPr>
            <w:tcW w:w="5387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 xml:space="preserve">Renal disease </w:t>
            </w:r>
          </w:p>
        </w:tc>
        <w:tc>
          <w:tcPr>
            <w:tcW w:w="1814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67 (15.5%)</w:t>
            </w:r>
          </w:p>
        </w:tc>
        <w:tc>
          <w:tcPr>
            <w:tcW w:w="1814" w:type="dxa"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54 (12.2%)</w:t>
            </w:r>
          </w:p>
        </w:tc>
        <w:tc>
          <w:tcPr>
            <w:tcW w:w="1701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456DA3" w:rsidRPr="00FC2DBD" w:rsidTr="00D74DC4">
        <w:trPr>
          <w:trHeight w:val="360"/>
        </w:trPr>
        <w:tc>
          <w:tcPr>
            <w:tcW w:w="5387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 xml:space="preserve">Liver disease </w:t>
            </w:r>
          </w:p>
        </w:tc>
        <w:tc>
          <w:tcPr>
            <w:tcW w:w="1814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84 (19.4%)</w:t>
            </w:r>
          </w:p>
        </w:tc>
        <w:tc>
          <w:tcPr>
            <w:tcW w:w="1814" w:type="dxa"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83 (18.8%)</w:t>
            </w:r>
          </w:p>
        </w:tc>
        <w:tc>
          <w:tcPr>
            <w:tcW w:w="1701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456DA3" w:rsidRPr="00FC2DBD" w:rsidTr="00D74DC4">
        <w:trPr>
          <w:trHeight w:val="360"/>
        </w:trPr>
        <w:tc>
          <w:tcPr>
            <w:tcW w:w="5387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 xml:space="preserve">Non-malignant hematologic disease </w:t>
            </w:r>
          </w:p>
        </w:tc>
        <w:tc>
          <w:tcPr>
            <w:tcW w:w="1814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61 (14.1%)</w:t>
            </w:r>
          </w:p>
        </w:tc>
        <w:tc>
          <w:tcPr>
            <w:tcW w:w="1814" w:type="dxa"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68 (15.4%)</w:t>
            </w:r>
          </w:p>
        </w:tc>
        <w:tc>
          <w:tcPr>
            <w:tcW w:w="1701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456DA3" w:rsidRPr="00FC2DBD" w:rsidTr="00D74DC4">
        <w:trPr>
          <w:trHeight w:val="360"/>
        </w:trPr>
        <w:tc>
          <w:tcPr>
            <w:tcW w:w="5387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 xml:space="preserve">Hematologic malignancy </w:t>
            </w:r>
          </w:p>
        </w:tc>
        <w:tc>
          <w:tcPr>
            <w:tcW w:w="1814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17 (3.9%)</w:t>
            </w:r>
          </w:p>
        </w:tc>
        <w:tc>
          <w:tcPr>
            <w:tcW w:w="1814" w:type="dxa"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17 (3.8%)</w:t>
            </w:r>
          </w:p>
        </w:tc>
        <w:tc>
          <w:tcPr>
            <w:tcW w:w="1701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</w:tr>
      <w:tr w:rsidR="00456DA3" w:rsidRPr="00FC2DBD" w:rsidTr="00D74DC4">
        <w:trPr>
          <w:trHeight w:val="360"/>
        </w:trPr>
        <w:tc>
          <w:tcPr>
            <w:tcW w:w="5387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 xml:space="preserve">Solid malignancy </w:t>
            </w:r>
          </w:p>
        </w:tc>
        <w:tc>
          <w:tcPr>
            <w:tcW w:w="1814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76 (17.5%)</w:t>
            </w:r>
          </w:p>
        </w:tc>
        <w:tc>
          <w:tcPr>
            <w:tcW w:w="1814" w:type="dxa"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67 (15.2%)</w:t>
            </w:r>
          </w:p>
        </w:tc>
        <w:tc>
          <w:tcPr>
            <w:tcW w:w="1701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456DA3" w:rsidRPr="00FC2DBD" w:rsidTr="00D74DC4">
        <w:trPr>
          <w:trHeight w:val="360"/>
        </w:trPr>
        <w:tc>
          <w:tcPr>
            <w:tcW w:w="5387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 xml:space="preserve">Post-organ transplantation </w:t>
            </w:r>
          </w:p>
        </w:tc>
        <w:tc>
          <w:tcPr>
            <w:tcW w:w="1814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3 (0.7%)</w:t>
            </w:r>
          </w:p>
        </w:tc>
        <w:tc>
          <w:tcPr>
            <w:tcW w:w="1814" w:type="dxa"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11 (2.5%)</w:t>
            </w:r>
          </w:p>
        </w:tc>
        <w:tc>
          <w:tcPr>
            <w:tcW w:w="1701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456DA3" w:rsidRPr="00FC2DBD" w:rsidTr="00D74DC4">
        <w:trPr>
          <w:trHeight w:val="360"/>
        </w:trPr>
        <w:tc>
          <w:tcPr>
            <w:tcW w:w="5387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 xml:space="preserve">Neutropenia </w:t>
            </w:r>
          </w:p>
        </w:tc>
        <w:tc>
          <w:tcPr>
            <w:tcW w:w="1814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8 (1.8%)</w:t>
            </w:r>
          </w:p>
        </w:tc>
        <w:tc>
          <w:tcPr>
            <w:tcW w:w="1814" w:type="dxa"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12 (2.7%)</w:t>
            </w:r>
          </w:p>
        </w:tc>
        <w:tc>
          <w:tcPr>
            <w:tcW w:w="1701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456DA3" w:rsidRPr="00FC2DBD" w:rsidTr="00D74DC4">
        <w:trPr>
          <w:trHeight w:val="360"/>
        </w:trPr>
        <w:tc>
          <w:tcPr>
            <w:tcW w:w="5387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HIV infection</w:t>
            </w:r>
          </w:p>
        </w:tc>
        <w:tc>
          <w:tcPr>
            <w:tcW w:w="1814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10 (2.3%)</w:t>
            </w:r>
          </w:p>
        </w:tc>
        <w:tc>
          <w:tcPr>
            <w:tcW w:w="1814" w:type="dxa"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17 (3.8%)</w:t>
            </w:r>
          </w:p>
        </w:tc>
        <w:tc>
          <w:tcPr>
            <w:tcW w:w="1701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456DA3" w:rsidRPr="00FC2DBD" w:rsidTr="00D74DC4">
        <w:trPr>
          <w:trHeight w:val="360"/>
        </w:trPr>
        <w:tc>
          <w:tcPr>
            <w:tcW w:w="5387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Recent use of immunosuppressive agents </w:t>
            </w:r>
          </w:p>
        </w:tc>
        <w:tc>
          <w:tcPr>
            <w:tcW w:w="1814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46 (10.6%)</w:t>
            </w:r>
          </w:p>
        </w:tc>
        <w:tc>
          <w:tcPr>
            <w:tcW w:w="1814" w:type="dxa"/>
            <w:tcBorders>
              <w:bottom w:val="single" w:sz="8" w:space="0" w:color="auto"/>
            </w:tcBorders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49 (11.1%)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</w:tr>
      <w:tr w:rsidR="00456DA3" w:rsidRPr="00FC2DBD" w:rsidTr="00D74DC4">
        <w:trPr>
          <w:trHeight w:val="360"/>
        </w:trPr>
        <w:tc>
          <w:tcPr>
            <w:tcW w:w="5387" w:type="dxa"/>
            <w:tcBorders>
              <w:top w:val="single" w:sz="8" w:space="0" w:color="auto"/>
            </w:tcBorders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Previous catheter use (in the past 90 days)</w:t>
            </w:r>
          </w:p>
        </w:tc>
        <w:tc>
          <w:tcPr>
            <w:tcW w:w="1814" w:type="dxa"/>
            <w:tcBorders>
              <w:top w:val="single" w:sz="8" w:space="0" w:color="auto"/>
            </w:tcBorders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8" w:space="0" w:color="auto"/>
            </w:tcBorders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DA3" w:rsidRPr="00FC2DBD" w:rsidTr="00D74DC4">
        <w:trPr>
          <w:trHeight w:val="360"/>
        </w:trPr>
        <w:tc>
          <w:tcPr>
            <w:tcW w:w="5387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 xml:space="preserve">Nasogastric tube </w:t>
            </w:r>
          </w:p>
        </w:tc>
        <w:tc>
          <w:tcPr>
            <w:tcW w:w="1814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35 (8.1%)</w:t>
            </w:r>
          </w:p>
        </w:tc>
        <w:tc>
          <w:tcPr>
            <w:tcW w:w="1814" w:type="dxa"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28 (6.4%)</w:t>
            </w:r>
          </w:p>
        </w:tc>
        <w:tc>
          <w:tcPr>
            <w:tcW w:w="1701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456DA3" w:rsidRPr="00FC2DBD" w:rsidTr="00D74DC4">
        <w:trPr>
          <w:trHeight w:val="360"/>
        </w:trPr>
        <w:tc>
          <w:tcPr>
            <w:tcW w:w="5387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 xml:space="preserve">Gastrostomy tube </w:t>
            </w:r>
          </w:p>
        </w:tc>
        <w:tc>
          <w:tcPr>
            <w:tcW w:w="1814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9 (2.1%)</w:t>
            </w:r>
          </w:p>
        </w:tc>
        <w:tc>
          <w:tcPr>
            <w:tcW w:w="1814" w:type="dxa"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8 (1.8%)</w:t>
            </w:r>
          </w:p>
        </w:tc>
        <w:tc>
          <w:tcPr>
            <w:tcW w:w="1701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456DA3" w:rsidRPr="00FC2DBD" w:rsidTr="00D74DC4">
        <w:trPr>
          <w:trHeight w:val="360"/>
        </w:trPr>
        <w:tc>
          <w:tcPr>
            <w:tcW w:w="5387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 xml:space="preserve">Urinary catheter </w:t>
            </w:r>
          </w:p>
        </w:tc>
        <w:tc>
          <w:tcPr>
            <w:tcW w:w="1814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49 (11.3%)</w:t>
            </w:r>
          </w:p>
        </w:tc>
        <w:tc>
          <w:tcPr>
            <w:tcW w:w="1814" w:type="dxa"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50 (11.3%)</w:t>
            </w:r>
          </w:p>
        </w:tc>
        <w:tc>
          <w:tcPr>
            <w:tcW w:w="1701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</w:tr>
      <w:tr w:rsidR="00456DA3" w:rsidRPr="00FC2DBD" w:rsidTr="00D74DC4">
        <w:trPr>
          <w:trHeight w:val="360"/>
        </w:trPr>
        <w:tc>
          <w:tcPr>
            <w:tcW w:w="5387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 xml:space="preserve">Central venous catheter </w:t>
            </w:r>
          </w:p>
        </w:tc>
        <w:tc>
          <w:tcPr>
            <w:tcW w:w="1814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12 (2.8%)</w:t>
            </w:r>
          </w:p>
        </w:tc>
        <w:tc>
          <w:tcPr>
            <w:tcW w:w="1814" w:type="dxa"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sz w:val="24"/>
                <w:szCs w:val="24"/>
              </w:rPr>
              <w:t>10 (2.3%)</w:t>
            </w:r>
          </w:p>
        </w:tc>
        <w:tc>
          <w:tcPr>
            <w:tcW w:w="1701" w:type="dxa"/>
            <w:shd w:val="clear" w:color="auto" w:fill="auto"/>
            <w:noWrap/>
          </w:tcPr>
          <w:p w:rsidR="00456DA3" w:rsidRPr="003E14CC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  <w:tr w:rsidR="00456DA3" w:rsidRPr="00FC2DBD" w:rsidTr="00D74DC4">
        <w:trPr>
          <w:trHeight w:val="375"/>
        </w:trPr>
        <w:tc>
          <w:tcPr>
            <w:tcW w:w="5387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56DA3" w:rsidRPr="00C655EE" w:rsidRDefault="00456DA3" w:rsidP="00D74DC4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Others 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56DA3" w:rsidRPr="00C655EE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sz w:val="24"/>
                <w:szCs w:val="24"/>
              </w:rPr>
              <w:t>23 (5.3%)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:rsidR="00456DA3" w:rsidRPr="00C655EE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sz w:val="24"/>
                <w:szCs w:val="24"/>
              </w:rPr>
              <w:t>20 (4.5%)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56DA3" w:rsidRPr="00C655EE" w:rsidRDefault="00456DA3" w:rsidP="00D74DC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</w:tr>
    </w:tbl>
    <w:p w:rsidR="00456DA3" w:rsidRPr="00E340C5" w:rsidRDefault="00456DA3" w:rsidP="00456DA3">
      <w:pPr>
        <w:spacing w:line="480" w:lineRule="auto"/>
        <w:ind w:right="-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CARE, Catheter Reminder and Evaluation; SD, standard deviation</w:t>
      </w:r>
    </w:p>
    <w:p w:rsidR="00456DA3" w:rsidRPr="001B4355" w:rsidRDefault="00456DA3" w:rsidP="00456DA3">
      <w:pPr>
        <w:spacing w:line="480" w:lineRule="auto"/>
        <w:ind w:right="-62"/>
        <w:rPr>
          <w:rFonts w:ascii="Times New Roman" w:hAnsi="Times New Roman" w:cs="Times New Roman"/>
          <w:b/>
          <w:bCs/>
          <w:sz w:val="24"/>
          <w:szCs w:val="24"/>
        </w:rPr>
      </w:pPr>
    </w:p>
    <w:p w:rsidR="009F7894" w:rsidRDefault="009951A0"/>
    <w:p w:rsidR="009951A0" w:rsidRDefault="009951A0"/>
    <w:p w:rsidR="009951A0" w:rsidRDefault="009951A0"/>
    <w:p w:rsidR="009951A0" w:rsidRDefault="009951A0"/>
    <w:p w:rsidR="009951A0" w:rsidRDefault="009951A0"/>
    <w:p w:rsidR="009951A0" w:rsidRDefault="009951A0"/>
    <w:p w:rsidR="009951A0" w:rsidRDefault="009951A0"/>
    <w:p w:rsidR="009951A0" w:rsidRDefault="009951A0"/>
    <w:p w:rsidR="009951A0" w:rsidRDefault="009951A0"/>
    <w:p w:rsidR="009951A0" w:rsidRDefault="009951A0"/>
    <w:p w:rsidR="009951A0" w:rsidRDefault="009951A0"/>
    <w:p w:rsidR="009951A0" w:rsidRDefault="009951A0"/>
    <w:p w:rsidR="009951A0" w:rsidRDefault="009951A0"/>
    <w:p w:rsidR="009951A0" w:rsidRDefault="009951A0"/>
    <w:p w:rsidR="009951A0" w:rsidRDefault="009951A0"/>
    <w:p w:rsidR="009951A0" w:rsidRDefault="009951A0"/>
    <w:p w:rsidR="009951A0" w:rsidRDefault="009951A0"/>
    <w:p w:rsidR="009951A0" w:rsidRDefault="009951A0"/>
    <w:p w:rsidR="009951A0" w:rsidRDefault="009951A0"/>
    <w:p w:rsidR="009951A0" w:rsidRDefault="009951A0"/>
    <w:p w:rsidR="009951A0" w:rsidRDefault="009951A0"/>
    <w:p w:rsidR="009951A0" w:rsidRDefault="009951A0"/>
    <w:p w:rsidR="009951A0" w:rsidRDefault="009951A0"/>
    <w:p w:rsidR="009951A0" w:rsidRDefault="009951A0" w:rsidP="009951A0">
      <w:pPr>
        <w:pStyle w:val="BodyTextIndent2"/>
        <w:spacing w:line="480" w:lineRule="auto"/>
        <w:ind w:right="-514" w:firstLine="0"/>
        <w:rPr>
          <w:rFonts w:ascii="Times New Roman" w:hAnsi="Times New Roman" w:cs="Cordia New"/>
          <w:sz w:val="24"/>
          <w:szCs w:val="24"/>
          <w:lang w:val="en-US"/>
        </w:rPr>
      </w:pPr>
      <w:proofErr w:type="gramStart"/>
      <w:r>
        <w:rPr>
          <w:rFonts w:ascii="Times New Roman" w:hAnsi="Times New Roman" w:cs="Cordia New"/>
          <w:b/>
          <w:bCs/>
          <w:sz w:val="24"/>
          <w:szCs w:val="24"/>
          <w:lang w:val="en-US"/>
        </w:rPr>
        <w:lastRenderedPageBreak/>
        <w:t>Supplementary Figure 1.</w:t>
      </w:r>
      <w:proofErr w:type="gramEnd"/>
      <w:r>
        <w:rPr>
          <w:rFonts w:ascii="Times New Roman" w:hAnsi="Times New Roman" w:cs="Cordia New"/>
          <w:b/>
          <w:bCs/>
          <w:sz w:val="24"/>
          <w:szCs w:val="24"/>
          <w:lang w:val="en-US"/>
        </w:rPr>
        <w:t xml:space="preserve"> </w:t>
      </w:r>
      <w:r w:rsidRPr="00E62653">
        <w:rPr>
          <w:rFonts w:ascii="Times New Roman" w:hAnsi="Times New Roman" w:cs="Times New Roman"/>
          <w:sz w:val="24"/>
          <w:szCs w:val="24"/>
          <w:lang w:val="en-US"/>
        </w:rPr>
        <w:t xml:space="preserve">Catheter Reminder and Evaluation </w:t>
      </w:r>
      <w:r w:rsidRPr="00447564">
        <w:rPr>
          <w:rFonts w:ascii="Times New Roman" w:hAnsi="Times New Roman" w:cs="Cordia New"/>
          <w:sz w:val="24"/>
          <w:szCs w:val="24"/>
          <w:lang w:val="en-US"/>
        </w:rPr>
        <w:t>rubber stamp template</w:t>
      </w:r>
      <w:r>
        <w:rPr>
          <w:rFonts w:ascii="Times New Roman" w:hAnsi="Times New Roman" w:cs="Cordia New"/>
          <w:sz w:val="24"/>
          <w:szCs w:val="24"/>
          <w:lang w:val="en-US"/>
        </w:rPr>
        <w:t>.</w:t>
      </w:r>
    </w:p>
    <w:p w:rsidR="009951A0" w:rsidRDefault="009951A0" w:rsidP="009951A0">
      <w:pPr>
        <w:pStyle w:val="BodyTextIndent2"/>
        <w:spacing w:line="480" w:lineRule="auto"/>
        <w:ind w:right="-514" w:firstLine="0"/>
        <w:rPr>
          <w:rFonts w:ascii="Times New Roman" w:hAnsi="Times New Roman" w:cs="Cordia New"/>
          <w:sz w:val="24"/>
          <w:szCs w:val="24"/>
          <w:lang w:val="en-US"/>
        </w:rPr>
      </w:pPr>
      <w:r>
        <w:rPr>
          <w:rFonts w:ascii="Times New Roman" w:hAnsi="Times New Roman" w:cs="Cordia New"/>
          <w:noProof/>
          <w:sz w:val="24"/>
          <w:szCs w:val="24"/>
          <w:lang w:val="en-US"/>
        </w:rPr>
        <w:drawing>
          <wp:inline distT="0" distB="0" distL="0" distR="0">
            <wp:extent cx="5086350" cy="2039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98"/>
                    <a:stretch/>
                  </pic:blipFill>
                  <pic:spPr bwMode="auto">
                    <a:xfrm>
                      <a:off x="0" y="0"/>
                      <a:ext cx="5093372" cy="2042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1A0" w:rsidRDefault="009951A0" w:rsidP="009951A0">
      <w:pPr>
        <w:pStyle w:val="BodyTextIndent2"/>
        <w:spacing w:line="480" w:lineRule="auto"/>
        <w:ind w:right="-514" w:firstLine="0"/>
        <w:rPr>
          <w:rFonts w:ascii="Times New Roman" w:hAnsi="Times New Roman" w:cs="Cordia New"/>
          <w:sz w:val="24"/>
          <w:szCs w:val="24"/>
          <w:lang w:val="en-US"/>
        </w:rPr>
      </w:pPr>
    </w:p>
    <w:p w:rsidR="009951A0" w:rsidRDefault="009951A0" w:rsidP="009951A0">
      <w:pPr>
        <w:pStyle w:val="BodyTextIndent2"/>
        <w:spacing w:line="480" w:lineRule="auto"/>
        <w:ind w:right="-514" w:firstLine="0"/>
        <w:rPr>
          <w:rFonts w:ascii="Times New Roman" w:hAnsi="Times New Roman" w:cs="Cordia New"/>
          <w:sz w:val="24"/>
          <w:szCs w:val="24"/>
          <w:lang w:val="en-US"/>
        </w:rPr>
      </w:pPr>
    </w:p>
    <w:p w:rsidR="009951A0" w:rsidRDefault="009951A0" w:rsidP="009951A0">
      <w:pPr>
        <w:pStyle w:val="BodyTextIndent2"/>
        <w:spacing w:line="480" w:lineRule="auto"/>
        <w:ind w:right="-514" w:firstLine="0"/>
        <w:rPr>
          <w:rFonts w:ascii="Times New Roman" w:hAnsi="Times New Roman" w:cs="Cordia New"/>
          <w:sz w:val="24"/>
          <w:szCs w:val="24"/>
          <w:lang w:val="en-US"/>
        </w:rPr>
      </w:pPr>
    </w:p>
    <w:p w:rsidR="009951A0" w:rsidRDefault="009951A0" w:rsidP="009951A0">
      <w:pPr>
        <w:pStyle w:val="BodyTextIndent2"/>
        <w:spacing w:line="480" w:lineRule="auto"/>
        <w:ind w:right="-514" w:firstLine="0"/>
        <w:rPr>
          <w:rFonts w:ascii="Times New Roman" w:hAnsi="Times New Roman" w:cs="Cordia New"/>
          <w:sz w:val="24"/>
          <w:szCs w:val="24"/>
          <w:lang w:val="en-US"/>
        </w:rPr>
      </w:pPr>
    </w:p>
    <w:p w:rsidR="009951A0" w:rsidRDefault="009951A0" w:rsidP="009951A0">
      <w:pPr>
        <w:pStyle w:val="BodyTextIndent2"/>
        <w:spacing w:line="480" w:lineRule="auto"/>
        <w:ind w:right="-514" w:firstLine="0"/>
        <w:rPr>
          <w:rFonts w:ascii="Times New Roman" w:hAnsi="Times New Roman" w:cs="Cordia New"/>
          <w:sz w:val="24"/>
          <w:szCs w:val="24"/>
          <w:lang w:val="en-US"/>
        </w:rPr>
      </w:pPr>
    </w:p>
    <w:p w:rsidR="009951A0" w:rsidRDefault="009951A0" w:rsidP="009951A0">
      <w:pPr>
        <w:pStyle w:val="BodyTextIndent2"/>
        <w:spacing w:line="480" w:lineRule="auto"/>
        <w:ind w:right="-514" w:firstLine="0"/>
        <w:rPr>
          <w:rFonts w:ascii="Times New Roman" w:hAnsi="Times New Roman" w:cs="Cordia New"/>
          <w:sz w:val="24"/>
          <w:szCs w:val="24"/>
          <w:lang w:val="en-US"/>
        </w:rPr>
      </w:pPr>
    </w:p>
    <w:p w:rsidR="009951A0" w:rsidRDefault="009951A0" w:rsidP="009951A0">
      <w:pPr>
        <w:pStyle w:val="BodyTextIndent2"/>
        <w:spacing w:line="480" w:lineRule="auto"/>
        <w:ind w:right="-514" w:firstLine="0"/>
        <w:rPr>
          <w:rFonts w:ascii="Times New Roman" w:hAnsi="Times New Roman" w:cs="Cordia New"/>
          <w:sz w:val="24"/>
          <w:szCs w:val="24"/>
          <w:lang w:val="en-US"/>
        </w:rPr>
      </w:pPr>
    </w:p>
    <w:p w:rsidR="009951A0" w:rsidRDefault="009951A0" w:rsidP="009951A0">
      <w:pPr>
        <w:pStyle w:val="BodyTextIndent2"/>
        <w:spacing w:line="480" w:lineRule="auto"/>
        <w:ind w:right="-514" w:firstLine="0"/>
        <w:rPr>
          <w:rFonts w:ascii="Times New Roman" w:hAnsi="Times New Roman" w:cs="Cordia New"/>
          <w:sz w:val="24"/>
          <w:szCs w:val="24"/>
          <w:lang w:val="en-US"/>
        </w:rPr>
      </w:pPr>
    </w:p>
    <w:p w:rsidR="009951A0" w:rsidRDefault="009951A0" w:rsidP="009951A0">
      <w:pPr>
        <w:pStyle w:val="BodyTextIndent2"/>
        <w:spacing w:line="480" w:lineRule="auto"/>
        <w:ind w:right="-514" w:firstLine="0"/>
        <w:rPr>
          <w:rFonts w:ascii="Times New Roman" w:hAnsi="Times New Roman" w:cs="Cordia New"/>
          <w:sz w:val="24"/>
          <w:szCs w:val="24"/>
          <w:lang w:val="en-US"/>
        </w:rPr>
      </w:pPr>
    </w:p>
    <w:p w:rsidR="009951A0" w:rsidRDefault="009951A0" w:rsidP="009951A0">
      <w:pPr>
        <w:pStyle w:val="BodyTextIndent2"/>
        <w:spacing w:line="480" w:lineRule="auto"/>
        <w:ind w:right="-514" w:firstLine="0"/>
        <w:rPr>
          <w:rFonts w:ascii="Times New Roman" w:hAnsi="Times New Roman" w:cs="Cordia New"/>
          <w:sz w:val="24"/>
          <w:szCs w:val="24"/>
          <w:lang w:val="en-US"/>
        </w:rPr>
      </w:pPr>
    </w:p>
    <w:p w:rsidR="009951A0" w:rsidRDefault="009951A0" w:rsidP="009951A0">
      <w:pPr>
        <w:pStyle w:val="BodyTextIndent2"/>
        <w:spacing w:line="480" w:lineRule="auto"/>
        <w:ind w:right="-514" w:firstLine="0"/>
        <w:rPr>
          <w:rFonts w:ascii="Times New Roman" w:hAnsi="Times New Roman" w:cs="Cordia New"/>
          <w:sz w:val="24"/>
          <w:szCs w:val="24"/>
          <w:lang w:val="en-US"/>
        </w:rPr>
      </w:pPr>
    </w:p>
    <w:p w:rsidR="009951A0" w:rsidRDefault="009951A0" w:rsidP="009951A0">
      <w:pPr>
        <w:pStyle w:val="BodyTextIndent2"/>
        <w:spacing w:line="480" w:lineRule="auto"/>
        <w:ind w:right="-514" w:firstLine="0"/>
        <w:rPr>
          <w:rFonts w:ascii="Times New Roman" w:hAnsi="Times New Roman" w:cs="Cordia New"/>
          <w:sz w:val="24"/>
          <w:szCs w:val="24"/>
          <w:lang w:val="en-US"/>
        </w:rPr>
      </w:pPr>
    </w:p>
    <w:p w:rsidR="009951A0" w:rsidRDefault="009951A0" w:rsidP="009951A0">
      <w:pPr>
        <w:pStyle w:val="BodyTextIndent2"/>
        <w:spacing w:line="480" w:lineRule="auto"/>
        <w:ind w:right="-514" w:firstLine="0"/>
        <w:rPr>
          <w:rFonts w:ascii="Times New Roman" w:hAnsi="Times New Roman" w:cs="Cordia New"/>
          <w:sz w:val="24"/>
          <w:szCs w:val="24"/>
          <w:lang w:val="en-US"/>
        </w:rPr>
      </w:pPr>
    </w:p>
    <w:p w:rsidR="009951A0" w:rsidRDefault="009951A0" w:rsidP="009951A0">
      <w:pPr>
        <w:pStyle w:val="BodyTextIndent2"/>
        <w:spacing w:line="480" w:lineRule="auto"/>
        <w:ind w:right="-514" w:firstLine="0"/>
        <w:rPr>
          <w:rFonts w:ascii="Times New Roman" w:hAnsi="Times New Roman" w:cs="Cordia New"/>
          <w:sz w:val="24"/>
          <w:szCs w:val="24"/>
          <w:lang w:val="en-US"/>
        </w:rPr>
      </w:pPr>
    </w:p>
    <w:p w:rsidR="009951A0" w:rsidRDefault="009951A0" w:rsidP="009951A0">
      <w:pPr>
        <w:pStyle w:val="BodyTextIndent2"/>
        <w:spacing w:line="480" w:lineRule="auto"/>
        <w:ind w:right="-514" w:firstLine="0"/>
        <w:rPr>
          <w:rFonts w:ascii="Times New Roman" w:hAnsi="Times New Roman" w:cs="Cordia New"/>
          <w:sz w:val="24"/>
          <w:szCs w:val="24"/>
          <w:lang w:val="en-US"/>
        </w:rPr>
      </w:pPr>
    </w:p>
    <w:p w:rsidR="009951A0" w:rsidRDefault="009951A0" w:rsidP="009951A0">
      <w:pPr>
        <w:pStyle w:val="BodyTextIndent2"/>
        <w:spacing w:line="480" w:lineRule="auto"/>
        <w:ind w:right="-514" w:firstLine="0"/>
        <w:rPr>
          <w:rFonts w:ascii="Times New Roman" w:hAnsi="Times New Roman" w:cs="Cordia New"/>
          <w:sz w:val="24"/>
          <w:szCs w:val="24"/>
          <w:lang w:val="en-US"/>
        </w:rPr>
      </w:pPr>
    </w:p>
    <w:p w:rsidR="009951A0" w:rsidRDefault="009951A0" w:rsidP="009951A0">
      <w:pPr>
        <w:pStyle w:val="BodyTextIndent2"/>
        <w:spacing w:line="480" w:lineRule="auto"/>
        <w:ind w:right="-514" w:firstLine="0"/>
        <w:rPr>
          <w:rFonts w:ascii="Times New Roman" w:hAnsi="Times New Roman" w:cs="Cordia New"/>
          <w:sz w:val="24"/>
          <w:szCs w:val="24"/>
          <w:lang w:val="en-US"/>
        </w:rPr>
      </w:pPr>
    </w:p>
    <w:p w:rsidR="009951A0" w:rsidRDefault="009951A0" w:rsidP="009951A0">
      <w:pPr>
        <w:tabs>
          <w:tab w:val="left" w:pos="0"/>
        </w:tabs>
        <w:spacing w:line="480" w:lineRule="auto"/>
        <w:rPr>
          <w:rFonts w:ascii="Times New Roman" w:hAnsi="Times New Roman" w:cs="Cordia New"/>
          <w:b/>
          <w:bCs/>
          <w:sz w:val="24"/>
          <w:szCs w:val="24"/>
        </w:rPr>
        <w:sectPr w:rsidR="009951A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951A0" w:rsidRPr="007F0961" w:rsidRDefault="009951A0" w:rsidP="009951A0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Cordia New"/>
          <w:b/>
          <w:bCs/>
          <w:sz w:val="24"/>
          <w:szCs w:val="24"/>
        </w:rPr>
        <w:lastRenderedPageBreak/>
        <w:t>Supplementary Figure</w:t>
      </w:r>
      <w:r w:rsidRPr="00D37CC9">
        <w:rPr>
          <w:rFonts w:ascii="Times New Roman" w:hAnsi="Times New Roman" w:cs="Cordia New"/>
          <w:b/>
          <w:bCs/>
          <w:sz w:val="24"/>
          <w:szCs w:val="24"/>
        </w:rPr>
        <w:t xml:space="preserve"> </w:t>
      </w:r>
      <w:r>
        <w:rPr>
          <w:rFonts w:ascii="Times New Roman" w:hAnsi="Times New Roman" w:cs="Cordia New"/>
          <w:b/>
          <w:bCs/>
          <w:sz w:val="24"/>
          <w:szCs w:val="24"/>
        </w:rPr>
        <w:t>2.</w:t>
      </w:r>
      <w:proofErr w:type="gramEnd"/>
      <w:r w:rsidRPr="00D37CC9">
        <w:rPr>
          <w:rFonts w:ascii="Times New Roman" w:hAnsi="Times New Roman" w:cs="Cordia New"/>
          <w:sz w:val="24"/>
          <w:szCs w:val="24"/>
        </w:rPr>
        <w:t xml:space="preserve"> </w:t>
      </w:r>
      <w:proofErr w:type="gramStart"/>
      <w:r w:rsidRPr="00D37CC9">
        <w:rPr>
          <w:rFonts w:ascii="Times New Roman" w:hAnsi="Times New Roman" w:cs="Cordia New"/>
          <w:sz w:val="24"/>
          <w:szCs w:val="24"/>
        </w:rPr>
        <w:t xml:space="preserve">Compliance of ward nurses and responsible physicians to the </w:t>
      </w:r>
      <w:r w:rsidRPr="00517967">
        <w:rPr>
          <w:rFonts w:ascii="Times New Roman" w:hAnsi="Times New Roman" w:cs="Times New Roman"/>
          <w:sz w:val="24"/>
          <w:szCs w:val="24"/>
        </w:rPr>
        <w:t xml:space="preserve">Catheter Reminder and Evaluation </w:t>
      </w:r>
      <w:r w:rsidRPr="00D37CC9">
        <w:rPr>
          <w:rFonts w:ascii="Times New Roman" w:hAnsi="Times New Roman" w:cs="Cordia New"/>
          <w:sz w:val="24"/>
          <w:szCs w:val="24"/>
        </w:rPr>
        <w:t>program</w:t>
      </w:r>
      <w:r>
        <w:rPr>
          <w:rFonts w:ascii="Times New Roman" w:hAnsi="Times New Roman" w:cs="Cordia New"/>
          <w:sz w:val="24"/>
          <w:szCs w:val="24"/>
        </w:rPr>
        <w:t>.</w:t>
      </w:r>
      <w:proofErr w:type="gramEnd"/>
      <w:r>
        <w:rPr>
          <w:rFonts w:ascii="Times New Roman" w:hAnsi="Times New Roman" w:cs="Cordia New"/>
          <w:sz w:val="24"/>
          <w:szCs w:val="24"/>
        </w:rPr>
        <w:t xml:space="preserve"> </w:t>
      </w:r>
      <w:r w:rsidRPr="007F0961">
        <w:rPr>
          <w:rFonts w:ascii="Times New Roman" w:hAnsi="Times New Roman" w:cs="Times New Roman"/>
          <w:sz w:val="24"/>
          <w:szCs w:val="24"/>
        </w:rPr>
        <w:t>Appropriate</w:t>
      </w:r>
      <w:r>
        <w:rPr>
          <w:rFonts w:ascii="Times New Roman" w:hAnsi="Times New Roman" w:cs="Times New Roman"/>
          <w:sz w:val="24"/>
          <w:szCs w:val="24"/>
        </w:rPr>
        <w:t xml:space="preserve"> urinary </w:t>
      </w:r>
      <w:r w:rsidRPr="007F0961">
        <w:rPr>
          <w:rFonts w:ascii="Times New Roman" w:hAnsi="Times New Roman" w:cs="Times New Roman"/>
          <w:sz w:val="24"/>
          <w:szCs w:val="24"/>
        </w:rPr>
        <w:t xml:space="preserve">catheter use included 1) removing catheter when it is no longer needed and 2) retaining catheter when an appropriate indication (based on </w:t>
      </w:r>
      <w:r w:rsidRPr="00517967">
        <w:rPr>
          <w:rFonts w:ascii="Times New Roman" w:hAnsi="Times New Roman" w:cs="Times New Roman"/>
          <w:sz w:val="24"/>
          <w:szCs w:val="24"/>
        </w:rPr>
        <w:t>Healthcare Infection Control Practices Advisory Committee</w:t>
      </w:r>
      <w:r w:rsidRPr="007F0961">
        <w:rPr>
          <w:rFonts w:ascii="Times New Roman" w:hAnsi="Times New Roman" w:cs="Times New Roman"/>
          <w:sz w:val="24"/>
          <w:szCs w:val="24"/>
        </w:rPr>
        <w:t xml:space="preserve"> guideline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F0961">
        <w:rPr>
          <w:rFonts w:ascii="Times New Roman" w:hAnsi="Times New Roman" w:cs="Times New Roman"/>
          <w:sz w:val="24"/>
          <w:szCs w:val="24"/>
        </w:rPr>
        <w:t xml:space="preserve"> for preventing </w:t>
      </w:r>
      <w:r w:rsidRPr="00517967">
        <w:rPr>
          <w:rFonts w:ascii="Times New Roman" w:hAnsi="Times New Roman" w:cs="Times New Roman"/>
          <w:sz w:val="24"/>
          <w:szCs w:val="24"/>
        </w:rPr>
        <w:t xml:space="preserve">catheter-associated urinary tract infections </w:t>
      </w:r>
      <w:r w:rsidRPr="007F0961">
        <w:rPr>
          <w:rFonts w:ascii="Times New Roman" w:hAnsi="Times New Roman" w:cs="Times New Roman"/>
          <w:sz w:val="24"/>
          <w:szCs w:val="24"/>
        </w:rPr>
        <w:t xml:space="preserve">2009) is documented. </w:t>
      </w:r>
    </w:p>
    <w:p w:rsidR="009951A0" w:rsidRDefault="009951A0" w:rsidP="009951A0">
      <w:bookmarkStart w:id="0" w:name="_GoBack"/>
      <w:r>
        <w:rPr>
          <w:noProof/>
        </w:rPr>
        <w:drawing>
          <wp:inline distT="0" distB="0" distL="0" distR="0" wp14:anchorId="2FE47639" wp14:editId="6A984637">
            <wp:extent cx="7383115" cy="41529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4401" cy="415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51A0" w:rsidRDefault="009951A0"/>
    <w:sectPr w:rsidR="009951A0" w:rsidSect="009951A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A3"/>
    <w:rsid w:val="00456DA3"/>
    <w:rsid w:val="007B380C"/>
    <w:rsid w:val="009951A0"/>
    <w:rsid w:val="00C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A3"/>
    <w:pPr>
      <w:spacing w:after="0" w:line="240" w:lineRule="auto"/>
    </w:pPr>
    <w:rPr>
      <w:rFonts w:ascii="Cordia New" w:eastAsia="Times New Roman" w:hAnsi="Cordia New" w:cs="Courier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951A0"/>
    <w:pPr>
      <w:ind w:firstLine="567"/>
    </w:pPr>
    <w:rPr>
      <w:rFonts w:cs="Wingdings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9951A0"/>
    <w:rPr>
      <w:rFonts w:ascii="Cordia New" w:eastAsia="Times New Roman" w:hAnsi="Cordia New" w:cs="Wingdings"/>
      <w:sz w:val="32"/>
      <w:szCs w:val="32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A3"/>
    <w:pPr>
      <w:spacing w:after="0" w:line="240" w:lineRule="auto"/>
    </w:pPr>
    <w:rPr>
      <w:rFonts w:ascii="Cordia New" w:eastAsia="Times New Roman" w:hAnsi="Cordia New" w:cs="Courier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951A0"/>
    <w:pPr>
      <w:ind w:firstLine="567"/>
    </w:pPr>
    <w:rPr>
      <w:rFonts w:cs="Wingdings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9951A0"/>
    <w:rPr>
      <w:rFonts w:ascii="Cordia New" w:eastAsia="Times New Roman" w:hAnsi="Cordia New" w:cs="Wingdings"/>
      <w:sz w:val="32"/>
      <w:szCs w:val="3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Miang</dc:creator>
  <cp:lastModifiedBy>Admin</cp:lastModifiedBy>
  <cp:revision>2</cp:revision>
  <dcterms:created xsi:type="dcterms:W3CDTF">2015-09-22T01:18:00Z</dcterms:created>
  <dcterms:modified xsi:type="dcterms:W3CDTF">2015-09-22T01:18:00Z</dcterms:modified>
</cp:coreProperties>
</file>