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DB" w:rsidRPr="00723BB2" w:rsidRDefault="00C87DDB" w:rsidP="00C87DDB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</w:rPr>
        <w:t xml:space="preserve">Supplemental </w:t>
      </w:r>
      <w:bookmarkStart w:id="0" w:name="_GoBack"/>
      <w:bookmarkEnd w:id="0"/>
      <w:r w:rsidRPr="00723BB2">
        <w:rPr>
          <w:rFonts w:ascii="Times New Roman" w:eastAsiaTheme="minorHAnsi" w:hAnsi="Times New Roman" w:cs="Times New Roman"/>
          <w:b/>
        </w:rPr>
        <w:t xml:space="preserve">Table </w:t>
      </w:r>
      <w:r>
        <w:rPr>
          <w:rFonts w:ascii="Times New Roman" w:eastAsiaTheme="minorHAnsi" w:hAnsi="Times New Roman" w:cs="Times New Roman"/>
          <w:b/>
        </w:rPr>
        <w:t>2</w:t>
      </w:r>
      <w:r w:rsidRPr="00723BB2">
        <w:rPr>
          <w:rFonts w:ascii="Times New Roman" w:eastAsiaTheme="minorHAnsi" w:hAnsi="Times New Roman" w:cs="Times New Roman"/>
          <w:b/>
        </w:rPr>
        <w:t>.  Strength of Evidence for Outpatient Antimicrobial Stewardship Studies, by Patient Outcome</w:t>
      </w:r>
    </w:p>
    <w:tbl>
      <w:tblPr>
        <w:tblStyle w:val="TableGrid2"/>
        <w:tblW w:w="13788" w:type="dxa"/>
        <w:tblLook w:val="04A0" w:firstRow="1" w:lastRow="0" w:firstColumn="1" w:lastColumn="0" w:noHBand="0" w:noVBand="1"/>
      </w:tblPr>
      <w:tblGrid>
        <w:gridCol w:w="1667"/>
        <w:gridCol w:w="1009"/>
        <w:gridCol w:w="2954"/>
        <w:gridCol w:w="1030"/>
        <w:gridCol w:w="1683"/>
        <w:gridCol w:w="2720"/>
        <w:gridCol w:w="2725"/>
      </w:tblGrid>
      <w:tr w:rsidR="00C87DDB" w:rsidRPr="00723BB2" w:rsidTr="00CF43C8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</w:rPr>
              <w:t>Study, year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</w:rPr>
              <w:t>Study design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</w:rPr>
              <w:t>Purpose of intervention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</w:rPr>
              <w:t>Risk of bias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</w:rPr>
              <w:t>Outcome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</w:rPr>
              <w:t>Finding versus control or prior to implementation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</w:rPr>
              <w:t>Strength of evidence, by outcome</w:t>
            </w:r>
          </w:p>
        </w:tc>
      </w:tr>
      <w:tr w:rsidR="00C87DDB" w:rsidRPr="00723BB2" w:rsidTr="00CF43C8">
        <w:trPr>
          <w:trHeight w:val="288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  <w:i/>
              </w:rPr>
              <w:t>A. Provider and/or Patient Education Studies (k=14)</w:t>
            </w:r>
          </w:p>
        </w:tc>
      </w:tr>
      <w:tr w:rsidR="00C87DDB" w:rsidRPr="00723BB2" w:rsidTr="00CF43C8">
        <w:trPr>
          <w:trHeight w:val="30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>Butler 2012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antimicrobial dispensing for all causes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Return clinic 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Within 31 days (intervention – control):  -2.32 [95%CI -4.76, 1.95]; p=0.50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 for Return Clinic Visits</w:t>
            </w:r>
          </w:p>
        </w:tc>
      </w:tr>
      <w:tr w:rsidR="00C87DDB" w:rsidRPr="00723BB2" w:rsidTr="00CF43C8">
        <w:trPr>
          <w:trHeight w:val="30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Metlay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2007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antimicrobial overuse for ARTIs in the emergency department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Return clinic 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Within 2 weeks:  site by time interaction p=0.48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DB" w:rsidRPr="00723BB2" w:rsidTr="00CF43C8">
        <w:trPr>
          <w:trHeight w:val="30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Little 2005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44</w:t>
            </w:r>
          </w:p>
          <w:p w:rsidR="00C87DDB" w:rsidRPr="00723BB2" w:rsidRDefault="00C87DDB" w:rsidP="00CF43C8">
            <w:pPr>
              <w:rPr>
                <w:rFonts w:ascii="Times New Roman" w:hAnsi="Times New Roman" w:cs="Times New Roman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>Moore 2009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Effectiveness of 3 prescribing strategies and an information leaflet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Return clinic 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Within 1 month (patient leaflet vs. no leaflet):  IRR 1.63 [95%CI 1.07, 2.49]; p=0.02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DB" w:rsidRPr="00723BB2" w:rsidTr="00CF43C8">
        <w:trPr>
          <w:trHeight w:val="30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>Butler 2012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antimicrobial dispensing for all causes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Hospitalization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% reduction (intervention relative to control): -1.9 [95%CI -13.2, 8.2]; p=0.72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 for Hospitalizations</w:t>
            </w:r>
          </w:p>
        </w:tc>
      </w:tr>
      <w:tr w:rsidR="00C87DDB" w:rsidRPr="00723BB2" w:rsidTr="00CF43C8">
        <w:trPr>
          <w:trHeight w:val="30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Metlay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2007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antimicrobial overuse for ARTIs in the emergency department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Hospitalization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Within 2 weeks:  site by time interaction p=0.51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DB" w:rsidRPr="00723BB2" w:rsidTr="00CF43C8">
        <w:trPr>
          <w:trHeight w:val="288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  <w:b/>
                <w:i/>
              </w:rPr>
              <w:t>D. Delayed Prescribing (k=2)</w:t>
            </w: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Little 2010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Effectiveness of management strategies for women with urinary tract infection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Return clinic 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Within 1 month (delayed prescribing vs. control [immediate prescribing]):  OR 0.44 [95%CI 0.21, 0.95]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 for Return Clinic Visits</w:t>
            </w: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Little 2005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44</w:t>
            </w:r>
          </w:p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>Moore 2009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Effectiveness of 3 prescribing strategies and an information leaflet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Return clinic 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Delayed antimicrobials:  0.12 IRR 0.65 [95%CI 0.40, 1.04]</w:t>
            </w:r>
          </w:p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Immediate </w:t>
            </w:r>
            <w:r w:rsidRPr="00723BB2">
              <w:rPr>
                <w:rFonts w:ascii="Times New Roman" w:hAnsi="Times New Roman" w:cs="Times New Roman"/>
              </w:rPr>
              <w:lastRenderedPageBreak/>
              <w:t>antimicrobials:  0.11, IRR 0.55 [95%CI 0.33, 0.91]</w:t>
            </w:r>
          </w:p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p=NS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DB" w:rsidRPr="00723BB2" w:rsidTr="00CF43C8">
        <w:trPr>
          <w:trHeight w:val="288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b/>
                <w:i/>
              </w:rPr>
            </w:pPr>
            <w:r w:rsidRPr="00723BB2">
              <w:rPr>
                <w:rFonts w:ascii="Times New Roman" w:hAnsi="Times New Roman" w:cs="Times New Roman"/>
                <w:b/>
                <w:i/>
              </w:rPr>
              <w:lastRenderedPageBreak/>
              <w:t>E. Communication Skills Training (k=6)</w:t>
            </w: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Légaré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2012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overuse of antimicrobials for acute RTIs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Return clinic 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RR 1.3 [95%CI 0.7, 2.3]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 for Return Clinic Visits</w:t>
            </w: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Cals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2009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Effect of skills training on prescribing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Return clinic 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DB" w:rsidRPr="00723BB2" w:rsidTr="00CF43C8">
        <w:trPr>
          <w:trHeight w:val="38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>Francis 2009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Reduce return clinic visit and antimicrobial use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Return clinic 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Within 2 weeks (intervention vs. control):  OR 0.75 [95%CI 0.41, 1.38]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vertAlign w:val="superscript"/>
              </w:rPr>
            </w:pPr>
            <w:r w:rsidRPr="00723BB2">
              <w:rPr>
                <w:rFonts w:ascii="Times New Roman" w:hAnsi="Times New Roman" w:cs="Times New Roman"/>
              </w:rPr>
              <w:t>Little 2013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Effect of internet-based training on prescribing for LRTI and URTI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Hospitalization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NR (2 patients in usual care group, 6 patients in enhanced communication group)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 for Hospitalizations</w:t>
            </w: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</w:rPr>
              <w:t>Cals</w:t>
            </w:r>
            <w:proofErr w:type="spellEnd"/>
            <w:r w:rsidRPr="00723BB2">
              <w:rPr>
                <w:rFonts w:ascii="Times New Roman" w:hAnsi="Times New Roman" w:cs="Times New Roman"/>
              </w:rPr>
              <w:t xml:space="preserve"> 2009</w:t>
            </w:r>
            <w:r w:rsidRPr="00723BB2">
              <w:rPr>
                <w:rFonts w:ascii="Times New Roman" w:hAnsi="Times New Roman" w:cs="Times New Roman"/>
                <w:vertAlign w:val="superscript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Effect of skills training on prescribing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Hospitalization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NS (no hospitalizations reported)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DB" w:rsidRPr="00723BB2" w:rsidTr="00CF43C8">
        <w:trPr>
          <w:trHeight w:val="288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i/>
              </w:rPr>
            </w:pPr>
            <w:r w:rsidRPr="00723BB2">
              <w:rPr>
                <w:rFonts w:ascii="Times New Roman" w:hAnsi="Times New Roman" w:cs="Times New Roman"/>
                <w:b/>
                <w:i/>
              </w:rPr>
              <w:t>F. Formulary Restriction (k=2)</w:t>
            </w: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Manns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2012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ITS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Effect of policy restricting quinolone use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Return clinic 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Within 30 days:  55.6% before restriction, 56.5% after restriction (p&lt;0.001) </w:t>
            </w:r>
          </w:p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(NOTE:  overall n=170,247)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 for Return Clinic Visits</w:t>
            </w:r>
          </w:p>
        </w:tc>
      </w:tr>
      <w:tr w:rsidR="00C87DDB" w:rsidRPr="00723BB2" w:rsidTr="00CF43C8">
        <w:trPr>
          <w:cantSplit/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Manns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2012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ITS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Effect of policy restricting quinolone use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Hospitalization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All-cause:  4.9% before restriction, 5.2% after restriction (p=0.0001)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 for Hospitalizations</w:t>
            </w:r>
          </w:p>
        </w:tc>
      </w:tr>
      <w:tr w:rsidR="00C87DDB" w:rsidRPr="00723BB2" w:rsidTr="00CF43C8">
        <w:trPr>
          <w:trHeight w:val="288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  <w:b/>
                <w:i/>
              </w:rPr>
              <w:t>G. Decision Support (k=6)</w:t>
            </w: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 xml:space="preserve">Gonzales </w:t>
            </w:r>
            <w:r w:rsidRPr="00723BB2">
              <w:rPr>
                <w:rFonts w:ascii="Times New Roman" w:hAnsi="Times New Roman" w:cs="Times New Roman"/>
                <w:color w:val="000000"/>
              </w:rPr>
              <w:lastRenderedPageBreak/>
              <w:t>2013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lastRenderedPageBreak/>
              <w:t>CRCT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 xml:space="preserve">Reduce use of </w:t>
            </w:r>
            <w:r w:rsidRPr="00723BB2">
              <w:rPr>
                <w:rFonts w:ascii="Times New Roman" w:hAnsi="Times New Roman" w:cs="Times New Roman"/>
                <w:color w:val="000000"/>
              </w:rPr>
              <w:lastRenderedPageBreak/>
              <w:t>antimicrobials for acute bronchitis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lastRenderedPageBreak/>
              <w:t>High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Return clinic </w:t>
            </w:r>
            <w:r w:rsidRPr="00723BB2">
              <w:rPr>
                <w:rFonts w:ascii="Times New Roman" w:hAnsi="Times New Roman" w:cs="Times New Roman"/>
              </w:rPr>
              <w:lastRenderedPageBreak/>
              <w:t>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lastRenderedPageBreak/>
              <w:t>NS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 xml:space="preserve">Low for Return Clinic </w:t>
            </w:r>
            <w:r w:rsidRPr="00723BB2">
              <w:rPr>
                <w:rFonts w:ascii="Times New Roman" w:hAnsi="Times New Roman" w:cs="Times New Roman"/>
              </w:rPr>
              <w:lastRenderedPageBreak/>
              <w:t>Visits</w:t>
            </w: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lastRenderedPageBreak/>
              <w:t>Jenkins 2013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Decrease prescribing for non-pneumonia ARI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Return clinic 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8 to 30 days after initial visit:  significant increase for control sites (p=0.02); non-significant decrease for intervention sites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McGinn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2013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Effect on management of respiratory tract infections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Return clinic 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Within 2 weeks:  NS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Linder 2009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Reduce inappropriate prescribing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Return clinic 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Within 30 days:  23% intervention 26% control; p=0.32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Gonzales 2013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Reduce use of antimicrobials for acute bronchitis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Hospitalization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 for Hospitalizations</w:t>
            </w: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Jenkins 2013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Decrease prescribing for non-pneumonia ARI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Hospitalization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DB" w:rsidRPr="00723BB2" w:rsidTr="00CF43C8">
        <w:trPr>
          <w:trHeight w:val="288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  <w:b/>
                <w:i/>
              </w:rPr>
              <w:t xml:space="preserve">I. </w:t>
            </w:r>
            <w:proofErr w:type="spellStart"/>
            <w:r w:rsidRPr="00723BB2">
              <w:rPr>
                <w:rFonts w:ascii="Times New Roman" w:hAnsi="Times New Roman" w:cs="Times New Roman"/>
                <w:b/>
                <w:i/>
              </w:rPr>
              <w:t>Procalcitonin</w:t>
            </w:r>
            <w:proofErr w:type="spellEnd"/>
            <w:r w:rsidRPr="00723BB2">
              <w:rPr>
                <w:rFonts w:ascii="Times New Roman" w:hAnsi="Times New Roman" w:cs="Times New Roman"/>
                <w:b/>
                <w:i/>
              </w:rPr>
              <w:t>, Rapid Antigen Detection Tests, Polymerase Chain Reaction Assay, and C-Reactive Protein</w:t>
            </w:r>
            <w:r w:rsidRPr="00723BB2" w:rsidDel="000045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23BB2">
              <w:rPr>
                <w:rFonts w:ascii="Times New Roman" w:hAnsi="Times New Roman" w:cs="Times New Roman"/>
                <w:b/>
                <w:i/>
              </w:rPr>
              <w:t>(k=9)</w:t>
            </w: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Little 2013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Effect of rapid streptococcal antigen detection test on prescribing for sore throat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Return clinic 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Within 1 month with sore throat (compared to delayed prescribing control)</w:t>
            </w:r>
          </w:p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Clinical score + RADT:  RR 0.74 [95%CI 0.36, 1.47]; p=0.40</w:t>
            </w:r>
          </w:p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Clinical score:  RR 0.91 [95%CI 0.47, 1.72]; p=0.78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 for Return Clinic Visits</w:t>
            </w: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Diederischsen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2000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Effect of CRP testing on prescribing for RTI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Return clinic 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No differences in contact with health service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lastRenderedPageBreak/>
              <w:t>Takemura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2005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Effect of WBC and CRP results on prescribing for ARTI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Return clinic 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30% intervention, 23% control; p=0.20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Cals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2009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Effect of CRP and communication skills training for lower RTI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Return clinic 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35% CRP, 30% no CRP; p=ns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Cals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2010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 xml:space="preserve">Effect of CRP testing on prescribing for lower RTI and </w:t>
            </w: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rhinosinusitis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Return clinic visit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26% CRP, 18% Usual care; p=ns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Takemura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2005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Effect of WBC and CRP results on prescribing for ARTI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Hospitalization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0.7% intervention, 0% control; p=ns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Low for Hospitalizations</w:t>
            </w: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Cals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2009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Effect of CRP and communication skills training for lower RTI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Hospitalization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NS (no hospitalizations reported)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Cals</w:t>
            </w:r>
            <w:proofErr w:type="spellEnd"/>
            <w:r w:rsidRPr="00723BB2">
              <w:rPr>
                <w:rFonts w:ascii="Times New Roman" w:hAnsi="Times New Roman" w:cs="Times New Roman"/>
                <w:color w:val="000000"/>
              </w:rPr>
              <w:t xml:space="preserve"> 2010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 xml:space="preserve">Effect of CRP testing on prescribing for lower RTI and </w:t>
            </w:r>
            <w:proofErr w:type="spellStart"/>
            <w:r w:rsidRPr="00723BB2">
              <w:rPr>
                <w:rFonts w:ascii="Times New Roman" w:hAnsi="Times New Roman" w:cs="Times New Roman"/>
                <w:color w:val="000000"/>
              </w:rPr>
              <w:t>rhinosinusitis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Hospitalization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NS (no hospitalizations reported)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DB" w:rsidRPr="00723BB2" w:rsidTr="00CF43C8">
        <w:trPr>
          <w:trHeight w:val="25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Little 2013</w:t>
            </w:r>
            <w:r w:rsidRPr="00723BB2">
              <w:rPr>
                <w:rFonts w:ascii="Times New Roman" w:hAnsi="Times New Roman" w:cs="Times New Roman"/>
                <w:color w:val="000000"/>
                <w:vertAlign w:val="superscript"/>
              </w:rPr>
              <w:t>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CRCT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  <w:color w:val="000000"/>
              </w:rPr>
            </w:pPr>
            <w:r w:rsidRPr="00723BB2">
              <w:rPr>
                <w:rFonts w:ascii="Times New Roman" w:hAnsi="Times New Roman" w:cs="Times New Roman"/>
                <w:color w:val="000000"/>
              </w:rPr>
              <w:t>Effects of internet-based training for CRP for patients with lower or upper RT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Hospitalization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rPr>
                <w:rFonts w:ascii="Times New Roman" w:hAnsi="Times New Roman" w:cs="Times New Roman"/>
              </w:rPr>
            </w:pPr>
            <w:r w:rsidRPr="00723BB2">
              <w:rPr>
                <w:rFonts w:ascii="Times New Roman" w:hAnsi="Times New Roman" w:cs="Times New Roman"/>
              </w:rPr>
              <w:t>CRP group vs. no CRP group:  OR 2.92 [95%CI 0.96, 8.85]; p=0.06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DB" w:rsidRPr="00723BB2" w:rsidRDefault="00C87DDB" w:rsidP="00CF4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DDB" w:rsidRPr="00723BB2" w:rsidRDefault="00C87DDB" w:rsidP="00C87DDB">
      <w:pPr>
        <w:rPr>
          <w:rFonts w:ascii="Times New Roman" w:hAnsi="Times New Roman" w:cs="Times New Roman"/>
        </w:rPr>
      </w:pPr>
      <w:r w:rsidRPr="00723BB2">
        <w:rPr>
          <w:rFonts w:ascii="Times New Roman" w:eastAsiaTheme="minorHAnsi" w:hAnsi="Times New Roman" w:cs="Times New Roman"/>
        </w:rPr>
        <w:t xml:space="preserve">RCT = randomized controlled trial; CRCT = cluster randomized controlled trial ITS = interrupted time series; CCT = controlled clinical trial; CBA = controlled before and after study; ARI = acute respiratory infection; ARTI = acute respiratory tract infection; LRTI = lower respiratory tract infection; URTI = upper respiratory tract infection; CRP = C-reactive protein; WBC = white blood cell; NS = not statistically significant; OR = odds ratio [95% confidence interval]; RR = rate ratio [95% confidence interval]; IRR = incidence rate ratio [95% confidence interval]; HR = hazard ratio [95% confidence interval]; </w:t>
      </w:r>
      <w:r w:rsidRPr="00723BB2">
        <w:rPr>
          <w:rFonts w:ascii="Times New Roman" w:hAnsi="Times New Roman" w:cs="Times New Roman"/>
          <w:bCs/>
          <w:iCs/>
          <w:color w:val="000000"/>
        </w:rPr>
        <w:t>WMD = weighted mean difference</w:t>
      </w:r>
    </w:p>
    <w:p w:rsidR="00C87DDB" w:rsidRPr="00723BB2" w:rsidRDefault="00C87DDB" w:rsidP="00C87DDB">
      <w:pPr>
        <w:rPr>
          <w:rFonts w:ascii="Times New Roman" w:hAnsi="Times New Roman" w:cs="Times New Roman"/>
        </w:rPr>
      </w:pPr>
    </w:p>
    <w:p w:rsidR="002B3622" w:rsidRDefault="002B3622"/>
    <w:sectPr w:rsidR="002B3622" w:rsidSect="00030C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DB"/>
    <w:rsid w:val="002B3622"/>
    <w:rsid w:val="00C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C8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C8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Greer, Nancy L.</dc:creator>
  <cp:lastModifiedBy>Greer, Nancy L.</cp:lastModifiedBy>
  <cp:revision>1</cp:revision>
  <dcterms:created xsi:type="dcterms:W3CDTF">2014-11-04T14:40:00Z</dcterms:created>
  <dcterms:modified xsi:type="dcterms:W3CDTF">2014-11-04T14:41:00Z</dcterms:modified>
</cp:coreProperties>
</file>