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4803" w14:textId="6CD691A8" w:rsidR="00E43A65" w:rsidRDefault="00E43A65" w:rsidP="00C76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7E9ED92E" w14:textId="77777777" w:rsidR="00E43A65" w:rsidRDefault="00E43A65" w:rsidP="00C76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CC9C45" w14:textId="645FED84" w:rsidR="000E1D86" w:rsidRDefault="00E43A65" w:rsidP="00C76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analyses</w:t>
      </w:r>
      <w:r w:rsidR="00625DC8">
        <w:rPr>
          <w:rFonts w:ascii="Times New Roman" w:hAnsi="Times New Roman" w:cs="Times New Roman"/>
          <w:b/>
          <w:sz w:val="24"/>
          <w:szCs w:val="24"/>
        </w:rPr>
        <w:t>:</w:t>
      </w:r>
      <w:r w:rsidR="000E1D86" w:rsidRPr="00C058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Product prices</w:t>
      </w:r>
      <w:r w:rsidR="00625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 their differences</w:t>
      </w:r>
      <w:r w:rsidR="00625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deflated by</w:t>
      </w:r>
      <w:r w:rsidR="000E1D86" w:rsidRPr="00C05857">
        <w:rPr>
          <w:rFonts w:ascii="Times New Roman" w:hAnsi="Times New Roman" w:cs="Times New Roman"/>
          <w:b/>
          <w:sz w:val="24"/>
          <w:szCs w:val="24"/>
        </w:rPr>
        <w:t xml:space="preserve"> CPI</w:t>
      </w:r>
    </w:p>
    <w:p w14:paraId="58D3EC9F" w14:textId="77777777" w:rsidR="00E43A65" w:rsidRDefault="00E43A65" w:rsidP="00C76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784696" w14:textId="3B1C484F" w:rsidR="000E1D86" w:rsidRPr="00C76B0A" w:rsidRDefault="00245D25" w:rsidP="00625D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A">
        <w:rPr>
          <w:rFonts w:ascii="Times New Roman" w:hAnsi="Times New Roman" w:cs="Times New Roman"/>
          <w:b/>
          <w:sz w:val="24"/>
          <w:szCs w:val="24"/>
        </w:rPr>
        <w:t>MILK</w:t>
      </w:r>
    </w:p>
    <w:p w14:paraId="78DA6334" w14:textId="4B459F91" w:rsidR="00245D25" w:rsidRDefault="00245D25" w:rsidP="005E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2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3DFB12" wp14:editId="0B7B93F4">
            <wp:extent cx="5029200" cy="3657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94B1" w14:textId="4F27BB51" w:rsidR="003D1E80" w:rsidRDefault="003D1E80" w:rsidP="003D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</w:t>
      </w: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Source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TURKSTAT (2021c),</w:t>
      </w:r>
      <w:r w:rsidRPr="00364862">
        <w:rPr>
          <w:rFonts w:ascii="Times New Roman" w:hAnsi="Times New Roman" w:cs="Times New Roman"/>
          <w:sz w:val="24"/>
          <w:szCs w:val="24"/>
        </w:rPr>
        <w:t xml:space="preserve"> and </w:t>
      </w:r>
      <w:r w:rsidR="000425A4" w:rsidRPr="00364862">
        <w:rPr>
          <w:rFonts w:ascii="Times New Roman" w:hAnsi="Times New Roman" w:cs="Times New Roman"/>
          <w:sz w:val="24"/>
          <w:szCs w:val="24"/>
        </w:rPr>
        <w:t>authors</w:t>
      </w:r>
      <w:r w:rsidR="000425A4">
        <w:rPr>
          <w:rFonts w:ascii="Times New Roman" w:hAnsi="Times New Roman" w:cs="Times New Roman"/>
          <w:sz w:val="24"/>
          <w:szCs w:val="24"/>
        </w:rPr>
        <w:t>’</w:t>
      </w:r>
      <w:r w:rsidR="000425A4" w:rsidRPr="00364862">
        <w:rPr>
          <w:rFonts w:ascii="Times New Roman" w:hAnsi="Times New Roman" w:cs="Times New Roman"/>
          <w:sz w:val="24"/>
          <w:szCs w:val="24"/>
        </w:rPr>
        <w:t xml:space="preserve"> </w:t>
      </w:r>
      <w:r w:rsidRPr="00364862">
        <w:rPr>
          <w:rFonts w:ascii="Times New Roman" w:hAnsi="Times New Roman" w:cs="Times New Roman"/>
          <w:sz w:val="24"/>
          <w:szCs w:val="24"/>
        </w:rPr>
        <w:t>calculation</w:t>
      </w:r>
      <w:r w:rsidR="000425A4">
        <w:rPr>
          <w:rFonts w:ascii="Times New Roman" w:hAnsi="Times New Roman" w:cs="Times New Roman"/>
          <w:sz w:val="24"/>
          <w:szCs w:val="24"/>
        </w:rPr>
        <w:t>s</w:t>
      </w:r>
    </w:p>
    <w:p w14:paraId="43FA852B" w14:textId="77777777" w:rsidR="001F504C" w:rsidRPr="003D1E80" w:rsidRDefault="001F504C" w:rsidP="003D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91781" w14:textId="67E68FF5" w:rsidR="00245D25" w:rsidRDefault="00245D25" w:rsidP="005E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EGG</w:t>
      </w:r>
      <w:r w:rsidR="000425A4">
        <w:rPr>
          <w:rFonts w:ascii="Times New Roman" w:hAnsi="Times New Roman" w:cs="Times New Roman"/>
          <w:b/>
          <w:sz w:val="24"/>
          <w:szCs w:val="24"/>
        </w:rPr>
        <w:t>S</w:t>
      </w:r>
    </w:p>
    <w:p w14:paraId="5A25548F" w14:textId="61CC01F4" w:rsidR="00245D25" w:rsidRDefault="00245D25" w:rsidP="005E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2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2254686" wp14:editId="7A56C2FF">
            <wp:extent cx="5029200" cy="2997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094E" w14:textId="4249EE83" w:rsidR="001F504C" w:rsidRDefault="003D1E80" w:rsidP="001B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</w:t>
      </w: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Source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TURKSTAT (2021c),</w:t>
      </w:r>
      <w:r w:rsidRPr="00364862">
        <w:rPr>
          <w:rFonts w:ascii="Times New Roman" w:hAnsi="Times New Roman" w:cs="Times New Roman"/>
          <w:sz w:val="24"/>
          <w:szCs w:val="24"/>
        </w:rPr>
        <w:t xml:space="preserve"> and </w:t>
      </w:r>
      <w:r w:rsidR="000425A4" w:rsidRPr="00364862">
        <w:rPr>
          <w:rFonts w:ascii="Times New Roman" w:hAnsi="Times New Roman" w:cs="Times New Roman"/>
          <w:sz w:val="24"/>
          <w:szCs w:val="24"/>
        </w:rPr>
        <w:t>authors</w:t>
      </w:r>
      <w:r w:rsidR="000425A4">
        <w:rPr>
          <w:rFonts w:ascii="Times New Roman" w:hAnsi="Times New Roman" w:cs="Times New Roman"/>
          <w:sz w:val="24"/>
          <w:szCs w:val="24"/>
        </w:rPr>
        <w:t>’</w:t>
      </w:r>
      <w:r w:rsidR="000425A4" w:rsidRPr="00364862">
        <w:rPr>
          <w:rFonts w:ascii="Times New Roman" w:hAnsi="Times New Roman" w:cs="Times New Roman"/>
          <w:sz w:val="24"/>
          <w:szCs w:val="24"/>
        </w:rPr>
        <w:t xml:space="preserve"> </w:t>
      </w:r>
      <w:r w:rsidRPr="00364862">
        <w:rPr>
          <w:rFonts w:ascii="Times New Roman" w:hAnsi="Times New Roman" w:cs="Times New Roman"/>
          <w:sz w:val="24"/>
          <w:szCs w:val="24"/>
        </w:rPr>
        <w:t>calculation</w:t>
      </w:r>
      <w:r w:rsidR="000425A4">
        <w:rPr>
          <w:rFonts w:ascii="Times New Roman" w:hAnsi="Times New Roman" w:cs="Times New Roman"/>
          <w:sz w:val="24"/>
          <w:szCs w:val="24"/>
        </w:rPr>
        <w:t>s</w:t>
      </w:r>
    </w:p>
    <w:p w14:paraId="4061F9DE" w14:textId="77777777" w:rsidR="00E43A65" w:rsidRPr="001B3275" w:rsidRDefault="00E43A65" w:rsidP="001B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CCD7C" w14:textId="08DC6540" w:rsidR="00245D25" w:rsidRDefault="00245D25" w:rsidP="005E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LEMON</w:t>
      </w:r>
      <w:r w:rsidR="000425A4">
        <w:rPr>
          <w:rFonts w:ascii="Times New Roman" w:hAnsi="Times New Roman" w:cs="Times New Roman"/>
          <w:b/>
          <w:sz w:val="24"/>
          <w:szCs w:val="24"/>
        </w:rPr>
        <w:t>S</w:t>
      </w:r>
    </w:p>
    <w:p w14:paraId="4F3291ED" w14:textId="6EAD529B" w:rsidR="00245D25" w:rsidRDefault="00405473" w:rsidP="005E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7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D5D0BE" wp14:editId="0E7AAF36">
            <wp:extent cx="50292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99983" w14:textId="294FFA7F" w:rsidR="003D1E80" w:rsidRDefault="001B3275" w:rsidP="003D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</w:t>
      </w:r>
      <w:r w:rsidR="003D1E80"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Source</w:t>
      </w:r>
      <w:r w:rsidR="003D1E80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TURKSTAT (2021c),</w:t>
      </w:r>
      <w:r w:rsidR="003D1E80" w:rsidRPr="00364862">
        <w:rPr>
          <w:rFonts w:ascii="Times New Roman" w:hAnsi="Times New Roman" w:cs="Times New Roman"/>
          <w:sz w:val="24"/>
          <w:szCs w:val="24"/>
        </w:rPr>
        <w:t xml:space="preserve"> and </w:t>
      </w:r>
      <w:r w:rsidR="000425A4" w:rsidRPr="00364862">
        <w:rPr>
          <w:rFonts w:ascii="Times New Roman" w:hAnsi="Times New Roman" w:cs="Times New Roman"/>
          <w:sz w:val="24"/>
          <w:szCs w:val="24"/>
        </w:rPr>
        <w:t>authors</w:t>
      </w:r>
      <w:r w:rsidR="000425A4">
        <w:rPr>
          <w:rFonts w:ascii="Times New Roman" w:hAnsi="Times New Roman" w:cs="Times New Roman"/>
          <w:sz w:val="24"/>
          <w:szCs w:val="24"/>
        </w:rPr>
        <w:t>’</w:t>
      </w:r>
      <w:r w:rsidR="000425A4" w:rsidRPr="00364862">
        <w:rPr>
          <w:rFonts w:ascii="Times New Roman" w:hAnsi="Times New Roman" w:cs="Times New Roman"/>
          <w:sz w:val="24"/>
          <w:szCs w:val="24"/>
        </w:rPr>
        <w:t xml:space="preserve"> </w:t>
      </w:r>
      <w:r w:rsidR="003D1E80" w:rsidRPr="00364862">
        <w:rPr>
          <w:rFonts w:ascii="Times New Roman" w:hAnsi="Times New Roman" w:cs="Times New Roman"/>
          <w:sz w:val="24"/>
          <w:szCs w:val="24"/>
        </w:rPr>
        <w:t>calculation</w:t>
      </w:r>
      <w:r w:rsidR="000425A4">
        <w:rPr>
          <w:rFonts w:ascii="Times New Roman" w:hAnsi="Times New Roman" w:cs="Times New Roman"/>
          <w:sz w:val="24"/>
          <w:szCs w:val="24"/>
        </w:rPr>
        <w:t>s</w:t>
      </w:r>
    </w:p>
    <w:p w14:paraId="68442ED8" w14:textId="77777777" w:rsidR="001F504C" w:rsidRDefault="001F504C" w:rsidP="005E2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FE919" w14:textId="49CB2DF4" w:rsidR="00245D25" w:rsidRDefault="00245D25" w:rsidP="005E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OLIVE</w:t>
      </w:r>
      <w:r w:rsidR="000425A4">
        <w:rPr>
          <w:rFonts w:ascii="Times New Roman" w:hAnsi="Times New Roman" w:cs="Times New Roman"/>
          <w:b/>
          <w:sz w:val="24"/>
          <w:szCs w:val="24"/>
        </w:rPr>
        <w:t>S</w:t>
      </w:r>
    </w:p>
    <w:p w14:paraId="627BF9F2" w14:textId="3C44CBA9" w:rsidR="00245D25" w:rsidRDefault="00245D25" w:rsidP="005E2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2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5E39D50" wp14:editId="7E4FE463">
            <wp:extent cx="5029200" cy="30797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74F1D" w14:textId="7C49AAFB" w:rsidR="001F504C" w:rsidRDefault="001B3275" w:rsidP="001B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</w:t>
      </w:r>
      <w:r w:rsidR="003D1E80"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Source</w:t>
      </w:r>
      <w:r w:rsidR="003D1E80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TURKSTAT (2021c),</w:t>
      </w:r>
      <w:r w:rsidR="003D1E80" w:rsidRPr="00364862">
        <w:rPr>
          <w:rFonts w:ascii="Times New Roman" w:hAnsi="Times New Roman" w:cs="Times New Roman"/>
          <w:sz w:val="24"/>
          <w:szCs w:val="24"/>
        </w:rPr>
        <w:t xml:space="preserve"> and </w:t>
      </w:r>
      <w:r w:rsidR="000425A4" w:rsidRPr="00364862">
        <w:rPr>
          <w:rFonts w:ascii="Times New Roman" w:hAnsi="Times New Roman" w:cs="Times New Roman"/>
          <w:sz w:val="24"/>
          <w:szCs w:val="24"/>
        </w:rPr>
        <w:t>authors</w:t>
      </w:r>
      <w:r w:rsidR="000425A4">
        <w:rPr>
          <w:rFonts w:ascii="Times New Roman" w:hAnsi="Times New Roman" w:cs="Times New Roman"/>
          <w:sz w:val="24"/>
          <w:szCs w:val="24"/>
        </w:rPr>
        <w:t>’</w:t>
      </w:r>
      <w:r w:rsidR="000425A4" w:rsidRPr="00364862">
        <w:rPr>
          <w:rFonts w:ascii="Times New Roman" w:hAnsi="Times New Roman" w:cs="Times New Roman"/>
          <w:sz w:val="24"/>
          <w:szCs w:val="24"/>
        </w:rPr>
        <w:t xml:space="preserve"> </w:t>
      </w:r>
      <w:r w:rsidR="003D1E80" w:rsidRPr="00364862">
        <w:rPr>
          <w:rFonts w:ascii="Times New Roman" w:hAnsi="Times New Roman" w:cs="Times New Roman"/>
          <w:sz w:val="24"/>
          <w:szCs w:val="24"/>
        </w:rPr>
        <w:t>calculatio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0425A4">
        <w:rPr>
          <w:rFonts w:ascii="Times New Roman" w:hAnsi="Times New Roman" w:cs="Times New Roman"/>
          <w:sz w:val="24"/>
          <w:szCs w:val="24"/>
        </w:rPr>
        <w:t>s</w:t>
      </w:r>
    </w:p>
    <w:p w14:paraId="09397406" w14:textId="3FF8049D" w:rsidR="00E43A65" w:rsidRDefault="00E4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D5C97D" w14:textId="77777777" w:rsidR="00E43A65" w:rsidRPr="001B3275" w:rsidRDefault="00E43A65" w:rsidP="001B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3194"/>
        <w:gridCol w:w="743"/>
        <w:gridCol w:w="910"/>
        <w:gridCol w:w="910"/>
        <w:gridCol w:w="910"/>
        <w:gridCol w:w="910"/>
        <w:gridCol w:w="906"/>
      </w:tblGrid>
      <w:tr w:rsidR="006C2389" w:rsidRPr="00364862" w14:paraId="0EB9AF7C" w14:textId="77777777" w:rsidTr="005E2843">
        <w:trPr>
          <w:trHeight w:val="31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B891" w14:textId="77777777" w:rsidR="00245D25" w:rsidRDefault="00245D25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BD3D3" w14:textId="5B8736E4" w:rsidR="006C2389" w:rsidRDefault="006C2389" w:rsidP="00E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Appendix: Household </w:t>
            </w:r>
            <w:r w:rsidR="008E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8E12D5"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onsumption </w:t>
            </w: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by </w:t>
            </w:r>
            <w:r w:rsidR="008E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8E12D5"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uintiles</w:t>
            </w:r>
          </w:p>
          <w:p w14:paraId="2198CEB3" w14:textId="455B4A31" w:rsidR="00E43A65" w:rsidRDefault="00E43A65" w:rsidP="00E4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70BD88" w14:textId="77777777" w:rsidR="00E43A65" w:rsidRPr="000C61C1" w:rsidRDefault="00E43A65" w:rsidP="00E43A65">
            <w:pPr>
              <w:spacing w:after="0" w:line="480" w:lineRule="auto"/>
              <w:ind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Exchange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C61C1">
              <w:rPr>
                <w:rFonts w:ascii="Times New Roman" w:hAnsi="Times New Roman" w:cs="Times New Roman"/>
                <w:b/>
                <w:sz w:val="24"/>
                <w:szCs w:val="24"/>
              </w:rPr>
              <w:t>ates</w:t>
            </w:r>
          </w:p>
          <w:p w14:paraId="012412A1" w14:textId="31DB31F3" w:rsidR="00E43A65" w:rsidRPr="000C61C1" w:rsidRDefault="00E43A65" w:rsidP="00E43A65">
            <w:pPr>
              <w:spacing w:after="0" w:line="48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C61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Figure A1 shows the movements of CPI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the </w:t>
            </w:r>
            <w:r w:rsidRPr="000C61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Manufacturing Producer Price Index (MPPI). Figure A2 shows that the continuous and rapid depreciation of the Turkish lira against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</w:t>
            </w:r>
            <w:r w:rsidRPr="000C61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dollar and euro that began in 2010 is the most crucial supply-side factor affecting prices. Virtually every sector in Turkey, including the agricultural sector, relies heavily on imported chemicals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and energy</w:t>
            </w:r>
            <w:r w:rsidRPr="000C61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Since most agricultural input prices are tied to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</w:t>
            </w:r>
            <w:r w:rsidRPr="000C61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dollar, the cost of agricultural production has increased continuously since 2010. </w:t>
            </w:r>
            <w:r w:rsidRPr="000C61C1">
              <w:rPr>
                <w:rFonts w:ascii="Times New Roman" w:hAnsi="Times New Roman" w:cs="Times New Roman"/>
                <w:sz w:val="24"/>
                <w:szCs w:val="24"/>
              </w:rPr>
              <w:t>The weak Turkish lira also exacerbated the situation, further contributing to the steady increase of input costs, especially energy costs.</w:t>
            </w:r>
          </w:p>
          <w:p w14:paraId="5A3A1789" w14:textId="77777777" w:rsidR="00E43A65" w:rsidRPr="00364862" w:rsidRDefault="00E43A65" w:rsidP="0050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BA2A47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372600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A1: </w:t>
            </w: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Distribution of household consumption expenditure by quintiles</w:t>
            </w:r>
          </w:p>
        </w:tc>
      </w:tr>
      <w:tr w:rsidR="006C2389" w:rsidRPr="00364862" w14:paraId="60FFBADF" w14:textId="77777777" w:rsidTr="005E2843">
        <w:trPr>
          <w:trHeight w:val="320"/>
          <w:jc w:val="center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E7AA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066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D95F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F612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Quintiles ordered by income</w:t>
            </w:r>
          </w:p>
        </w:tc>
      </w:tr>
      <w:tr w:rsidR="006C2389" w:rsidRPr="00364862" w14:paraId="23CFF8A2" w14:textId="77777777" w:rsidTr="005E2843">
        <w:trPr>
          <w:trHeight w:val="310"/>
          <w:jc w:val="center"/>
        </w:trPr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EEE7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9F15B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Expenditure types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F6F1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4EF1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%20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37A1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%20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0D9C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%20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151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%20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E79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%20</w:t>
            </w:r>
          </w:p>
        </w:tc>
      </w:tr>
      <w:tr w:rsidR="006C2389" w:rsidRPr="00364862" w14:paraId="47072BEB" w14:textId="77777777" w:rsidTr="005E2843">
        <w:trPr>
          <w:trHeight w:val="310"/>
          <w:jc w:val="center"/>
        </w:trPr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211B9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339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Food and non-alcoholic beverages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A5D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55C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A42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E5A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3BC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5922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6C2389" w:rsidRPr="00364862" w14:paraId="0A5A32B6" w14:textId="77777777" w:rsidTr="005E2843">
        <w:trPr>
          <w:trHeight w:val="31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2CA38B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0F25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and rent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DD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A42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215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E40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1AC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6B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</w:tr>
      <w:tr w:rsidR="006C2389" w:rsidRPr="00364862" w14:paraId="211DD3BC" w14:textId="77777777" w:rsidTr="005E2843">
        <w:trPr>
          <w:trHeight w:val="32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581F9F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F6BE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3CB0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012D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EF3D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CAEA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39E7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833F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6C2389" w:rsidRPr="00364862" w14:paraId="4063F172" w14:textId="77777777" w:rsidTr="005E2843">
        <w:trPr>
          <w:trHeight w:val="310"/>
          <w:jc w:val="center"/>
        </w:trPr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50A0B4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D5DD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Food and non-alcoholic beverages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22C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01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52A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0571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BC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29D1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6C2389" w:rsidRPr="00364862" w14:paraId="6B7705A8" w14:textId="77777777" w:rsidTr="005E2843">
        <w:trPr>
          <w:trHeight w:val="31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3276EF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8479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and rent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BAAC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278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2B9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2AD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FA1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783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6C2389" w:rsidRPr="00364862" w14:paraId="1C4F7701" w14:textId="77777777" w:rsidTr="005E2843">
        <w:trPr>
          <w:trHeight w:val="32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20E2A9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4523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1E16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8320C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BA2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6EC3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100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08F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6C2389" w:rsidRPr="00364862" w14:paraId="2DBC82C8" w14:textId="77777777" w:rsidTr="005E2843">
        <w:trPr>
          <w:trHeight w:val="310"/>
          <w:jc w:val="center"/>
        </w:trPr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95118B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D379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Food and non-alcoholic beverages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717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2E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CEFC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A43D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9A6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CD3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6C2389" w:rsidRPr="00364862" w14:paraId="461F63AC" w14:textId="77777777" w:rsidTr="005E2843">
        <w:trPr>
          <w:trHeight w:val="31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F1EC0D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DCE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and rent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04E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A4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49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016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6DD7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91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6C2389" w:rsidRPr="00364862" w14:paraId="316774B5" w14:textId="77777777" w:rsidTr="005E2843">
        <w:trPr>
          <w:trHeight w:val="32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3F96E0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DD9A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28B2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32701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C323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6F67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EBE6D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26C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6C2389" w:rsidRPr="00364862" w14:paraId="0B014072" w14:textId="77777777" w:rsidTr="005E2843">
        <w:trPr>
          <w:trHeight w:val="310"/>
          <w:jc w:val="center"/>
        </w:trPr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51F3D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F0C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Food and non-alcoholic beverages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AD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7408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21E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BAA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EF7D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5F42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6C2389" w:rsidRPr="00364862" w14:paraId="07A7145A" w14:textId="77777777" w:rsidTr="005E2843">
        <w:trPr>
          <w:trHeight w:val="31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12043E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C85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and rent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36A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B7C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3F6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BE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CF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62E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6C2389" w:rsidRPr="00364862" w14:paraId="4971B7EF" w14:textId="77777777" w:rsidTr="005E2843">
        <w:trPr>
          <w:trHeight w:val="32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C48688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CDF9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F96A1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A22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2F81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B9B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7047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176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6C2389" w:rsidRPr="00364862" w14:paraId="333EEF59" w14:textId="77777777" w:rsidTr="005E2843">
        <w:trPr>
          <w:trHeight w:val="310"/>
          <w:jc w:val="center"/>
        </w:trPr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A218B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38B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Food and non-alcoholic beverages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15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CC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F3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4B8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D6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37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6C2389" w:rsidRPr="00364862" w14:paraId="2AC34C6B" w14:textId="77777777" w:rsidTr="005E2843">
        <w:trPr>
          <w:trHeight w:val="31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710ABE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D398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and rent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D6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4FF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91E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A4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72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D66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</w:tr>
      <w:tr w:rsidR="006C2389" w:rsidRPr="00364862" w14:paraId="2B23F2D2" w14:textId="77777777" w:rsidTr="005E2843">
        <w:trPr>
          <w:trHeight w:val="32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5780F6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B19E9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D07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44B3D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385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9C2B1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CCA7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E0007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</w:tr>
      <w:tr w:rsidR="006C2389" w:rsidRPr="00364862" w14:paraId="51AC9972" w14:textId="77777777" w:rsidTr="005E2843">
        <w:trPr>
          <w:trHeight w:val="310"/>
          <w:jc w:val="center"/>
        </w:trPr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739CF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73AC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Food and non-alcoholic beverages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D2C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9F6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83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175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72A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5A8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6C2389" w:rsidRPr="00364862" w14:paraId="422A5474" w14:textId="77777777" w:rsidTr="005E2843">
        <w:trPr>
          <w:trHeight w:val="31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87860D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802F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and rent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4E48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1DBD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9F9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66F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C64D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4BE5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</w:tr>
      <w:tr w:rsidR="006C2389" w:rsidRPr="00364862" w14:paraId="2BEF91D2" w14:textId="77777777" w:rsidTr="005E2843">
        <w:trPr>
          <w:trHeight w:val="32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F6ABD2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A94A5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5536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ACD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9233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A06C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A59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9F097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6C2389" w:rsidRPr="00364862" w14:paraId="6B972FD4" w14:textId="77777777" w:rsidTr="005E2843">
        <w:trPr>
          <w:trHeight w:val="310"/>
          <w:jc w:val="center"/>
        </w:trPr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9EB46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A8EF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Food and non-alcoholic beverages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DC2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98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EED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205A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989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97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6C2389" w:rsidRPr="00364862" w14:paraId="6E5AC4D6" w14:textId="77777777" w:rsidTr="005E2843">
        <w:trPr>
          <w:trHeight w:val="31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12B5AE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9C9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and rent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B8FD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9AF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27B8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73B8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245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5842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</w:tr>
      <w:tr w:rsidR="006C2389" w:rsidRPr="00364862" w14:paraId="59D5D009" w14:textId="77777777" w:rsidTr="005E2843">
        <w:trPr>
          <w:trHeight w:val="32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3E3AA2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C1A1E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AC65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C5AB5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BE8C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AF72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25A2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578B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</w:tr>
      <w:tr w:rsidR="006C2389" w:rsidRPr="00364862" w14:paraId="56F9088B" w14:textId="77777777" w:rsidTr="005E2843">
        <w:trPr>
          <w:trHeight w:val="310"/>
          <w:jc w:val="center"/>
        </w:trPr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AE041" w14:textId="77777777" w:rsidR="006C2389" w:rsidRPr="00364862" w:rsidRDefault="006C238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088A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Food and non-alcoholic beverages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168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A9E5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8F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0BC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96F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8B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</w:tr>
      <w:tr w:rsidR="006C2389" w:rsidRPr="00364862" w14:paraId="4B2CF91C" w14:textId="77777777" w:rsidTr="005E2843">
        <w:trPr>
          <w:trHeight w:val="31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C99B35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0A83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Housing and rent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F74B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875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53E4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78A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0B0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F49E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</w:tr>
      <w:tr w:rsidR="006C2389" w:rsidRPr="00364862" w14:paraId="2CD969B0" w14:textId="77777777" w:rsidTr="005E2843">
        <w:trPr>
          <w:trHeight w:val="320"/>
          <w:jc w:val="center"/>
        </w:trPr>
        <w:tc>
          <w:tcPr>
            <w:tcW w:w="4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5D8B5B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CFE9" w14:textId="77777777" w:rsidR="006C2389" w:rsidRPr="00364862" w:rsidRDefault="006C2389" w:rsidP="00F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0242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754B8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D00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DF3A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860F3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C0E9D" w14:textId="77777777" w:rsidR="006C2389" w:rsidRPr="00364862" w:rsidRDefault="006C2389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862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</w:tbl>
    <w:p w14:paraId="40BFABF8" w14:textId="4119A6DF" w:rsidR="00001146" w:rsidRPr="00994B2C" w:rsidRDefault="006C2389" w:rsidP="00994B2C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Source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TURKSTAT (2021d)</w:t>
      </w:r>
    </w:p>
    <w:p w14:paraId="5A0D75FE" w14:textId="2BD95BDE" w:rsidR="006C2389" w:rsidRPr="00364862" w:rsidRDefault="006C2389" w:rsidP="006C238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tr-TR"/>
        </w:rPr>
      </w:pP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Figure </w:t>
      </w:r>
      <w:r w:rsidR="00B273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1: 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Consumer </w:t>
      </w:r>
      <w:r w:rsidR="000425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</w:t>
      </w:r>
      <w:r w:rsidR="000425A4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rice </w:t>
      </w:r>
      <w:r w:rsidR="000425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="000425A4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ndex 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and </w:t>
      </w:r>
      <w:r w:rsidR="000425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</w:t>
      </w:r>
      <w:r w:rsidR="000425A4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anufacturing </w:t>
      </w:r>
      <w:r w:rsidR="000425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</w:t>
      </w:r>
      <w:r w:rsidR="000425A4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roducer </w:t>
      </w:r>
      <w:r w:rsidR="000425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</w:t>
      </w:r>
      <w:r w:rsidR="000425A4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rice </w:t>
      </w:r>
      <w:r w:rsidR="000425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="000425A4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ndex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(2015=100</w:t>
      </w: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14:paraId="51746A4A" w14:textId="77777777" w:rsidR="006C2389" w:rsidRPr="00364862" w:rsidRDefault="006C2389" w:rsidP="006C2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tr-TR"/>
        </w:rPr>
      </w:pPr>
      <w:r w:rsidRPr="0036486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2F75A9D" wp14:editId="365BE77E">
            <wp:extent cx="4603750" cy="306705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6AA0" w14:textId="1E96414D" w:rsidR="006C2389" w:rsidRPr="00364862" w:rsidRDefault="006C2389" w:rsidP="006C23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</w:t>
      </w: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Source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spellStart"/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OECD</w:t>
      </w:r>
      <w:r w:rsidR="00094A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.Stat</w:t>
      </w:r>
      <w:proofErr w:type="spellEnd"/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(2021) and </w:t>
      </w:r>
      <w:r w:rsidR="00FD7D29" w:rsidRPr="00850C24">
        <w:rPr>
          <w:rFonts w:ascii="Times New Roman" w:eastAsia="Calibri" w:hAnsi="Times New Roman" w:cs="Times New Roman"/>
          <w:color w:val="000000"/>
        </w:rPr>
        <w:t xml:space="preserve">Central Bank of the Republic of Turkey Electronic Data </w:t>
      </w:r>
      <w:r w:rsidR="00FD7D29">
        <w:rPr>
          <w:rFonts w:ascii="Times New Roman" w:eastAsia="Calibri" w:hAnsi="Times New Roman" w:cs="Times New Roman"/>
          <w:color w:val="000000"/>
        </w:rPr>
        <w:t xml:space="preserve">   </w:t>
      </w:r>
      <w:r w:rsidR="00FD7D29" w:rsidRPr="00850C24">
        <w:rPr>
          <w:rFonts w:ascii="Times New Roman" w:eastAsia="Calibri" w:hAnsi="Times New Roman" w:cs="Times New Roman"/>
          <w:color w:val="000000"/>
        </w:rPr>
        <w:t>Delivery System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(2021a)</w:t>
      </w:r>
    </w:p>
    <w:p w14:paraId="7BED82D8" w14:textId="77777777" w:rsidR="006C2389" w:rsidRPr="00364862" w:rsidRDefault="006C2389" w:rsidP="006C2389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8B4EB21" w14:textId="7D045E8A" w:rsidR="006C2389" w:rsidRPr="00364862" w:rsidRDefault="006C2389" w:rsidP="006C2389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Figure </w:t>
      </w:r>
      <w:r w:rsidR="00B273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="004444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Nominal </w:t>
      </w:r>
      <w:r w:rsidR="00E43A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</w:t>
      </w:r>
      <w:r w:rsidR="00094ACC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xchange </w:t>
      </w:r>
      <w:r w:rsidR="00E43A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</w:t>
      </w:r>
      <w:r w:rsidR="00094ACC"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ates</w:t>
      </w:r>
    </w:p>
    <w:p w14:paraId="2FAD3E89" w14:textId="77777777" w:rsidR="006C2389" w:rsidRPr="00364862" w:rsidRDefault="006C2389" w:rsidP="006C2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tr-TR"/>
        </w:rPr>
      </w:pPr>
      <w:r w:rsidRPr="00364862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</w:rPr>
        <w:lastRenderedPageBreak/>
        <w:drawing>
          <wp:inline distT="0" distB="0" distL="0" distR="0" wp14:anchorId="7ECC97EC" wp14:editId="09ED400F">
            <wp:extent cx="5029200" cy="3022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D6AD" w14:textId="51D6CE4C" w:rsidR="006C2389" w:rsidRDefault="006C2389" w:rsidP="003F46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Pr="003648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Source</w:t>
      </w:r>
      <w:r w:rsidRPr="003648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r w:rsidR="00FD7D29" w:rsidRPr="00FD7D2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Central Bank of the Republic of Turkey Electronic Data Delivery System (</w:t>
      </w:r>
      <w:r w:rsidR="00EE29F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2021</w:t>
      </w:r>
      <w:r w:rsidR="00FD7D29" w:rsidRPr="00FD7D2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b)</w:t>
      </w:r>
    </w:p>
    <w:p w14:paraId="2B3642D6" w14:textId="5BAEE774" w:rsidR="00B27335" w:rsidRDefault="00B27335" w:rsidP="003F46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5FF23391" w14:textId="2D788A8E" w:rsidR="00B27335" w:rsidRDefault="00B27335" w:rsidP="003F46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468368B" w14:textId="77777777" w:rsidR="000A73F7" w:rsidRDefault="000A73F7" w:rsidP="003F46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C36F494" w14:textId="765738A6" w:rsidR="00B27335" w:rsidRPr="00B714CE" w:rsidRDefault="00B27335" w:rsidP="00B273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273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Figure A3: </w:t>
      </w:r>
      <w:r w:rsidRPr="00B714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Value </w:t>
      </w:r>
      <w:r w:rsidR="00094A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</w:t>
      </w:r>
      <w:r w:rsidR="00094ACC" w:rsidRPr="00B714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dded </w:t>
      </w:r>
      <w:r w:rsidRPr="00B714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in </w:t>
      </w:r>
      <w:r w:rsidR="00094A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</w:t>
      </w:r>
      <w:r w:rsidR="00094ACC" w:rsidRPr="00B714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etail </w:t>
      </w:r>
      <w:r w:rsidR="00094A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 w:rsidR="00094ACC" w:rsidRPr="00B714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ector </w:t>
      </w:r>
      <w:r w:rsidRPr="00B714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by </w:t>
      </w:r>
      <w:r w:rsidR="00094A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</w:t>
      </w:r>
      <w:r w:rsidR="00094ACC" w:rsidRPr="00B714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mployee </w:t>
      </w:r>
      <w:r w:rsidR="00094A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 w:rsidR="00094ACC" w:rsidRPr="00B714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ize</w:t>
      </w:r>
    </w:p>
    <w:p w14:paraId="3DB79816" w14:textId="77777777" w:rsidR="00DF3583" w:rsidRDefault="00B27335" w:rsidP="00B27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031C34" wp14:editId="7E909C49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C7430" w14:textId="0B252F72" w:rsidR="00B27335" w:rsidRPr="00DF3583" w:rsidRDefault="00DF3583" w:rsidP="00DF3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7335" w:rsidRPr="00507257">
        <w:rPr>
          <w:rFonts w:ascii="Times New Roman" w:hAnsi="Times New Roman" w:cs="Times New Roman"/>
          <w:b/>
          <w:bCs/>
          <w:sz w:val="24"/>
          <w:szCs w:val="24"/>
        </w:rPr>
        <w:t>Source:</w:t>
      </w:r>
      <w:r w:rsidR="00B27335" w:rsidRPr="00B27335">
        <w:rPr>
          <w:rFonts w:ascii="Times New Roman" w:hAnsi="Times New Roman" w:cs="Times New Roman"/>
          <w:sz w:val="24"/>
          <w:szCs w:val="24"/>
        </w:rPr>
        <w:t xml:space="preserve"> </w:t>
      </w:r>
      <w:r w:rsidR="00B27335">
        <w:rPr>
          <w:rFonts w:ascii="Times New Roman" w:hAnsi="Times New Roman" w:cs="Times New Roman"/>
          <w:sz w:val="24"/>
          <w:szCs w:val="24"/>
        </w:rPr>
        <w:t>TURKSTAT</w:t>
      </w:r>
      <w:r w:rsidR="001F6E0E">
        <w:rPr>
          <w:rFonts w:ascii="Times New Roman" w:hAnsi="Times New Roman" w:cs="Times New Roman"/>
          <w:sz w:val="24"/>
          <w:szCs w:val="24"/>
        </w:rPr>
        <w:t xml:space="preserve"> (2021e)</w:t>
      </w:r>
    </w:p>
    <w:sectPr w:rsidR="00B27335" w:rsidRPr="00DF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TY2sTAwtjAzM7VU0lEKTi0uzszPAykwrwUAZRQ5aCwAAAA="/>
  </w:docVars>
  <w:rsids>
    <w:rsidRoot w:val="00415B09"/>
    <w:rsid w:val="00001146"/>
    <w:rsid w:val="00024780"/>
    <w:rsid w:val="000425A4"/>
    <w:rsid w:val="00094ACC"/>
    <w:rsid w:val="000A73F7"/>
    <w:rsid w:val="000E1D86"/>
    <w:rsid w:val="00154A7C"/>
    <w:rsid w:val="001B3275"/>
    <w:rsid w:val="001D71EA"/>
    <w:rsid w:val="001F504C"/>
    <w:rsid w:val="001F6E0E"/>
    <w:rsid w:val="00245C12"/>
    <w:rsid w:val="00245D25"/>
    <w:rsid w:val="002F7644"/>
    <w:rsid w:val="0033048D"/>
    <w:rsid w:val="00364862"/>
    <w:rsid w:val="00375B54"/>
    <w:rsid w:val="00387787"/>
    <w:rsid w:val="003A16B8"/>
    <w:rsid w:val="003D1E80"/>
    <w:rsid w:val="003F46FD"/>
    <w:rsid w:val="003F75D0"/>
    <w:rsid w:val="00405473"/>
    <w:rsid w:val="00412FE4"/>
    <w:rsid w:val="00415B09"/>
    <w:rsid w:val="00431A45"/>
    <w:rsid w:val="004444E2"/>
    <w:rsid w:val="0047544E"/>
    <w:rsid w:val="00495EC0"/>
    <w:rsid w:val="004A367A"/>
    <w:rsid w:val="00507257"/>
    <w:rsid w:val="00511AD2"/>
    <w:rsid w:val="00536E7C"/>
    <w:rsid w:val="00546AF0"/>
    <w:rsid w:val="005E2843"/>
    <w:rsid w:val="006005FD"/>
    <w:rsid w:val="0060304B"/>
    <w:rsid w:val="00625DC8"/>
    <w:rsid w:val="006C2389"/>
    <w:rsid w:val="006E39A2"/>
    <w:rsid w:val="00770619"/>
    <w:rsid w:val="007C739A"/>
    <w:rsid w:val="008B1B39"/>
    <w:rsid w:val="008C28BE"/>
    <w:rsid w:val="008E12D5"/>
    <w:rsid w:val="0091414F"/>
    <w:rsid w:val="00984ED4"/>
    <w:rsid w:val="00994B2C"/>
    <w:rsid w:val="00A32923"/>
    <w:rsid w:val="00A42325"/>
    <w:rsid w:val="00A50D05"/>
    <w:rsid w:val="00A536DC"/>
    <w:rsid w:val="00A66905"/>
    <w:rsid w:val="00AA08DA"/>
    <w:rsid w:val="00AB37E0"/>
    <w:rsid w:val="00AC028D"/>
    <w:rsid w:val="00AC1015"/>
    <w:rsid w:val="00AF0C20"/>
    <w:rsid w:val="00B27335"/>
    <w:rsid w:val="00B27612"/>
    <w:rsid w:val="00B55959"/>
    <w:rsid w:val="00B714CE"/>
    <w:rsid w:val="00BA36D9"/>
    <w:rsid w:val="00BB02E0"/>
    <w:rsid w:val="00BD1304"/>
    <w:rsid w:val="00C05857"/>
    <w:rsid w:val="00C16AA5"/>
    <w:rsid w:val="00C50D28"/>
    <w:rsid w:val="00C76B0A"/>
    <w:rsid w:val="00CC7537"/>
    <w:rsid w:val="00DB1722"/>
    <w:rsid w:val="00DD332E"/>
    <w:rsid w:val="00DF3583"/>
    <w:rsid w:val="00E26883"/>
    <w:rsid w:val="00E3017F"/>
    <w:rsid w:val="00E37537"/>
    <w:rsid w:val="00E43A65"/>
    <w:rsid w:val="00E84FDA"/>
    <w:rsid w:val="00EE29F9"/>
    <w:rsid w:val="00F47763"/>
    <w:rsid w:val="00FA4F41"/>
    <w:rsid w:val="00FD7D29"/>
    <w:rsid w:val="00FE40D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7CAA"/>
  <w15:chartTrackingRefBased/>
  <w15:docId w15:val="{3C6C0941-C3C1-4452-A4D5-5D345D6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5B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12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4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2876-83CA-441D-AE5F-FFCC8A55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Ozertan</dc:creator>
  <cp:keywords/>
  <dc:description/>
  <cp:lastModifiedBy>Editor</cp:lastModifiedBy>
  <cp:revision>3</cp:revision>
  <dcterms:created xsi:type="dcterms:W3CDTF">2022-05-07T15:46:00Z</dcterms:created>
  <dcterms:modified xsi:type="dcterms:W3CDTF">2022-05-07T15:48:00Z</dcterms:modified>
</cp:coreProperties>
</file>