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E1ADC" w14:textId="77777777" w:rsidR="001173F4" w:rsidRDefault="001173F4" w:rsidP="001173F4">
      <w:pPr>
        <w:pStyle w:val="Heading1"/>
      </w:pPr>
      <w:r w:rsidRPr="00392C1D">
        <w:t>Supplemental Materia</w:t>
      </w:r>
      <w:r>
        <w:t>l</w:t>
      </w:r>
    </w:p>
    <w:p w14:paraId="411936E0" w14:textId="12901C30" w:rsidR="001173F4" w:rsidRPr="00022D3B" w:rsidRDefault="001173F4" w:rsidP="001173F4">
      <w:pPr>
        <w:pStyle w:val="Normal2"/>
      </w:pPr>
      <w:r w:rsidRPr="00490975">
        <w:rPr>
          <w:b/>
          <w:bCs/>
        </w:rPr>
        <w:t>Table S</w:t>
      </w:r>
      <w:r>
        <w:rPr>
          <w:b/>
          <w:bCs/>
        </w:rPr>
        <w:t>1</w:t>
      </w:r>
      <w:r>
        <w:t>. Seed production estimates of annual sowthistle at the KYP site in 2018</w:t>
      </w:r>
      <w:r w:rsidR="007C63AF">
        <w:t xml:space="preserve"> under each of the herbicide treatments</w:t>
      </w:r>
      <w:bookmarkStart w:id="0" w:name="_GoBack"/>
      <w:bookmarkEnd w:id="0"/>
      <w:r>
        <w:t xml:space="preserve">. Counts were taken approximately 12 weeks after herbicide treatment, shortly before crop harvest. </w:t>
      </w:r>
      <w:r w:rsidRPr="00490975">
        <w:t>Means within a column followed by</w:t>
      </w:r>
      <w:r w:rsidRPr="00022D3B">
        <w:t xml:space="preserve"> the same letter are not significantly different at </w:t>
      </w:r>
      <w:r w:rsidRPr="00022D3B">
        <w:rPr>
          <w:i/>
          <w:iCs/>
        </w:rPr>
        <w:t>P</w:t>
      </w:r>
      <w:r w:rsidRPr="00022D3B">
        <w:t>=0.05.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73F4" w:rsidRPr="00022D3B" w14:paraId="1F0F039C" w14:textId="77777777" w:rsidTr="00FD48EB">
        <w:tc>
          <w:tcPr>
            <w:tcW w:w="4508" w:type="dxa"/>
            <w:tcBorders>
              <w:top w:val="single" w:sz="8" w:space="0" w:color="auto"/>
              <w:bottom w:val="single" w:sz="8" w:space="0" w:color="auto"/>
            </w:tcBorders>
          </w:tcPr>
          <w:p w14:paraId="7F5AF7C1" w14:textId="77777777" w:rsidR="001173F4" w:rsidRPr="00022D3B" w:rsidRDefault="001173F4" w:rsidP="00FD48EB">
            <w:pPr>
              <w:rPr>
                <w:rFonts w:cs="Times New Roman"/>
              </w:rPr>
            </w:pPr>
            <w:r w:rsidRPr="00022D3B">
              <w:rPr>
                <w:rFonts w:cs="Times New Roman"/>
              </w:rPr>
              <w:t>Herbicide treatment</w:t>
            </w:r>
          </w:p>
        </w:tc>
        <w:tc>
          <w:tcPr>
            <w:tcW w:w="4508" w:type="dxa"/>
            <w:tcBorders>
              <w:top w:val="single" w:sz="8" w:space="0" w:color="auto"/>
              <w:bottom w:val="single" w:sz="8" w:space="0" w:color="auto"/>
            </w:tcBorders>
          </w:tcPr>
          <w:p w14:paraId="5FDF92C9" w14:textId="77777777" w:rsidR="001173F4" w:rsidRPr="00022D3B" w:rsidRDefault="001173F4" w:rsidP="00FD48EB">
            <w:pPr>
              <w:jc w:val="center"/>
              <w:rPr>
                <w:rFonts w:cs="Times New Roman"/>
              </w:rPr>
            </w:pPr>
            <w:r w:rsidRPr="00022D3B">
              <w:rPr>
                <w:rFonts w:cs="Times New Roman"/>
              </w:rPr>
              <w:t>Seed production</w:t>
            </w:r>
          </w:p>
        </w:tc>
      </w:tr>
      <w:tr w:rsidR="001173F4" w:rsidRPr="00022D3B" w14:paraId="78034BEC" w14:textId="77777777" w:rsidTr="00FD48EB">
        <w:tc>
          <w:tcPr>
            <w:tcW w:w="4508" w:type="dxa"/>
            <w:tcBorders>
              <w:top w:val="single" w:sz="8" w:space="0" w:color="auto"/>
            </w:tcBorders>
          </w:tcPr>
          <w:p w14:paraId="1E0A424E" w14:textId="77777777" w:rsidR="001173F4" w:rsidRPr="00022D3B" w:rsidRDefault="001173F4" w:rsidP="00FD48EB">
            <w:pPr>
              <w:rPr>
                <w:rFonts w:cs="Times New Roman"/>
              </w:rPr>
            </w:pPr>
          </w:p>
        </w:tc>
        <w:tc>
          <w:tcPr>
            <w:tcW w:w="4508" w:type="dxa"/>
            <w:tcBorders>
              <w:top w:val="single" w:sz="8" w:space="0" w:color="auto"/>
            </w:tcBorders>
          </w:tcPr>
          <w:p w14:paraId="0A9E5A85" w14:textId="77777777" w:rsidR="001173F4" w:rsidRPr="00022D3B" w:rsidRDefault="001173F4" w:rsidP="00FD48EB">
            <w:pPr>
              <w:jc w:val="center"/>
              <w:rPr>
                <w:rFonts w:cs="Times New Roman"/>
              </w:rPr>
            </w:pPr>
            <w:r w:rsidRPr="00022D3B">
              <w:rPr>
                <w:rFonts w:cs="Times New Roman"/>
              </w:rPr>
              <w:t>seeds m</w:t>
            </w:r>
            <w:r w:rsidRPr="00022D3B">
              <w:rPr>
                <w:rFonts w:cs="Times New Roman"/>
                <w:vertAlign w:val="superscript"/>
              </w:rPr>
              <w:t>-2</w:t>
            </w:r>
          </w:p>
        </w:tc>
      </w:tr>
      <w:tr w:rsidR="001173F4" w:rsidRPr="00022D3B" w14:paraId="01BB7126" w14:textId="77777777" w:rsidTr="00FD48EB">
        <w:tc>
          <w:tcPr>
            <w:tcW w:w="4508" w:type="dxa"/>
          </w:tcPr>
          <w:p w14:paraId="31849200" w14:textId="77777777" w:rsidR="001173F4" w:rsidRPr="00022D3B" w:rsidRDefault="001173F4" w:rsidP="00FD48EB">
            <w:pPr>
              <w:rPr>
                <w:rFonts w:cs="Times New Roman"/>
              </w:rPr>
            </w:pPr>
            <w:r w:rsidRPr="00022D3B">
              <w:rPr>
                <w:rFonts w:cs="Times New Roman"/>
              </w:rPr>
              <w:t>Proactive</w:t>
            </w:r>
          </w:p>
        </w:tc>
        <w:tc>
          <w:tcPr>
            <w:tcW w:w="4508" w:type="dxa"/>
            <w:vAlign w:val="center"/>
          </w:tcPr>
          <w:p w14:paraId="45E1C7D1" w14:textId="77777777" w:rsidR="001173F4" w:rsidRPr="00022D3B" w:rsidRDefault="001173F4" w:rsidP="00FD48EB">
            <w:pPr>
              <w:jc w:val="center"/>
              <w:rPr>
                <w:rFonts w:cs="Times New Roman"/>
              </w:rPr>
            </w:pPr>
            <w:r w:rsidRPr="00022D3B">
              <w:rPr>
                <w:rFonts w:cs="Times New Roman"/>
              </w:rPr>
              <w:t>69 a</w:t>
            </w:r>
          </w:p>
        </w:tc>
      </w:tr>
      <w:tr w:rsidR="001173F4" w:rsidRPr="00022D3B" w14:paraId="6FD04539" w14:textId="77777777" w:rsidTr="00FD48EB">
        <w:tc>
          <w:tcPr>
            <w:tcW w:w="4508" w:type="dxa"/>
          </w:tcPr>
          <w:p w14:paraId="0EF07894" w14:textId="77777777" w:rsidR="001173F4" w:rsidRPr="00022D3B" w:rsidRDefault="001173F4" w:rsidP="00FD48EB">
            <w:pPr>
              <w:rPr>
                <w:rFonts w:cs="Times New Roman"/>
              </w:rPr>
            </w:pPr>
            <w:r w:rsidRPr="00022D3B">
              <w:rPr>
                <w:rFonts w:cs="Times New Roman"/>
              </w:rPr>
              <w:t>Conventional</w:t>
            </w:r>
          </w:p>
        </w:tc>
        <w:tc>
          <w:tcPr>
            <w:tcW w:w="4508" w:type="dxa"/>
            <w:vAlign w:val="center"/>
          </w:tcPr>
          <w:p w14:paraId="3A4E7AF8" w14:textId="77777777" w:rsidR="001173F4" w:rsidRPr="00022D3B" w:rsidRDefault="001173F4" w:rsidP="00FD48EB">
            <w:pPr>
              <w:jc w:val="center"/>
              <w:rPr>
                <w:rFonts w:cs="Times New Roman"/>
              </w:rPr>
            </w:pPr>
            <w:r w:rsidRPr="00022D3B">
              <w:rPr>
                <w:rFonts w:cs="Times New Roman"/>
              </w:rPr>
              <w:t>611 b</w:t>
            </w:r>
          </w:p>
        </w:tc>
      </w:tr>
      <w:tr w:rsidR="001173F4" w:rsidRPr="00022D3B" w14:paraId="70E7A3EB" w14:textId="77777777" w:rsidTr="00FD48EB">
        <w:tc>
          <w:tcPr>
            <w:tcW w:w="4508" w:type="dxa"/>
            <w:tcBorders>
              <w:bottom w:val="single" w:sz="8" w:space="0" w:color="auto"/>
            </w:tcBorders>
          </w:tcPr>
          <w:p w14:paraId="23FC8056" w14:textId="77777777" w:rsidR="001173F4" w:rsidRPr="00022D3B" w:rsidRDefault="001173F4" w:rsidP="00FD48EB">
            <w:pPr>
              <w:rPr>
                <w:rFonts w:cs="Times New Roman"/>
              </w:rPr>
            </w:pPr>
            <w:r w:rsidRPr="00022D3B">
              <w:rPr>
                <w:rFonts w:cs="Times New Roman"/>
              </w:rPr>
              <w:t>Nontreated</w:t>
            </w:r>
          </w:p>
        </w:tc>
        <w:tc>
          <w:tcPr>
            <w:tcW w:w="4508" w:type="dxa"/>
            <w:tcBorders>
              <w:bottom w:val="single" w:sz="8" w:space="0" w:color="auto"/>
            </w:tcBorders>
            <w:vAlign w:val="center"/>
          </w:tcPr>
          <w:p w14:paraId="28D43AFC" w14:textId="77777777" w:rsidR="001173F4" w:rsidRPr="00022D3B" w:rsidRDefault="001173F4" w:rsidP="00FD48EB">
            <w:pPr>
              <w:jc w:val="center"/>
              <w:rPr>
                <w:rFonts w:cs="Times New Roman"/>
              </w:rPr>
            </w:pPr>
            <w:r w:rsidRPr="00022D3B">
              <w:rPr>
                <w:rFonts w:cs="Times New Roman"/>
              </w:rPr>
              <w:t>1,193 c</w:t>
            </w:r>
          </w:p>
        </w:tc>
      </w:tr>
    </w:tbl>
    <w:p w14:paraId="08935A67" w14:textId="70D01B27" w:rsidR="001173F4" w:rsidRDefault="001173F4" w:rsidP="001173F4">
      <w:pPr>
        <w:pStyle w:val="Normal2"/>
        <w:rPr>
          <w:b/>
          <w:bCs/>
        </w:rPr>
      </w:pPr>
    </w:p>
    <w:p w14:paraId="7AAEA139" w14:textId="77777777" w:rsidR="001173F4" w:rsidRDefault="001173F4" w:rsidP="001173F4">
      <w:pPr>
        <w:pStyle w:val="Normal2"/>
        <w:rPr>
          <w:b/>
          <w:bCs/>
        </w:rPr>
      </w:pPr>
    </w:p>
    <w:p w14:paraId="45B8F162" w14:textId="77777777" w:rsidR="001173F4" w:rsidRPr="00022D3B" w:rsidRDefault="001173F4" w:rsidP="001173F4">
      <w:pPr>
        <w:pStyle w:val="Normal2"/>
      </w:pPr>
      <w:r w:rsidRPr="00490975">
        <w:rPr>
          <w:b/>
          <w:bCs/>
        </w:rPr>
        <w:t>Table S</w:t>
      </w:r>
      <w:r>
        <w:rPr>
          <w:b/>
          <w:bCs/>
        </w:rPr>
        <w:t>2</w:t>
      </w:r>
      <w:r>
        <w:t>. Density of annual sowthistle and prickly lettuce at the RS2 trial site prior to sowing at the beginning of the 2019 growing season. Counts have been averaged across the whole site area because there were no significant treatment differences, and values are expressed as mean plant density with sta</w:t>
      </w:r>
      <w:r w:rsidRPr="00022D3B">
        <w:t>ndard error in parentheses.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6062"/>
      </w:tblGrid>
      <w:tr w:rsidR="001173F4" w:rsidRPr="00022D3B" w14:paraId="52B1E1EC" w14:textId="77777777" w:rsidTr="00FD48EB">
        <w:tc>
          <w:tcPr>
            <w:tcW w:w="3005" w:type="dxa"/>
            <w:tcBorders>
              <w:top w:val="single" w:sz="8" w:space="0" w:color="auto"/>
              <w:bottom w:val="single" w:sz="8" w:space="0" w:color="auto"/>
            </w:tcBorders>
          </w:tcPr>
          <w:p w14:paraId="6311116B" w14:textId="77777777" w:rsidR="001173F4" w:rsidRPr="00022D3B" w:rsidRDefault="001173F4" w:rsidP="00FD48EB">
            <w:pPr>
              <w:rPr>
                <w:rFonts w:cs="Times New Roman"/>
              </w:rPr>
            </w:pPr>
          </w:p>
        </w:tc>
        <w:tc>
          <w:tcPr>
            <w:tcW w:w="6062" w:type="dxa"/>
            <w:tcBorders>
              <w:top w:val="single" w:sz="8" w:space="0" w:color="auto"/>
              <w:bottom w:val="single" w:sz="8" w:space="0" w:color="auto"/>
            </w:tcBorders>
          </w:tcPr>
          <w:p w14:paraId="20D62764" w14:textId="77777777" w:rsidR="001173F4" w:rsidRPr="00022D3B" w:rsidRDefault="001173F4" w:rsidP="00FD48EB">
            <w:pPr>
              <w:jc w:val="center"/>
              <w:rPr>
                <w:rFonts w:cs="Times New Roman"/>
              </w:rPr>
            </w:pPr>
            <w:r w:rsidRPr="00022D3B">
              <w:rPr>
                <w:rFonts w:cs="Times New Roman"/>
              </w:rPr>
              <w:t>Weed density</w:t>
            </w:r>
          </w:p>
        </w:tc>
      </w:tr>
      <w:tr w:rsidR="001173F4" w:rsidRPr="00022D3B" w14:paraId="1FB334E4" w14:textId="77777777" w:rsidTr="00FD48EB">
        <w:tc>
          <w:tcPr>
            <w:tcW w:w="3005" w:type="dxa"/>
            <w:tcBorders>
              <w:top w:val="single" w:sz="8" w:space="0" w:color="auto"/>
            </w:tcBorders>
          </w:tcPr>
          <w:p w14:paraId="0D34F63A" w14:textId="77777777" w:rsidR="001173F4" w:rsidRPr="00022D3B" w:rsidRDefault="001173F4" w:rsidP="00FD48EB">
            <w:pPr>
              <w:rPr>
                <w:rFonts w:cs="Times New Roman"/>
              </w:rPr>
            </w:pPr>
          </w:p>
        </w:tc>
        <w:tc>
          <w:tcPr>
            <w:tcW w:w="6062" w:type="dxa"/>
            <w:tcBorders>
              <w:top w:val="single" w:sz="8" w:space="0" w:color="auto"/>
            </w:tcBorders>
          </w:tcPr>
          <w:p w14:paraId="43D6BA3B" w14:textId="77777777" w:rsidR="001173F4" w:rsidRPr="00022D3B" w:rsidRDefault="001173F4" w:rsidP="00FD48EB">
            <w:pPr>
              <w:jc w:val="center"/>
              <w:rPr>
                <w:rFonts w:cs="Times New Roman"/>
              </w:rPr>
            </w:pPr>
            <w:r w:rsidRPr="00022D3B">
              <w:rPr>
                <w:rFonts w:cs="Times New Roman"/>
              </w:rPr>
              <w:t>plants m</w:t>
            </w:r>
            <w:r w:rsidRPr="00022D3B">
              <w:rPr>
                <w:rFonts w:cs="Times New Roman"/>
                <w:vertAlign w:val="superscript"/>
              </w:rPr>
              <w:t>-2</w:t>
            </w:r>
          </w:p>
        </w:tc>
      </w:tr>
      <w:tr w:rsidR="001173F4" w:rsidRPr="00022D3B" w14:paraId="42B21509" w14:textId="77777777" w:rsidTr="00FD48EB">
        <w:tc>
          <w:tcPr>
            <w:tcW w:w="3005" w:type="dxa"/>
          </w:tcPr>
          <w:p w14:paraId="3900BEEF" w14:textId="77777777" w:rsidR="001173F4" w:rsidRPr="00022D3B" w:rsidRDefault="001173F4" w:rsidP="00FD48EB">
            <w:pPr>
              <w:rPr>
                <w:rFonts w:cs="Times New Roman"/>
              </w:rPr>
            </w:pPr>
            <w:r w:rsidRPr="00022D3B">
              <w:rPr>
                <w:rFonts w:cs="Times New Roman"/>
              </w:rPr>
              <w:t>Annual sowthistle</w:t>
            </w:r>
          </w:p>
        </w:tc>
        <w:tc>
          <w:tcPr>
            <w:tcW w:w="6062" w:type="dxa"/>
          </w:tcPr>
          <w:p w14:paraId="6CA9A1D3" w14:textId="77777777" w:rsidR="001173F4" w:rsidRPr="00022D3B" w:rsidRDefault="001173F4" w:rsidP="00FD48EB">
            <w:pPr>
              <w:jc w:val="center"/>
              <w:rPr>
                <w:rFonts w:cs="Times New Roman"/>
              </w:rPr>
            </w:pPr>
            <w:r w:rsidRPr="00022D3B">
              <w:rPr>
                <w:rFonts w:cs="Times New Roman"/>
              </w:rPr>
              <w:t>9.5 (1.3)</w:t>
            </w:r>
          </w:p>
        </w:tc>
      </w:tr>
      <w:tr w:rsidR="001173F4" w:rsidRPr="00022D3B" w14:paraId="56CB5C6D" w14:textId="77777777" w:rsidTr="00FD48EB">
        <w:tc>
          <w:tcPr>
            <w:tcW w:w="3005" w:type="dxa"/>
            <w:tcBorders>
              <w:bottom w:val="single" w:sz="8" w:space="0" w:color="auto"/>
            </w:tcBorders>
          </w:tcPr>
          <w:p w14:paraId="44DDDE00" w14:textId="77777777" w:rsidR="001173F4" w:rsidRPr="00022D3B" w:rsidRDefault="001173F4" w:rsidP="00FD48EB">
            <w:pPr>
              <w:rPr>
                <w:rFonts w:cs="Times New Roman"/>
              </w:rPr>
            </w:pPr>
            <w:r w:rsidRPr="00022D3B">
              <w:rPr>
                <w:rFonts w:cs="Times New Roman"/>
              </w:rPr>
              <w:t>Prickly lettuce</w:t>
            </w:r>
          </w:p>
        </w:tc>
        <w:tc>
          <w:tcPr>
            <w:tcW w:w="6062" w:type="dxa"/>
            <w:tcBorders>
              <w:bottom w:val="single" w:sz="8" w:space="0" w:color="auto"/>
            </w:tcBorders>
          </w:tcPr>
          <w:p w14:paraId="0E9A76C7" w14:textId="77777777" w:rsidR="001173F4" w:rsidRPr="00022D3B" w:rsidRDefault="001173F4" w:rsidP="00FD48EB">
            <w:pPr>
              <w:jc w:val="center"/>
              <w:rPr>
                <w:rFonts w:cs="Times New Roman"/>
              </w:rPr>
            </w:pPr>
            <w:r w:rsidRPr="00022D3B">
              <w:rPr>
                <w:rFonts w:cs="Times New Roman"/>
              </w:rPr>
              <w:t>1.9 (0.48)</w:t>
            </w:r>
          </w:p>
        </w:tc>
      </w:tr>
    </w:tbl>
    <w:p w14:paraId="52A59AE9" w14:textId="77777777" w:rsidR="001173F4" w:rsidRDefault="001173F4" w:rsidP="001173F4">
      <w:pPr>
        <w:rPr>
          <w:rFonts w:cs="Times New Roman"/>
          <w:b/>
          <w:bCs/>
        </w:rPr>
      </w:pPr>
    </w:p>
    <w:p w14:paraId="3AA18C52" w14:textId="77777777" w:rsidR="00D86835" w:rsidRDefault="00D86835"/>
    <w:sectPr w:rsidR="00D86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F4"/>
    <w:rsid w:val="001173F4"/>
    <w:rsid w:val="00182162"/>
    <w:rsid w:val="004C123A"/>
    <w:rsid w:val="005B5C62"/>
    <w:rsid w:val="006F5522"/>
    <w:rsid w:val="007C63AF"/>
    <w:rsid w:val="008B0C81"/>
    <w:rsid w:val="00D86835"/>
    <w:rsid w:val="00EA4800"/>
    <w:rsid w:val="00F65A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5A12"/>
  <w15:chartTrackingRefBased/>
  <w15:docId w15:val="{546C3F5E-FD3A-4BCA-BAFB-AF14C640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F4"/>
    <w:pPr>
      <w:spacing w:line="480" w:lineRule="auto"/>
      <w:ind w:firstLine="431"/>
    </w:pPr>
    <w:rPr>
      <w:rFonts w:ascii="Times New Roman" w:hAnsi="Times New Roman"/>
    </w:rPr>
  </w:style>
  <w:style w:type="paragraph" w:styleId="Heading1">
    <w:name w:val="heading 1"/>
    <w:basedOn w:val="Normal"/>
    <w:next w:val="Normal"/>
    <w:link w:val="Heading1Char"/>
    <w:uiPriority w:val="9"/>
    <w:qFormat/>
    <w:rsid w:val="001173F4"/>
    <w:pPr>
      <w:keepNext/>
      <w:keepLines/>
      <w:spacing w:before="240" w:after="0"/>
      <w:ind w:firstLine="0"/>
      <w:jc w:val="center"/>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3F4"/>
    <w:rPr>
      <w:rFonts w:ascii="Times New Roman" w:eastAsiaTheme="majorEastAsia" w:hAnsi="Times New Roman" w:cstheme="majorBidi"/>
      <w:b/>
      <w:color w:val="000000" w:themeColor="text1"/>
      <w:szCs w:val="32"/>
    </w:rPr>
  </w:style>
  <w:style w:type="table" w:styleId="TableGrid">
    <w:name w:val="Table Grid"/>
    <w:basedOn w:val="TableNormal"/>
    <w:uiPriority w:val="39"/>
    <w:rsid w:val="0011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link w:val="Normal2Char"/>
    <w:qFormat/>
    <w:rsid w:val="001173F4"/>
    <w:pPr>
      <w:spacing w:after="0"/>
      <w:ind w:firstLine="0"/>
    </w:pPr>
  </w:style>
  <w:style w:type="character" w:customStyle="1" w:styleId="Normal2Char">
    <w:name w:val="Normal 2 Char"/>
    <w:basedOn w:val="DefaultParagraphFont"/>
    <w:link w:val="Normal2"/>
    <w:rsid w:val="001173F4"/>
    <w:rPr>
      <w:rFonts w:ascii="Times New Roman" w:hAnsi="Times New Roman"/>
    </w:rPr>
  </w:style>
  <w:style w:type="character" w:styleId="LineNumber">
    <w:name w:val="line number"/>
    <w:basedOn w:val="DefaultParagraphFont"/>
    <w:uiPriority w:val="99"/>
    <w:semiHidden/>
    <w:unhideWhenUsed/>
    <w:rsid w:val="0011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65AF26D8.dotm</Template>
  <TotalTime>2</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Blyth Merriam</dc:creator>
  <cp:keywords/>
  <dc:description/>
  <cp:lastModifiedBy>Alicia Blyth Merriam</cp:lastModifiedBy>
  <cp:revision>3</cp:revision>
  <dcterms:created xsi:type="dcterms:W3CDTF">2020-11-13T07:11:00Z</dcterms:created>
  <dcterms:modified xsi:type="dcterms:W3CDTF">2020-11-13T07:14:00Z</dcterms:modified>
</cp:coreProperties>
</file>