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7559" w14:textId="77777777" w:rsidR="00E4336F" w:rsidRPr="00E4336F" w:rsidRDefault="00E4336F" w:rsidP="00E4336F">
      <w:pPr>
        <w:pStyle w:val="BodyText"/>
        <w:widowControl/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Controlling Herbicide Resistant </w:t>
      </w:r>
      <w:r w:rsidRPr="00514E08">
        <w:rPr>
          <w:b/>
          <w:sz w:val="24"/>
          <w:szCs w:val="24"/>
        </w:rPr>
        <w:t>Annual Bluegrass</w:t>
      </w:r>
      <w:r>
        <w:rPr>
          <w:b/>
          <w:sz w:val="24"/>
          <w:szCs w:val="24"/>
        </w:rPr>
        <w:t xml:space="preserve"> (</w:t>
      </w:r>
      <w:r w:rsidRPr="002D6B40">
        <w:rPr>
          <w:b/>
          <w:i/>
          <w:sz w:val="24"/>
          <w:szCs w:val="24"/>
        </w:rPr>
        <w:t>Poa annua</w:t>
      </w:r>
      <w:r>
        <w:rPr>
          <w:b/>
          <w:sz w:val="24"/>
          <w:szCs w:val="24"/>
        </w:rPr>
        <w:t xml:space="preserve"> L.) </w:t>
      </w:r>
      <w:r>
        <w:rPr>
          <w:b/>
          <w:sz w:val="24"/>
          <w:szCs w:val="24"/>
        </w:rPr>
        <w:br/>
        <w:t>Phenotypes</w:t>
      </w:r>
      <w:r w:rsidRPr="00514E08">
        <w:rPr>
          <w:b/>
          <w:sz w:val="24"/>
          <w:szCs w:val="24"/>
        </w:rPr>
        <w:t xml:space="preserve"> with </w:t>
      </w:r>
      <w:proofErr w:type="spellStart"/>
      <w:r>
        <w:rPr>
          <w:b/>
          <w:sz w:val="24"/>
          <w:szCs w:val="24"/>
        </w:rPr>
        <w:t>Methiozolin</w:t>
      </w:r>
      <w:proofErr w:type="spellEnd"/>
    </w:p>
    <w:p w14:paraId="7FF39C0A" w14:textId="77777777" w:rsidR="00E4336F" w:rsidRPr="00514E08" w:rsidRDefault="00E4336F" w:rsidP="00E4336F">
      <w:pPr>
        <w:pStyle w:val="Heading1A"/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192"/>
          <w:tab w:val="left" w:pos="6336"/>
          <w:tab w:val="left" w:pos="6480"/>
          <w:tab w:val="left" w:pos="6624"/>
          <w:tab w:val="left" w:pos="6768"/>
          <w:tab w:val="left" w:pos="6912"/>
          <w:tab w:val="left" w:pos="7056"/>
          <w:tab w:val="left" w:pos="7200"/>
          <w:tab w:val="left" w:pos="7344"/>
          <w:tab w:val="left" w:pos="7488"/>
          <w:tab w:val="left" w:pos="7632"/>
          <w:tab w:val="left" w:pos="7776"/>
          <w:tab w:val="left" w:pos="7920"/>
          <w:tab w:val="left" w:pos="8064"/>
          <w:tab w:val="left" w:pos="8208"/>
          <w:tab w:val="left" w:pos="8352"/>
          <w:tab w:val="left" w:pos="8496"/>
          <w:tab w:val="left" w:pos="8640"/>
          <w:tab w:val="left" w:pos="8784"/>
        </w:tabs>
        <w:spacing w:line="48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James </w:t>
      </w:r>
      <w:r w:rsidRPr="00514E08">
        <w:rPr>
          <w:rFonts w:ascii="Times New Roman" w:hAnsi="Times New Roman"/>
          <w:szCs w:val="24"/>
        </w:rPr>
        <w:t xml:space="preserve">T. Brosnan, </w:t>
      </w:r>
      <w:r>
        <w:rPr>
          <w:rFonts w:ascii="Times New Roman" w:hAnsi="Times New Roman"/>
          <w:szCs w:val="24"/>
        </w:rPr>
        <w:t>Jose J. Vargas</w:t>
      </w:r>
      <w:r w:rsidRPr="00514E0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Gregory K. Breeden, </w:t>
      </w:r>
      <w:r>
        <w:rPr>
          <w:rFonts w:ascii="Times New Roman" w:hAnsi="Times New Roman"/>
          <w:szCs w:val="24"/>
        </w:rPr>
        <w:br/>
        <w:t xml:space="preserve">Sarah L. </w:t>
      </w:r>
      <w:proofErr w:type="spellStart"/>
      <w:r>
        <w:rPr>
          <w:rFonts w:ascii="Times New Roman" w:hAnsi="Times New Roman"/>
          <w:szCs w:val="24"/>
        </w:rPr>
        <w:t>Boggess</w:t>
      </w:r>
      <w:proofErr w:type="spellEnd"/>
      <w:r>
        <w:rPr>
          <w:rFonts w:ascii="Times New Roman" w:hAnsi="Times New Roman"/>
          <w:szCs w:val="24"/>
        </w:rPr>
        <w:t xml:space="preserve">, Margaret </w:t>
      </w:r>
      <w:r w:rsidRPr="00514E08">
        <w:rPr>
          <w:rFonts w:ascii="Times New Roman" w:hAnsi="Times New Roman"/>
          <w:szCs w:val="24"/>
        </w:rPr>
        <w:t xml:space="preserve">A. </w:t>
      </w:r>
      <w:proofErr w:type="spellStart"/>
      <w:r>
        <w:rPr>
          <w:rFonts w:ascii="Times New Roman" w:hAnsi="Times New Roman"/>
          <w:szCs w:val="24"/>
        </w:rPr>
        <w:t>Staton</w:t>
      </w:r>
      <w:proofErr w:type="spellEnd"/>
      <w:r>
        <w:rPr>
          <w:rFonts w:ascii="Times New Roman" w:hAnsi="Times New Roman"/>
          <w:szCs w:val="24"/>
        </w:rPr>
        <w:t xml:space="preserve">, Phillip A. </w:t>
      </w:r>
      <w:proofErr w:type="spellStart"/>
      <w:r>
        <w:rPr>
          <w:rFonts w:ascii="Times New Roman" w:hAnsi="Times New Roman"/>
          <w:szCs w:val="24"/>
        </w:rPr>
        <w:t>Wadl</w:t>
      </w:r>
      <w:proofErr w:type="spellEnd"/>
      <w:r>
        <w:rPr>
          <w:rFonts w:ascii="Times New Roman" w:hAnsi="Times New Roman"/>
          <w:szCs w:val="24"/>
        </w:rPr>
        <w:t xml:space="preserve">, and Robert N. </w:t>
      </w:r>
      <w:proofErr w:type="spellStart"/>
      <w:r>
        <w:rPr>
          <w:rFonts w:ascii="Times New Roman" w:hAnsi="Times New Roman"/>
          <w:szCs w:val="24"/>
        </w:rPr>
        <w:t>Trigiano</w:t>
      </w:r>
      <w:proofErr w:type="spellEnd"/>
    </w:p>
    <w:p w14:paraId="3FB61B20" w14:textId="77777777" w:rsidR="00A73675" w:rsidRDefault="00A73675">
      <w:pPr>
        <w:rPr>
          <w:rFonts w:ascii="Times New Roman" w:hAnsi="Times New Roman" w:cs="Times New Roman"/>
        </w:rPr>
      </w:pPr>
    </w:p>
    <w:p w14:paraId="483B7F41" w14:textId="77777777" w:rsidR="00A73675" w:rsidRPr="00E4336F" w:rsidRDefault="00E4336F" w:rsidP="00E433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14:paraId="2D8DB848" w14:textId="77777777" w:rsidR="00A73675" w:rsidRDefault="00A73675">
      <w:pPr>
        <w:rPr>
          <w:rFonts w:ascii="Times New Roman" w:hAnsi="Times New Roman" w:cs="Times New Roman"/>
        </w:rPr>
      </w:pPr>
    </w:p>
    <w:p w14:paraId="30E36990" w14:textId="38ADDBCD" w:rsidR="0055228C" w:rsidRPr="00B11C1D" w:rsidRDefault="00A73675">
      <w:pPr>
        <w:rPr>
          <w:rFonts w:ascii="Times New Roman" w:hAnsi="Times New Roman" w:cs="Times New Roman"/>
        </w:rPr>
      </w:pPr>
      <w:r w:rsidRPr="00A73675">
        <w:rPr>
          <w:rFonts w:ascii="Times New Roman" w:hAnsi="Times New Roman" w:cs="Times New Roman"/>
        </w:rPr>
        <w:t>Primers us</w:t>
      </w:r>
      <w:r w:rsidR="007E69DB">
        <w:rPr>
          <w:rFonts w:ascii="Times New Roman" w:hAnsi="Times New Roman" w:cs="Times New Roman"/>
        </w:rPr>
        <w:t xml:space="preserve">ed </w:t>
      </w:r>
      <w:r w:rsidR="00B11C1D">
        <w:rPr>
          <w:rFonts w:ascii="Times New Roman" w:hAnsi="Times New Roman" w:cs="Times New Roman"/>
        </w:rPr>
        <w:t>to amplify</w:t>
      </w:r>
      <w:r w:rsidR="007E69DB">
        <w:rPr>
          <w:rFonts w:ascii="Times New Roman" w:hAnsi="Times New Roman" w:cs="Times New Roman"/>
        </w:rPr>
        <w:t xml:space="preserve"> alpha-tubulin</w:t>
      </w:r>
      <w:r w:rsidR="00B11C1D">
        <w:rPr>
          <w:rFonts w:ascii="Times New Roman" w:hAnsi="Times New Roman" w:cs="Times New Roman"/>
        </w:rPr>
        <w:t xml:space="preserve"> loci</w:t>
      </w:r>
      <w:r w:rsidR="007E69DB">
        <w:rPr>
          <w:rFonts w:ascii="Times New Roman" w:hAnsi="Times New Roman" w:cs="Times New Roman"/>
        </w:rPr>
        <w:t xml:space="preserve"> were developed from unpublished pilot research conducted by the authors with </w:t>
      </w:r>
      <w:r w:rsidR="007E69DB" w:rsidRPr="007E69DB">
        <w:rPr>
          <w:rFonts w:ascii="Times New Roman" w:hAnsi="Times New Roman" w:cs="Times New Roman"/>
          <w:i/>
        </w:rPr>
        <w:t>Poa annua</w:t>
      </w:r>
      <w:r w:rsidR="00B11C1D">
        <w:rPr>
          <w:rFonts w:ascii="Times New Roman" w:hAnsi="Times New Roman" w:cs="Times New Roman"/>
        </w:rPr>
        <w:t xml:space="preserve"> L.</w:t>
      </w:r>
      <w:r w:rsidR="0007308F">
        <w:rPr>
          <w:rFonts w:ascii="Times New Roman" w:hAnsi="Times New Roman" w:cs="Times New Roman"/>
        </w:rPr>
        <w:t xml:space="preserve"> The PCR reaction implemented with these primers was identical to that of Brosnan et al. (2016b).</w:t>
      </w:r>
    </w:p>
    <w:p w14:paraId="1F559720" w14:textId="77777777" w:rsidR="00A73675" w:rsidRPr="00A73675" w:rsidRDefault="00A73675" w:rsidP="00A736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73675">
        <w:rPr>
          <w:rFonts w:ascii="Times New Roman" w:hAnsi="Times New Roman" w:cs="Times New Roman"/>
        </w:rPr>
        <w:t xml:space="preserve">Forward: </w:t>
      </w:r>
      <w:r w:rsidR="00E4336F">
        <w:rPr>
          <w:rFonts w:ascii="Times New Roman" w:hAnsi="Times New Roman" w:cs="Times New Roman"/>
        </w:rPr>
        <w:t xml:space="preserve">5’ </w:t>
      </w:r>
      <w:r w:rsidRPr="00A73675">
        <w:rPr>
          <w:rFonts w:ascii="Times New Roman" w:hAnsi="Times New Roman" w:cs="Times New Roman"/>
        </w:rPr>
        <w:t>CCTACACCAACCTCAACAGG</w:t>
      </w:r>
      <w:r w:rsidR="00E4336F">
        <w:rPr>
          <w:rFonts w:ascii="Times New Roman" w:hAnsi="Times New Roman" w:cs="Times New Roman"/>
        </w:rPr>
        <w:t xml:space="preserve"> 3’</w:t>
      </w:r>
    </w:p>
    <w:p w14:paraId="319369FD" w14:textId="77777777" w:rsidR="00A73675" w:rsidRDefault="00A73675" w:rsidP="00E433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73675">
        <w:rPr>
          <w:rFonts w:ascii="Times New Roman" w:hAnsi="Times New Roman" w:cs="Times New Roman"/>
        </w:rPr>
        <w:t xml:space="preserve">Reverse: </w:t>
      </w:r>
      <w:r w:rsidR="00E4336F">
        <w:rPr>
          <w:rFonts w:ascii="Times New Roman" w:hAnsi="Times New Roman" w:cs="Times New Roman"/>
        </w:rPr>
        <w:t xml:space="preserve">5’ </w:t>
      </w:r>
      <w:r w:rsidRPr="00A73675">
        <w:rPr>
          <w:rFonts w:ascii="Times New Roman" w:hAnsi="Times New Roman" w:cs="Times New Roman"/>
        </w:rPr>
        <w:t>CGAACTCAGCACCAACTTCC</w:t>
      </w:r>
      <w:r w:rsidR="00E4336F">
        <w:rPr>
          <w:rFonts w:ascii="Times New Roman" w:hAnsi="Times New Roman" w:cs="Times New Roman"/>
        </w:rPr>
        <w:t xml:space="preserve"> 3’</w:t>
      </w:r>
    </w:p>
    <w:p w14:paraId="7F55CDB2" w14:textId="77777777" w:rsidR="00E4336F" w:rsidRPr="00A73675" w:rsidRDefault="00E4336F" w:rsidP="00E433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9C12E1C" w14:textId="77777777" w:rsidR="00A73675" w:rsidRPr="00B11C1D" w:rsidRDefault="00A73675" w:rsidP="00A73675">
      <w:pPr>
        <w:rPr>
          <w:rFonts w:ascii="Times New Roman" w:hAnsi="Times New Roman" w:cs="Times New Roman"/>
        </w:rPr>
      </w:pPr>
      <w:r w:rsidRPr="00A73675">
        <w:rPr>
          <w:rFonts w:ascii="Times New Roman" w:hAnsi="Times New Roman" w:cs="Times New Roman"/>
        </w:rPr>
        <w:t xml:space="preserve">Primers used </w:t>
      </w:r>
      <w:r w:rsidR="00B11C1D">
        <w:rPr>
          <w:rFonts w:ascii="Times New Roman" w:hAnsi="Times New Roman" w:cs="Times New Roman"/>
        </w:rPr>
        <w:t>to amplify</w:t>
      </w:r>
      <w:r w:rsidRPr="00A73675">
        <w:rPr>
          <w:rFonts w:ascii="Times New Roman" w:hAnsi="Times New Roman" w:cs="Times New Roman"/>
        </w:rPr>
        <w:t xml:space="preserve"> </w:t>
      </w:r>
      <w:r w:rsidR="00B11C1D" w:rsidRPr="009D78B1">
        <w:rPr>
          <w:rFonts w:ascii="Times New Roman" w:hAnsi="Times New Roman"/>
        </w:rPr>
        <w:t>enolpyruvylshikimate-3-phosphate synthase</w:t>
      </w:r>
      <w:r w:rsidR="00B11C1D">
        <w:rPr>
          <w:rFonts w:ascii="Times New Roman" w:hAnsi="Times New Roman"/>
        </w:rPr>
        <w:t xml:space="preserve"> (EPSPS) </w:t>
      </w:r>
      <w:r w:rsidR="00B11C1D">
        <w:rPr>
          <w:rFonts w:ascii="Times New Roman" w:hAnsi="Times New Roman" w:cs="Times New Roman"/>
        </w:rPr>
        <w:t>loci were identical to those published by</w:t>
      </w:r>
      <w:r w:rsidR="007E69DB">
        <w:rPr>
          <w:rFonts w:ascii="Times New Roman" w:hAnsi="Times New Roman" w:cs="Times New Roman"/>
        </w:rPr>
        <w:t xml:space="preserve"> Liu et al. </w:t>
      </w:r>
      <w:r w:rsidR="00B11C1D">
        <w:rPr>
          <w:rFonts w:ascii="Times New Roman" w:hAnsi="Times New Roman" w:cs="Times New Roman"/>
        </w:rPr>
        <w:t>(2013) on</w:t>
      </w:r>
      <w:r w:rsidR="007E69DB">
        <w:rPr>
          <w:rFonts w:ascii="Times New Roman" w:hAnsi="Times New Roman" w:cs="Times New Roman"/>
        </w:rPr>
        <w:t xml:space="preserve"> </w:t>
      </w:r>
      <w:r w:rsidR="007E69DB" w:rsidRPr="007E69DB">
        <w:rPr>
          <w:rFonts w:ascii="Times New Roman" w:hAnsi="Times New Roman" w:cs="Times New Roman"/>
          <w:i/>
        </w:rPr>
        <w:t>Lolium perenne</w:t>
      </w:r>
      <w:r w:rsidR="00B11C1D">
        <w:rPr>
          <w:rFonts w:ascii="Times New Roman" w:hAnsi="Times New Roman" w:cs="Times New Roman"/>
          <w:i/>
        </w:rPr>
        <w:t xml:space="preserve"> </w:t>
      </w:r>
      <w:r w:rsidR="00B11C1D">
        <w:rPr>
          <w:rFonts w:ascii="Times New Roman" w:hAnsi="Times New Roman" w:cs="Times New Roman"/>
        </w:rPr>
        <w:t xml:space="preserve">spp. </w:t>
      </w:r>
      <w:proofErr w:type="spellStart"/>
      <w:r w:rsidR="00B11C1D" w:rsidRPr="00B11C1D">
        <w:rPr>
          <w:rFonts w:ascii="Times New Roman" w:hAnsi="Times New Roman" w:cs="Times New Roman"/>
          <w:i/>
        </w:rPr>
        <w:t>multiflorum</w:t>
      </w:r>
      <w:proofErr w:type="spellEnd"/>
    </w:p>
    <w:p w14:paraId="2312B92C" w14:textId="77777777" w:rsidR="00A73675" w:rsidRDefault="00A73675" w:rsidP="00A73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Forward: </w:t>
      </w:r>
      <w:r w:rsidR="00E4336F">
        <w:rPr>
          <w:rFonts w:ascii="Times New Roman" w:hAnsi="Times New Roman" w:cs="Times New Roman"/>
        </w:rPr>
        <w:t xml:space="preserve">5’ </w:t>
      </w:r>
      <w:r>
        <w:rPr>
          <w:rFonts w:ascii="Times New Roman" w:hAnsi="Times New Roman" w:cs="Times New Roman"/>
        </w:rPr>
        <w:t>AGCTGTAGTCGTTGGCTGTG</w:t>
      </w:r>
      <w:r w:rsidR="00E4336F">
        <w:rPr>
          <w:rFonts w:ascii="Times New Roman" w:hAnsi="Times New Roman" w:cs="Times New Roman"/>
        </w:rPr>
        <w:t xml:space="preserve"> 3’</w:t>
      </w:r>
      <w:r w:rsidR="007E69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Reverse: </w:t>
      </w:r>
      <w:r w:rsidR="00E4336F">
        <w:rPr>
          <w:rFonts w:ascii="Times New Roman" w:hAnsi="Times New Roman" w:cs="Times New Roman"/>
        </w:rPr>
        <w:t xml:space="preserve">5’ </w:t>
      </w:r>
      <w:r>
        <w:rPr>
          <w:rFonts w:ascii="Times New Roman" w:hAnsi="Times New Roman" w:cs="Times New Roman"/>
        </w:rPr>
        <w:t>TCGCTCCCTCATTCTTGGTA</w:t>
      </w:r>
      <w:r w:rsidR="00E4336F">
        <w:rPr>
          <w:rFonts w:ascii="Times New Roman" w:hAnsi="Times New Roman" w:cs="Times New Roman"/>
        </w:rPr>
        <w:t xml:space="preserve"> 3’</w:t>
      </w:r>
    </w:p>
    <w:p w14:paraId="20568E06" w14:textId="77777777" w:rsidR="00E4336F" w:rsidRPr="00A73675" w:rsidRDefault="00E4336F" w:rsidP="00A73675">
      <w:pPr>
        <w:rPr>
          <w:rFonts w:ascii="Times New Roman" w:hAnsi="Times New Roman" w:cs="Times New Roman"/>
        </w:rPr>
      </w:pPr>
    </w:p>
    <w:p w14:paraId="33934922" w14:textId="6A961F3A" w:rsidR="00A73675" w:rsidRPr="00A73675" w:rsidRDefault="00A73675" w:rsidP="00A73675">
      <w:pPr>
        <w:rPr>
          <w:rFonts w:ascii="Times New Roman" w:hAnsi="Times New Roman" w:cs="Times New Roman"/>
        </w:rPr>
      </w:pPr>
      <w:r w:rsidRPr="00A73675">
        <w:rPr>
          <w:rFonts w:ascii="Times New Roman" w:hAnsi="Times New Roman" w:cs="Times New Roman"/>
        </w:rPr>
        <w:t xml:space="preserve">Primers used </w:t>
      </w:r>
      <w:r w:rsidR="00B11C1D">
        <w:rPr>
          <w:rFonts w:ascii="Times New Roman" w:hAnsi="Times New Roman" w:cs="Times New Roman"/>
        </w:rPr>
        <w:t>to amplify</w:t>
      </w:r>
      <w:r w:rsidRPr="00A73675">
        <w:rPr>
          <w:rFonts w:ascii="Times New Roman" w:hAnsi="Times New Roman" w:cs="Times New Roman"/>
        </w:rPr>
        <w:t xml:space="preserve"> </w:t>
      </w:r>
      <w:proofErr w:type="spellStart"/>
      <w:r w:rsidRPr="00A73675">
        <w:rPr>
          <w:rFonts w:ascii="Times New Roman" w:hAnsi="Times New Roman" w:cs="Times New Roman"/>
          <w:i/>
        </w:rPr>
        <w:t>psbA</w:t>
      </w:r>
      <w:proofErr w:type="spellEnd"/>
      <w:r w:rsidRPr="00A73675">
        <w:rPr>
          <w:rFonts w:ascii="Times New Roman" w:hAnsi="Times New Roman" w:cs="Times New Roman"/>
        </w:rPr>
        <w:t xml:space="preserve"> </w:t>
      </w:r>
      <w:r w:rsidR="00B11C1D">
        <w:rPr>
          <w:rFonts w:ascii="Times New Roman" w:hAnsi="Times New Roman" w:cs="Times New Roman"/>
        </w:rPr>
        <w:t xml:space="preserve">loci were developed using the </w:t>
      </w:r>
      <w:r w:rsidR="00F56BA2">
        <w:rPr>
          <w:rFonts w:ascii="Times New Roman" w:hAnsi="Times New Roman" w:cs="Times New Roman"/>
        </w:rPr>
        <w:t>work</w:t>
      </w:r>
      <w:bookmarkStart w:id="0" w:name="_GoBack"/>
      <w:bookmarkEnd w:id="0"/>
      <w:r w:rsidR="00B11C1D">
        <w:rPr>
          <w:rFonts w:ascii="Times New Roman" w:hAnsi="Times New Roman" w:cs="Times New Roman"/>
        </w:rPr>
        <w:t xml:space="preserve"> of Brosnan et al. (2016</w:t>
      </w:r>
      <w:r w:rsidR="001439EB">
        <w:rPr>
          <w:rFonts w:ascii="Times New Roman" w:hAnsi="Times New Roman" w:cs="Times New Roman"/>
        </w:rPr>
        <w:t>a</w:t>
      </w:r>
      <w:r w:rsidR="00B11C1D">
        <w:rPr>
          <w:rFonts w:ascii="Times New Roman" w:hAnsi="Times New Roman" w:cs="Times New Roman"/>
        </w:rPr>
        <w:t xml:space="preserve">) </w:t>
      </w:r>
      <w:r w:rsidR="00E90C6A">
        <w:rPr>
          <w:rFonts w:ascii="Times New Roman" w:hAnsi="Times New Roman" w:cs="Times New Roman"/>
        </w:rPr>
        <w:t xml:space="preserve">and Brosnan et al. (2016b) </w:t>
      </w:r>
      <w:r w:rsidR="00B11C1D">
        <w:rPr>
          <w:rFonts w:ascii="Times New Roman" w:hAnsi="Times New Roman" w:cs="Times New Roman"/>
        </w:rPr>
        <w:t>on</w:t>
      </w:r>
      <w:r w:rsidR="007E69DB">
        <w:rPr>
          <w:rFonts w:ascii="Times New Roman" w:hAnsi="Times New Roman" w:cs="Times New Roman"/>
        </w:rPr>
        <w:t xml:space="preserve"> </w:t>
      </w:r>
      <w:r w:rsidR="007E69DB" w:rsidRPr="007E69DB">
        <w:rPr>
          <w:rFonts w:ascii="Times New Roman" w:hAnsi="Times New Roman" w:cs="Times New Roman"/>
          <w:i/>
        </w:rPr>
        <w:t>Poa annua</w:t>
      </w:r>
      <w:r w:rsidR="00B11C1D">
        <w:rPr>
          <w:rFonts w:ascii="Times New Roman" w:hAnsi="Times New Roman" w:cs="Times New Roman"/>
          <w:i/>
        </w:rPr>
        <w:t xml:space="preserve"> </w:t>
      </w:r>
      <w:r w:rsidR="00B11C1D" w:rsidRPr="00B11C1D">
        <w:rPr>
          <w:rFonts w:ascii="Times New Roman" w:hAnsi="Times New Roman" w:cs="Times New Roman"/>
        </w:rPr>
        <w:t>L</w:t>
      </w:r>
      <w:r w:rsidR="00B11C1D">
        <w:rPr>
          <w:rFonts w:ascii="Times New Roman" w:hAnsi="Times New Roman" w:cs="Times New Roman"/>
        </w:rPr>
        <w:t>.</w:t>
      </w:r>
    </w:p>
    <w:p w14:paraId="346965BC" w14:textId="77777777" w:rsidR="00A73675" w:rsidRDefault="00A73675" w:rsidP="00A73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Forward: </w:t>
      </w:r>
      <w:r w:rsidR="00E4336F">
        <w:rPr>
          <w:rFonts w:ascii="Times New Roman" w:hAnsi="Times New Roman" w:cs="Times New Roman"/>
        </w:rPr>
        <w:t xml:space="preserve">5’ </w:t>
      </w:r>
      <w:r>
        <w:rPr>
          <w:rFonts w:ascii="Times New Roman" w:hAnsi="Times New Roman" w:cs="Times New Roman"/>
        </w:rPr>
        <w:t>AAACGAATTTGCTAATGAGGGTT</w:t>
      </w:r>
      <w:r w:rsidR="00E4336F">
        <w:rPr>
          <w:rFonts w:ascii="Times New Roman" w:hAnsi="Times New Roman" w:cs="Times New Roman"/>
        </w:rPr>
        <w:t xml:space="preserve"> 3’</w:t>
      </w:r>
      <w:r w:rsidR="007E69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Reverse: </w:t>
      </w:r>
      <w:r w:rsidR="00E4336F">
        <w:rPr>
          <w:rFonts w:ascii="Times New Roman" w:hAnsi="Times New Roman" w:cs="Times New Roman"/>
        </w:rPr>
        <w:t xml:space="preserve">5’ </w:t>
      </w:r>
      <w:r>
        <w:rPr>
          <w:rFonts w:ascii="Times New Roman" w:hAnsi="Times New Roman" w:cs="Times New Roman"/>
        </w:rPr>
        <w:t>TTGGGTATTTCTAGCTTTCCTTT</w:t>
      </w:r>
      <w:r w:rsidR="00E4336F">
        <w:rPr>
          <w:rFonts w:ascii="Times New Roman" w:hAnsi="Times New Roman" w:cs="Times New Roman"/>
        </w:rPr>
        <w:t xml:space="preserve"> 3’</w:t>
      </w:r>
    </w:p>
    <w:p w14:paraId="4A70A29B" w14:textId="77777777" w:rsidR="00B11C1D" w:rsidRDefault="00B11C1D" w:rsidP="00A73675">
      <w:pPr>
        <w:rPr>
          <w:rFonts w:ascii="Times New Roman" w:hAnsi="Times New Roman" w:cs="Times New Roman"/>
        </w:rPr>
      </w:pPr>
    </w:p>
    <w:p w14:paraId="5E1AEED2" w14:textId="77777777" w:rsidR="00B11C1D" w:rsidRDefault="00B11C1D" w:rsidP="00E4336F">
      <w:pPr>
        <w:spacing w:line="360" w:lineRule="auto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Liu M, </w:t>
      </w:r>
      <w:proofErr w:type="spellStart"/>
      <w:r>
        <w:rPr>
          <w:rFonts w:ascii="Times New Roman" w:hAnsi="Times New Roman" w:cs="Times New Roman"/>
        </w:rPr>
        <w:t>Hulting</w:t>
      </w:r>
      <w:proofErr w:type="spellEnd"/>
      <w:r>
        <w:rPr>
          <w:rFonts w:ascii="Times New Roman" w:hAnsi="Times New Roman" w:cs="Times New Roman"/>
        </w:rPr>
        <w:t xml:space="preserve"> AG, Mallory-Smith CA (2013) Characterization of multiple-herbicide-resistant Italian ryegrass (</w:t>
      </w:r>
      <w:r w:rsidRPr="00B11C1D">
        <w:rPr>
          <w:rFonts w:ascii="Times New Roman" w:hAnsi="Times New Roman" w:cs="Times New Roman"/>
          <w:i/>
        </w:rPr>
        <w:t>Lolium perenne</w:t>
      </w:r>
      <w:r>
        <w:rPr>
          <w:rFonts w:ascii="Times New Roman" w:hAnsi="Times New Roman" w:cs="Times New Roman"/>
        </w:rPr>
        <w:t xml:space="preserve"> spp. </w:t>
      </w:r>
      <w:proofErr w:type="spellStart"/>
      <w:r w:rsidRPr="00B11C1D">
        <w:rPr>
          <w:rFonts w:ascii="Times New Roman" w:hAnsi="Times New Roman" w:cs="Times New Roman"/>
          <w:i/>
        </w:rPr>
        <w:t>multiflorum</w:t>
      </w:r>
      <w:proofErr w:type="spellEnd"/>
      <w:r>
        <w:rPr>
          <w:rFonts w:ascii="Times New Roman" w:hAnsi="Times New Roman" w:cs="Times New Roman"/>
        </w:rPr>
        <w:t>). Pest Mgmt. Sci 70:1145-1150.</w:t>
      </w:r>
    </w:p>
    <w:p w14:paraId="4A48D850" w14:textId="77777777" w:rsidR="00B11C1D" w:rsidRDefault="00B11C1D" w:rsidP="00E4336F">
      <w:pPr>
        <w:spacing w:after="0" w:line="360" w:lineRule="auto"/>
        <w:ind w:left="810" w:hanging="810"/>
        <w:rPr>
          <w:rFonts w:ascii="Times New Roman" w:hAnsi="Times New Roman"/>
        </w:rPr>
      </w:pPr>
      <w:r w:rsidRPr="00E1170F">
        <w:rPr>
          <w:rFonts w:ascii="Times New Roman" w:hAnsi="Times New Roman"/>
        </w:rPr>
        <w:t xml:space="preserve">Brosnan JT, Vargas JJ, Breeden GK, Grier L, Aponte RA, </w:t>
      </w:r>
      <w:proofErr w:type="spellStart"/>
      <w:r w:rsidRPr="00E1170F">
        <w:rPr>
          <w:rFonts w:ascii="Times New Roman" w:hAnsi="Times New Roman"/>
        </w:rPr>
        <w:t>Tresch</w:t>
      </w:r>
      <w:proofErr w:type="spellEnd"/>
      <w:r w:rsidRPr="00E1170F">
        <w:rPr>
          <w:rFonts w:ascii="Times New Roman" w:hAnsi="Times New Roman"/>
        </w:rPr>
        <w:t xml:space="preserve"> S, </w:t>
      </w:r>
      <w:proofErr w:type="spellStart"/>
      <w:r w:rsidRPr="00E1170F">
        <w:rPr>
          <w:rFonts w:ascii="Times New Roman" w:hAnsi="Times New Roman"/>
        </w:rPr>
        <w:t>LaForest</w:t>
      </w:r>
      <w:proofErr w:type="spellEnd"/>
      <w:r w:rsidRPr="00E1170F">
        <w:rPr>
          <w:rFonts w:ascii="Times New Roman" w:hAnsi="Times New Roman"/>
        </w:rPr>
        <w:t xml:space="preserve"> M (2016</w:t>
      </w:r>
      <w:r>
        <w:rPr>
          <w:rFonts w:ascii="Times New Roman" w:hAnsi="Times New Roman"/>
        </w:rPr>
        <w:t>a</w:t>
      </w:r>
      <w:r w:rsidRPr="00E1170F">
        <w:rPr>
          <w:rFonts w:ascii="Times New Roman" w:hAnsi="Times New Roman"/>
        </w:rPr>
        <w:t xml:space="preserve">) A new amino acid substitution (Ala-205-Phe) in </w:t>
      </w:r>
      <w:proofErr w:type="spellStart"/>
      <w:r w:rsidRPr="00E1170F">
        <w:rPr>
          <w:rFonts w:ascii="Times New Roman" w:hAnsi="Times New Roman"/>
        </w:rPr>
        <w:t>acetolactate</w:t>
      </w:r>
      <w:proofErr w:type="spellEnd"/>
      <w:r w:rsidRPr="00E1170F">
        <w:rPr>
          <w:rFonts w:ascii="Times New Roman" w:hAnsi="Times New Roman"/>
        </w:rPr>
        <w:t xml:space="preserve"> synthase (ALS) confers broad spectrum resistance to ALS-inhibiting herbicides. </w:t>
      </w:r>
      <w:proofErr w:type="spellStart"/>
      <w:r w:rsidRPr="00E1170F">
        <w:rPr>
          <w:rFonts w:ascii="Times New Roman" w:hAnsi="Times New Roman"/>
        </w:rPr>
        <w:t>Planta</w:t>
      </w:r>
      <w:proofErr w:type="spellEnd"/>
      <w:r w:rsidRPr="00E1170F">
        <w:rPr>
          <w:rFonts w:ascii="Times New Roman" w:hAnsi="Times New Roman"/>
        </w:rPr>
        <w:t>. 243:149-159</w:t>
      </w:r>
    </w:p>
    <w:p w14:paraId="7B5CC45E" w14:textId="071CE3E6" w:rsidR="00E90C6A" w:rsidRPr="008310D0" w:rsidRDefault="00E90C6A" w:rsidP="00E90C6A">
      <w:pPr>
        <w:spacing w:after="0" w:line="360" w:lineRule="auto"/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Brosnan JT, Breeden GK, Vargas JJ, </w:t>
      </w:r>
      <w:proofErr w:type="spellStart"/>
      <w:r>
        <w:rPr>
          <w:rFonts w:ascii="Times New Roman" w:hAnsi="Times New Roman"/>
        </w:rPr>
        <w:t>Trigiano</w:t>
      </w:r>
      <w:proofErr w:type="spellEnd"/>
      <w:r>
        <w:rPr>
          <w:rFonts w:ascii="Times New Roman" w:hAnsi="Times New Roman"/>
        </w:rPr>
        <w:t xml:space="preserve"> RN, </w:t>
      </w:r>
      <w:proofErr w:type="spellStart"/>
      <w:r>
        <w:rPr>
          <w:rFonts w:ascii="Times New Roman" w:hAnsi="Times New Roman"/>
        </w:rPr>
        <w:t>Boggess</w:t>
      </w:r>
      <w:proofErr w:type="spellEnd"/>
      <w:r>
        <w:rPr>
          <w:rFonts w:ascii="Times New Roman" w:hAnsi="Times New Roman"/>
        </w:rPr>
        <w:t xml:space="preserve"> SL, </w:t>
      </w:r>
      <w:proofErr w:type="spellStart"/>
      <w:r>
        <w:rPr>
          <w:rFonts w:ascii="Times New Roman" w:hAnsi="Times New Roman"/>
        </w:rPr>
        <w:t>Staton</w:t>
      </w:r>
      <w:proofErr w:type="spellEnd"/>
      <w:r>
        <w:rPr>
          <w:rFonts w:ascii="Times New Roman" w:hAnsi="Times New Roman"/>
        </w:rPr>
        <w:t xml:space="preserve"> ME (2016b). </w:t>
      </w:r>
      <w:proofErr w:type="gramStart"/>
      <w:r>
        <w:rPr>
          <w:rFonts w:ascii="Times New Roman" w:hAnsi="Times New Roman"/>
        </w:rPr>
        <w:t>Confirmation and control of annual bluegrass resistant to photosystem II inhibiting herbicides.</w:t>
      </w:r>
      <w:proofErr w:type="gramEnd"/>
      <w:r>
        <w:rPr>
          <w:rFonts w:ascii="Times New Roman" w:hAnsi="Times New Roman"/>
        </w:rPr>
        <w:t xml:space="preserve"> Int. Turf. Soc. Res. J. </w:t>
      </w:r>
      <w:r w:rsidR="00F56BA2">
        <w:rPr>
          <w:rFonts w:ascii="Times New Roman" w:hAnsi="Times New Roman"/>
        </w:rPr>
        <w:t>(</w:t>
      </w:r>
      <w:r w:rsidR="00F56BA2" w:rsidRPr="00F56BA2">
        <w:rPr>
          <w:rFonts w:ascii="Times New Roman" w:hAnsi="Times New Roman"/>
          <w:i/>
        </w:rPr>
        <w:t>In press</w:t>
      </w:r>
      <w:r w:rsidR="00F56BA2">
        <w:rPr>
          <w:rFonts w:ascii="Times New Roman" w:hAnsi="Times New Roman"/>
        </w:rPr>
        <w:t xml:space="preserve">). </w:t>
      </w:r>
      <w:proofErr w:type="spellStart"/>
      <w:proofErr w:type="gramStart"/>
      <w:r w:rsidR="00F56BA2">
        <w:rPr>
          <w:rFonts w:ascii="Times New Roman" w:hAnsi="Times New Roman"/>
        </w:rPr>
        <w:t>doi</w:t>
      </w:r>
      <w:proofErr w:type="spellEnd"/>
      <w:proofErr w:type="gramEnd"/>
      <w:r w:rsidR="00F56BA2">
        <w:rPr>
          <w:rFonts w:ascii="Times New Roman" w:hAnsi="Times New Roman"/>
        </w:rPr>
        <w:t xml:space="preserve">: </w:t>
      </w:r>
      <w:r w:rsidR="00F56BA2" w:rsidRPr="00F56BA2">
        <w:rPr>
          <w:rFonts w:ascii="Times New Roman" w:hAnsi="Times New Roman"/>
        </w:rPr>
        <w:t>10.2134/itsrj2016.05.0359</w:t>
      </w:r>
    </w:p>
    <w:p w14:paraId="285C635E" w14:textId="77777777" w:rsidR="00E90C6A" w:rsidRDefault="00E90C6A" w:rsidP="00E4336F">
      <w:pPr>
        <w:spacing w:after="0" w:line="360" w:lineRule="auto"/>
        <w:ind w:left="810" w:hanging="810"/>
        <w:rPr>
          <w:rFonts w:ascii="Times New Roman" w:hAnsi="Times New Roman"/>
        </w:rPr>
      </w:pPr>
    </w:p>
    <w:p w14:paraId="679F4FB9" w14:textId="77777777" w:rsidR="00B11C1D" w:rsidRPr="00A73675" w:rsidRDefault="00B11C1D" w:rsidP="00E4336F">
      <w:pPr>
        <w:spacing w:line="360" w:lineRule="auto"/>
        <w:rPr>
          <w:rFonts w:ascii="Times New Roman" w:hAnsi="Times New Roman" w:cs="Times New Roman"/>
        </w:rPr>
      </w:pPr>
    </w:p>
    <w:sectPr w:rsidR="00B11C1D" w:rsidRPr="00A73675" w:rsidSect="00843E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E470" w14:textId="77777777" w:rsidR="00BC1000" w:rsidRDefault="00BC1000" w:rsidP="00E4336F">
      <w:pPr>
        <w:spacing w:after="0"/>
      </w:pPr>
      <w:r>
        <w:separator/>
      </w:r>
    </w:p>
  </w:endnote>
  <w:endnote w:type="continuationSeparator" w:id="0">
    <w:p w14:paraId="47BDECFE" w14:textId="77777777" w:rsidR="00BC1000" w:rsidRDefault="00BC1000" w:rsidP="00E4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9617" w14:textId="77777777" w:rsidR="00BC1000" w:rsidRDefault="00BC1000" w:rsidP="00E4336F">
      <w:pPr>
        <w:spacing w:after="0"/>
      </w:pPr>
      <w:r>
        <w:separator/>
      </w:r>
    </w:p>
  </w:footnote>
  <w:footnote w:type="continuationSeparator" w:id="0">
    <w:p w14:paraId="16376F58" w14:textId="77777777" w:rsidR="00BC1000" w:rsidRDefault="00BC1000" w:rsidP="00E4336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lip Wadl">
    <w15:presenceInfo w15:providerId="AD" w15:userId="S-1-5-21-2443529608-3098792306-3041422421-667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5"/>
    <w:rsid w:val="0007308F"/>
    <w:rsid w:val="001439EB"/>
    <w:rsid w:val="0055228C"/>
    <w:rsid w:val="007E69DB"/>
    <w:rsid w:val="00843EA6"/>
    <w:rsid w:val="00870359"/>
    <w:rsid w:val="00A73675"/>
    <w:rsid w:val="00B11C1D"/>
    <w:rsid w:val="00BC1000"/>
    <w:rsid w:val="00C7532F"/>
    <w:rsid w:val="00CC3EEB"/>
    <w:rsid w:val="00E4336F"/>
    <w:rsid w:val="00E90C6A"/>
    <w:rsid w:val="00F56B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1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336F"/>
    <w:pPr>
      <w:widowControl w:val="0"/>
      <w:spacing w:after="0"/>
      <w:jc w:val="center"/>
    </w:pPr>
    <w:rPr>
      <w:rFonts w:ascii="Times New Roman" w:eastAsia="?????? Pro W3" w:hAnsi="Times New Roman" w:cs="Times New Roman"/>
      <w:color w:val="00000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4336F"/>
    <w:rPr>
      <w:rFonts w:ascii="Times New Roman" w:eastAsia="?????? Pro W3" w:hAnsi="Times New Roman" w:cs="Times New Roman"/>
      <w:color w:val="000000"/>
      <w:sz w:val="28"/>
      <w:szCs w:val="20"/>
      <w:lang w:eastAsia="en-US"/>
    </w:rPr>
  </w:style>
  <w:style w:type="paragraph" w:customStyle="1" w:styleId="Heading1A">
    <w:name w:val="Heading 1 A"/>
    <w:next w:val="Normal"/>
    <w:uiPriority w:val="99"/>
    <w:rsid w:val="00E4336F"/>
    <w:pPr>
      <w:keepNext/>
      <w:spacing w:after="0"/>
      <w:jc w:val="center"/>
      <w:outlineLvl w:val="0"/>
    </w:pPr>
    <w:rPr>
      <w:rFonts w:ascii="Arial" w:eastAsia="?????? Pro W3" w:hAnsi="Arial" w:cs="Times New Roman"/>
      <w:color w:val="000000"/>
      <w:szCs w:val="20"/>
      <w:lang w:eastAsia="en-US"/>
    </w:rPr>
  </w:style>
  <w:style w:type="character" w:styleId="FootnoteReference">
    <w:name w:val="footnote reference"/>
    <w:uiPriority w:val="99"/>
    <w:rsid w:val="00E4336F"/>
    <w:rPr>
      <w:rFonts w:cs="Times New Roman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336F"/>
    <w:pPr>
      <w:spacing w:after="0"/>
    </w:pPr>
    <w:rPr>
      <w:rFonts w:ascii="Calibri" w:eastAsia="Times New Roman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36F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3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336F"/>
    <w:pPr>
      <w:widowControl w:val="0"/>
      <w:spacing w:after="0"/>
      <w:jc w:val="center"/>
    </w:pPr>
    <w:rPr>
      <w:rFonts w:ascii="Times New Roman" w:eastAsia="?????? Pro W3" w:hAnsi="Times New Roman" w:cs="Times New Roman"/>
      <w:color w:val="00000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4336F"/>
    <w:rPr>
      <w:rFonts w:ascii="Times New Roman" w:eastAsia="?????? Pro W3" w:hAnsi="Times New Roman" w:cs="Times New Roman"/>
      <w:color w:val="000000"/>
      <w:sz w:val="28"/>
      <w:szCs w:val="20"/>
      <w:lang w:eastAsia="en-US"/>
    </w:rPr>
  </w:style>
  <w:style w:type="paragraph" w:customStyle="1" w:styleId="Heading1A">
    <w:name w:val="Heading 1 A"/>
    <w:next w:val="Normal"/>
    <w:uiPriority w:val="99"/>
    <w:rsid w:val="00E4336F"/>
    <w:pPr>
      <w:keepNext/>
      <w:spacing w:after="0"/>
      <w:jc w:val="center"/>
      <w:outlineLvl w:val="0"/>
    </w:pPr>
    <w:rPr>
      <w:rFonts w:ascii="Arial" w:eastAsia="?????? Pro W3" w:hAnsi="Arial" w:cs="Times New Roman"/>
      <w:color w:val="000000"/>
      <w:szCs w:val="20"/>
      <w:lang w:eastAsia="en-US"/>
    </w:rPr>
  </w:style>
  <w:style w:type="character" w:styleId="FootnoteReference">
    <w:name w:val="footnote reference"/>
    <w:uiPriority w:val="99"/>
    <w:rsid w:val="00E4336F"/>
    <w:rPr>
      <w:rFonts w:cs="Times New Roman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336F"/>
    <w:pPr>
      <w:spacing w:after="0"/>
    </w:pPr>
    <w:rPr>
      <w:rFonts w:ascii="Calibri" w:eastAsia="Times New Roman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36F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3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2016-08-03T00:49:00Z</dcterms:created>
  <dcterms:modified xsi:type="dcterms:W3CDTF">2016-11-03T00:25:00Z</dcterms:modified>
</cp:coreProperties>
</file>