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1EAD5" w14:textId="77777777" w:rsidR="00931E9C" w:rsidRPr="00F74A90" w:rsidRDefault="00931E9C" w:rsidP="00931E9C">
      <w:pPr>
        <w:spacing w:line="276" w:lineRule="auto"/>
        <w:rPr>
          <w:b/>
          <w:sz w:val="28"/>
        </w:rPr>
      </w:pPr>
      <w:r w:rsidRPr="00F74A90">
        <w:rPr>
          <w:b/>
          <w:sz w:val="28"/>
        </w:rPr>
        <w:t xml:space="preserve">Characterization of AlN-based Ceramic Composites for Use as Millimeter Wave Susceptor Materials at High Temperature: Dielectric Properties of </w:t>
      </w:r>
      <w:proofErr w:type="spellStart"/>
      <w:r w:rsidRPr="00F74A90">
        <w:rPr>
          <w:b/>
          <w:sz w:val="28"/>
        </w:rPr>
        <w:t>AlN:Mo</w:t>
      </w:r>
      <w:proofErr w:type="spellEnd"/>
      <w:r w:rsidRPr="00F74A90">
        <w:rPr>
          <w:b/>
          <w:sz w:val="28"/>
        </w:rPr>
        <w:t xml:space="preserve"> with 0.25 v% to 4.0 v% Mo from 25-550 °C</w:t>
      </w:r>
    </w:p>
    <w:p w14:paraId="082ACD84" w14:textId="77777777" w:rsidR="00931E9C" w:rsidRPr="00F74A90" w:rsidRDefault="00931E9C" w:rsidP="00931E9C">
      <w:pPr>
        <w:spacing w:line="276" w:lineRule="auto"/>
      </w:pPr>
    </w:p>
    <w:p w14:paraId="6D1AF626" w14:textId="77777777" w:rsidR="00931E9C" w:rsidRPr="00F74A90" w:rsidRDefault="00931E9C" w:rsidP="00931E9C">
      <w:pPr>
        <w:spacing w:line="276" w:lineRule="auto"/>
      </w:pPr>
      <w:r w:rsidRPr="00F74A90">
        <w:t>Brad W. Hoff</w:t>
      </w:r>
      <w:r>
        <w:t>,</w:t>
      </w:r>
      <w:r w:rsidRPr="00F03210">
        <w:rPr>
          <w:vertAlign w:val="superscript"/>
        </w:rPr>
        <w:t>1</w:t>
      </w:r>
      <w:r>
        <w:rPr>
          <w:rFonts w:ascii="Segoe UI Symbol" w:hAnsi="Segoe UI Symbol"/>
        </w:rPr>
        <w:t xml:space="preserve">†* </w:t>
      </w:r>
      <w:r w:rsidRPr="00F74A90">
        <w:t>Steven C. Hayden</w:t>
      </w:r>
      <w:r>
        <w:rPr>
          <w:rFonts w:ascii="Segoe UI Symbol" w:hAnsi="Segoe UI Symbol"/>
        </w:rPr>
        <w:t>,</w:t>
      </w:r>
      <w:r w:rsidRPr="00F03210">
        <w:rPr>
          <w:vertAlign w:val="superscript"/>
        </w:rPr>
        <w:t>2</w:t>
      </w:r>
      <w:r>
        <w:rPr>
          <w:rFonts w:ascii="Segoe UI Symbol" w:hAnsi="Segoe UI Symbol"/>
        </w:rPr>
        <w:t xml:space="preserve">† </w:t>
      </w:r>
      <w:r w:rsidRPr="00F74A90">
        <w:t>Martin S. Hilario</w:t>
      </w:r>
      <w:r>
        <w:t>,</w:t>
      </w:r>
      <w:r w:rsidRPr="00F03210">
        <w:rPr>
          <w:vertAlign w:val="superscript"/>
        </w:rPr>
        <w:t>1</w:t>
      </w:r>
      <w:r>
        <w:t xml:space="preserve"> </w:t>
      </w:r>
      <w:r w:rsidRPr="00F74A90">
        <w:t>Rachael O. Grudt</w:t>
      </w:r>
      <w:r>
        <w:t>,</w:t>
      </w:r>
      <w:r w:rsidRPr="00F03210">
        <w:rPr>
          <w:vertAlign w:val="superscript"/>
        </w:rPr>
        <w:t>2</w:t>
      </w:r>
      <w:r>
        <w:t xml:space="preserve"> </w:t>
      </w:r>
      <w:r w:rsidRPr="00F74A90">
        <w:t>Frederick W. Dynys</w:t>
      </w:r>
      <w:r>
        <w:t>,</w:t>
      </w:r>
      <w:r w:rsidRPr="00F03210">
        <w:rPr>
          <w:vertAlign w:val="superscript"/>
        </w:rPr>
        <w:t>3</w:t>
      </w:r>
      <w:r>
        <w:t xml:space="preserve"> </w:t>
      </w:r>
      <w:r w:rsidRPr="00F74A90">
        <w:t>Anthony E. Baros</w:t>
      </w:r>
      <w:r>
        <w:t>,</w:t>
      </w:r>
      <w:r w:rsidRPr="00F03210">
        <w:rPr>
          <w:vertAlign w:val="superscript"/>
        </w:rPr>
        <w:t>1</w:t>
      </w:r>
      <w:r>
        <w:t xml:space="preserve"> </w:t>
      </w:r>
      <w:r w:rsidRPr="00F74A90">
        <w:t>Ian</w:t>
      </w:r>
      <w:r>
        <w:t xml:space="preserve"> M.</w:t>
      </w:r>
      <w:r w:rsidRPr="00F74A90">
        <w:t xml:space="preserve"> Rittersdorf</w:t>
      </w:r>
      <w:r>
        <w:t>,</w:t>
      </w:r>
      <w:r w:rsidRPr="00F03210">
        <w:rPr>
          <w:vertAlign w:val="superscript"/>
        </w:rPr>
        <w:t>4</w:t>
      </w:r>
      <w:r>
        <w:t xml:space="preserve"> and </w:t>
      </w:r>
      <w:r w:rsidRPr="00F74A90">
        <w:t>Michele L. Ostraat</w:t>
      </w:r>
      <w:r w:rsidRPr="00F03210">
        <w:rPr>
          <w:vertAlign w:val="superscript"/>
        </w:rPr>
        <w:t>2</w:t>
      </w:r>
      <w:r>
        <w:t xml:space="preserve"> </w:t>
      </w:r>
    </w:p>
    <w:p w14:paraId="3E620EA9" w14:textId="77777777" w:rsidR="00931E9C" w:rsidRPr="00F74A90" w:rsidRDefault="00931E9C" w:rsidP="00931E9C">
      <w:pPr>
        <w:spacing w:line="276" w:lineRule="auto"/>
      </w:pPr>
    </w:p>
    <w:p w14:paraId="52D930CD" w14:textId="77777777" w:rsidR="00931E9C" w:rsidRPr="00697EAE" w:rsidRDefault="00931E9C" w:rsidP="00931E9C">
      <w:pPr>
        <w:spacing w:line="276" w:lineRule="auto"/>
        <w:rPr>
          <w:sz w:val="20"/>
        </w:rPr>
      </w:pPr>
      <w:r w:rsidRPr="00697EAE">
        <w:rPr>
          <w:sz w:val="20"/>
          <w:vertAlign w:val="superscript"/>
        </w:rPr>
        <w:t xml:space="preserve">1 </w:t>
      </w:r>
      <w:r w:rsidRPr="00697EAE">
        <w:rPr>
          <w:sz w:val="20"/>
        </w:rPr>
        <w:t>Air Force Research Laboratory, Kirtland AFB, NM, 87117, USA</w:t>
      </w:r>
    </w:p>
    <w:p w14:paraId="71320648" w14:textId="77777777" w:rsidR="00931E9C" w:rsidRPr="00697EAE" w:rsidRDefault="00931E9C" w:rsidP="00931E9C">
      <w:pPr>
        <w:spacing w:line="276" w:lineRule="auto"/>
        <w:rPr>
          <w:sz w:val="20"/>
        </w:rPr>
      </w:pPr>
      <w:r w:rsidRPr="00697EAE">
        <w:rPr>
          <w:sz w:val="20"/>
          <w:vertAlign w:val="superscript"/>
        </w:rPr>
        <w:t xml:space="preserve">2 </w:t>
      </w:r>
      <w:r w:rsidRPr="00697EAE">
        <w:rPr>
          <w:sz w:val="20"/>
        </w:rPr>
        <w:t>Aramco Research Center – Boston, Aramco Services Company, Cambridge, MA 02139, USA</w:t>
      </w:r>
    </w:p>
    <w:p w14:paraId="2727E1E2" w14:textId="77777777" w:rsidR="00931E9C" w:rsidRPr="00697EAE" w:rsidRDefault="00931E9C" w:rsidP="00931E9C">
      <w:pPr>
        <w:spacing w:line="276" w:lineRule="auto"/>
        <w:rPr>
          <w:sz w:val="20"/>
        </w:rPr>
      </w:pPr>
      <w:r w:rsidRPr="00697EAE">
        <w:rPr>
          <w:sz w:val="20"/>
          <w:vertAlign w:val="superscript"/>
        </w:rPr>
        <w:t xml:space="preserve">3 </w:t>
      </w:r>
      <w:r w:rsidRPr="00697EAE">
        <w:rPr>
          <w:sz w:val="20"/>
        </w:rPr>
        <w:t>NASA Glenn Research Center, Cleveland, Ohio 44135, USA</w:t>
      </w:r>
    </w:p>
    <w:p w14:paraId="401159F7" w14:textId="77777777" w:rsidR="00931E9C" w:rsidRPr="00697EAE" w:rsidRDefault="00931E9C" w:rsidP="00931E9C">
      <w:pPr>
        <w:spacing w:line="276" w:lineRule="auto"/>
        <w:rPr>
          <w:sz w:val="20"/>
        </w:rPr>
      </w:pPr>
      <w:r w:rsidRPr="00697EAE">
        <w:rPr>
          <w:sz w:val="20"/>
          <w:vertAlign w:val="superscript"/>
        </w:rPr>
        <w:t xml:space="preserve">4 </w:t>
      </w:r>
      <w:r w:rsidRPr="00697EAE">
        <w:rPr>
          <w:sz w:val="20"/>
        </w:rPr>
        <w:t>Naval Research Laboratory, Washington DC, 20375</w:t>
      </w:r>
    </w:p>
    <w:p w14:paraId="74B541C7" w14:textId="77777777" w:rsidR="00931E9C" w:rsidRPr="00697EAE" w:rsidRDefault="00931E9C" w:rsidP="00931E9C">
      <w:pPr>
        <w:spacing w:line="276" w:lineRule="auto"/>
        <w:rPr>
          <w:sz w:val="20"/>
        </w:rPr>
      </w:pPr>
    </w:p>
    <w:p w14:paraId="68A96275" w14:textId="77777777" w:rsidR="00931E9C" w:rsidRPr="00697EAE" w:rsidRDefault="00931E9C" w:rsidP="00931E9C">
      <w:pPr>
        <w:spacing w:line="276" w:lineRule="auto"/>
        <w:rPr>
          <w:sz w:val="20"/>
        </w:rPr>
      </w:pPr>
      <w:r w:rsidRPr="00697EAE">
        <w:rPr>
          <w:sz w:val="20"/>
        </w:rPr>
        <w:t>† These authors contributed equally to this work.</w:t>
      </w:r>
    </w:p>
    <w:p w14:paraId="45330363" w14:textId="77777777" w:rsidR="00931E9C" w:rsidRPr="00697EAE" w:rsidRDefault="00931E9C" w:rsidP="00931E9C">
      <w:pPr>
        <w:spacing w:line="276" w:lineRule="auto"/>
        <w:rPr>
          <w:sz w:val="20"/>
        </w:rPr>
      </w:pPr>
      <w:r>
        <w:rPr>
          <w:sz w:val="20"/>
        </w:rPr>
        <w:t>*</w:t>
      </w:r>
      <w:r w:rsidRPr="00697EAE">
        <w:rPr>
          <w:sz w:val="20"/>
        </w:rPr>
        <w:t xml:space="preserve"> </w:t>
      </w:r>
      <w:r>
        <w:rPr>
          <w:sz w:val="20"/>
        </w:rPr>
        <w:t xml:space="preserve">To whom correspondence should be addressed: </w:t>
      </w:r>
      <w:r w:rsidRPr="00C11729">
        <w:rPr>
          <w:sz w:val="20"/>
        </w:rPr>
        <w:t>brad.hoff@us.af.mil</w:t>
      </w:r>
    </w:p>
    <w:p w14:paraId="5115C17C" w14:textId="77777777" w:rsidR="00856FE6" w:rsidRDefault="00856FE6" w:rsidP="00D5619D"/>
    <w:p w14:paraId="4AAC87B1" w14:textId="77777777" w:rsidR="00023542" w:rsidRDefault="00D5619D" w:rsidP="00D5619D">
      <w:r>
        <w:t>Supporting Information.</w:t>
      </w:r>
    </w:p>
    <w:p w14:paraId="57DE5C61" w14:textId="77777777" w:rsidR="00D5619D" w:rsidRDefault="00D5619D" w:rsidP="00D5619D"/>
    <w:p w14:paraId="088ACF3B" w14:textId="77777777" w:rsidR="00971F3F" w:rsidRDefault="00310921" w:rsidP="003477E0">
      <w:pPr>
        <w:spacing w:line="276" w:lineRule="auto"/>
        <w:jc w:val="center"/>
      </w:pPr>
      <w:r>
        <w:pict w14:anchorId="099B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6.5pt">
            <v:imagedata r:id="rId6" o:title="figure - EDS - site 3 SH acquisition med-dpi-01"/>
          </v:shape>
        </w:pict>
      </w:r>
    </w:p>
    <w:p w14:paraId="503CC3AE" w14:textId="77777777" w:rsidR="00D5619D" w:rsidRDefault="00D5619D" w:rsidP="00D5619D">
      <w:pPr>
        <w:spacing w:line="276" w:lineRule="auto"/>
      </w:pPr>
      <w:r w:rsidRPr="00D5619D">
        <w:rPr>
          <w:b/>
        </w:rPr>
        <w:t>Figure S1</w:t>
      </w:r>
      <w:r>
        <w:t xml:space="preserve">. </w:t>
      </w:r>
      <w:r w:rsidRPr="00D5619D">
        <w:t xml:space="preserve">SEM micrograph with elemental compositional maps as individual breakout maps by element and as an overlay on the micrograph. Color corresponds to elemental identity as indicated, while intensity corresponds to relative concentration for that element. The nitrogen signal is hidden in the overlay for clarity. The carbon signal is artificially inflated by the ubiquitous presence of carbon on surfaces, but some </w:t>
      </w:r>
      <w:r>
        <w:t>co-</w:t>
      </w:r>
      <w:r w:rsidRPr="00D5619D">
        <w:t xml:space="preserve">localization </w:t>
      </w:r>
      <w:r>
        <w:t xml:space="preserve">with the Mo grain </w:t>
      </w:r>
      <w:r w:rsidRPr="00D5619D">
        <w:t>is evident</w:t>
      </w:r>
      <w:r w:rsidR="00E10911">
        <w:t xml:space="preserve"> from the relative increase in carbon signal in the Mo grain area</w:t>
      </w:r>
      <w:r w:rsidRPr="00D5619D">
        <w:t xml:space="preserve">. </w:t>
      </w:r>
    </w:p>
    <w:p w14:paraId="462BBB5C" w14:textId="77777777" w:rsidR="00971F3F" w:rsidRDefault="00971F3F" w:rsidP="00D5619D"/>
    <w:p w14:paraId="16BF8766" w14:textId="77777777" w:rsidR="00856FE6" w:rsidRDefault="00856FE6" w:rsidP="00D5619D"/>
    <w:p w14:paraId="4CBA18C3" w14:textId="77777777" w:rsidR="00856FE6" w:rsidRDefault="00856FE6" w:rsidP="00D5619D"/>
    <w:p w14:paraId="1A54E056" w14:textId="77777777" w:rsidR="00455F1A" w:rsidRDefault="004E09C0" w:rsidP="003477E0">
      <w:pPr>
        <w:spacing w:line="276" w:lineRule="auto"/>
        <w:jc w:val="center"/>
      </w:pPr>
      <w:r w:rsidRPr="004E09C0">
        <w:rPr>
          <w:noProof/>
        </w:rPr>
        <w:drawing>
          <wp:inline distT="0" distB="0" distL="0" distR="0" wp14:anchorId="1F22B675" wp14:editId="11BE776E">
            <wp:extent cx="5943600" cy="3544328"/>
            <wp:effectExtent l="0" t="0" r="0" b="0"/>
            <wp:docPr id="4" name="Picture 4" descr="C:\_On C Drive\EDS figure delete\fANC-AlN-Mo-EDS for phase v3_EDS maps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On C Drive\EDS figure delete\fANC-AlN-Mo-EDS for phase v3_EDS maps vertic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44328"/>
                    </a:xfrm>
                    <a:prstGeom prst="rect">
                      <a:avLst/>
                    </a:prstGeom>
                    <a:noFill/>
                    <a:ln>
                      <a:noFill/>
                    </a:ln>
                  </pic:spPr>
                </pic:pic>
              </a:graphicData>
            </a:graphic>
          </wp:inline>
        </w:drawing>
      </w:r>
    </w:p>
    <w:p w14:paraId="452F0182" w14:textId="77777777" w:rsidR="00856FE6" w:rsidRDefault="00D5619D" w:rsidP="00D5619D">
      <w:pPr>
        <w:spacing w:line="276" w:lineRule="auto"/>
      </w:pPr>
      <w:r w:rsidRPr="00D5619D">
        <w:rPr>
          <w:b/>
        </w:rPr>
        <w:t>Figure S</w:t>
      </w:r>
      <w:r w:rsidR="00931E9C">
        <w:rPr>
          <w:b/>
        </w:rPr>
        <w:t>2</w:t>
      </w:r>
      <w:r>
        <w:t xml:space="preserve">. </w:t>
      </w:r>
      <w:r w:rsidRPr="00D5619D">
        <w:t>SEM micrograph</w:t>
      </w:r>
      <w:r>
        <w:t>s</w:t>
      </w:r>
      <w:r w:rsidRPr="00D5619D">
        <w:t xml:space="preserve"> with elemental composition</w:t>
      </w:r>
      <w:r w:rsidR="00E10911">
        <w:t>s</w:t>
      </w:r>
      <w:r w:rsidRPr="00D5619D">
        <w:t xml:space="preserve"> as individual breakout maps by element. </w:t>
      </w:r>
      <w:r>
        <w:t xml:space="preserve">Short integration/scan settings were employed to provide the best look at carbon distribution, given the carbon-specific limitations related to EDS. Co-localization of the carbon and Mo signals is evident. </w:t>
      </w:r>
      <w:r w:rsidRPr="00D5619D">
        <w:t xml:space="preserve">Color corresponds to elemental identity as indicated, while intensity corresponds to relative concentration for that element. </w:t>
      </w:r>
    </w:p>
    <w:p w14:paraId="3759AFE5" w14:textId="77777777" w:rsidR="00455F1A" w:rsidRDefault="00455F1A" w:rsidP="00D5619D"/>
    <w:p w14:paraId="06BDAB9A" w14:textId="77777777" w:rsidR="00455F1A" w:rsidRDefault="00455F1A" w:rsidP="00D5619D"/>
    <w:p w14:paraId="356CEA65" w14:textId="77777777" w:rsidR="00856FE6" w:rsidRDefault="00856FE6" w:rsidP="00D5619D"/>
    <w:p w14:paraId="5EE74E6E" w14:textId="1D73B942" w:rsidR="00310921" w:rsidRPr="002665C9" w:rsidRDefault="00310921" w:rsidP="00310921">
      <w:pPr>
        <w:widowControl w:val="0"/>
        <w:autoSpaceDE w:val="0"/>
        <w:autoSpaceDN w:val="0"/>
        <w:adjustRightInd w:val="0"/>
        <w:rPr>
          <w:b/>
          <w:iCs/>
          <w:sz w:val="22"/>
          <w:szCs w:val="18"/>
        </w:rPr>
      </w:pPr>
      <w:r>
        <w:rPr>
          <w:noProof/>
        </w:rPr>
        <w:lastRenderedPageBreak/>
        <w:drawing>
          <wp:inline distT="0" distB="0" distL="0" distR="0" wp14:anchorId="2F14F360" wp14:editId="64FA37EC">
            <wp:extent cx="594360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a:noFill/>
                    </a:ln>
                  </pic:spPr>
                </pic:pic>
              </a:graphicData>
            </a:graphic>
          </wp:inline>
        </w:drawing>
      </w:r>
      <w:bookmarkStart w:id="0" w:name="_GoBack"/>
      <w:bookmarkEnd w:id="0"/>
    </w:p>
    <w:p w14:paraId="6AB8C067" w14:textId="7843897B" w:rsidR="00310921" w:rsidRPr="002665C9" w:rsidRDefault="00310921" w:rsidP="00310921">
      <w:pPr>
        <w:spacing w:line="276" w:lineRule="auto"/>
        <w:rPr>
          <w:b/>
          <w:iCs/>
          <w:sz w:val="22"/>
          <w:szCs w:val="18"/>
        </w:rPr>
      </w:pPr>
      <w:r w:rsidRPr="002665C9">
        <w:rPr>
          <w:b/>
          <w:iCs/>
          <w:sz w:val="22"/>
          <w:szCs w:val="18"/>
        </w:rPr>
        <w:t xml:space="preserve">Figure </w:t>
      </w:r>
      <w:r>
        <w:rPr>
          <w:b/>
          <w:iCs/>
          <w:sz w:val="22"/>
          <w:szCs w:val="18"/>
        </w:rPr>
        <w:t>S3</w:t>
      </w:r>
      <w:r w:rsidRPr="002665C9">
        <w:rPr>
          <w:b/>
          <w:iCs/>
          <w:sz w:val="22"/>
          <w:szCs w:val="18"/>
        </w:rPr>
        <w:t xml:space="preserve">. </w:t>
      </w:r>
      <w:r w:rsidRPr="00310921">
        <w:t xml:space="preserve">Photograph of the </w:t>
      </w:r>
      <w:proofErr w:type="spellStart"/>
      <w:r w:rsidRPr="00310921">
        <w:t>AlN:Mo</w:t>
      </w:r>
      <w:proofErr w:type="spellEnd"/>
      <w:r w:rsidRPr="00310921">
        <w:t xml:space="preserve"> composite disks used for free space analysis. Discs are shown next to a sample of </w:t>
      </w:r>
      <w:proofErr w:type="spellStart"/>
      <w:r w:rsidRPr="00310921">
        <w:t>AlN</w:t>
      </w:r>
      <w:proofErr w:type="spellEnd"/>
      <w:r w:rsidRPr="00310921">
        <w:t xml:space="preserve"> without added molybdenum to show color contrast. The </w:t>
      </w:r>
      <w:proofErr w:type="spellStart"/>
      <w:r w:rsidRPr="00310921">
        <w:t>AlN</w:t>
      </w:r>
      <w:proofErr w:type="spellEnd"/>
      <w:r w:rsidRPr="00310921">
        <w:t xml:space="preserve"> sample without molybdenum was not measured as part of the present study.</w:t>
      </w:r>
    </w:p>
    <w:p w14:paraId="2E68E80E" w14:textId="77777777" w:rsidR="00856FE6" w:rsidRDefault="00856FE6" w:rsidP="00D5619D"/>
    <w:sectPr w:rsidR="00856FE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B8773" w14:textId="77777777" w:rsidR="00697FED" w:rsidRDefault="00697FED" w:rsidP="00856FE6">
      <w:r>
        <w:separator/>
      </w:r>
    </w:p>
  </w:endnote>
  <w:endnote w:type="continuationSeparator" w:id="0">
    <w:p w14:paraId="7796699E" w14:textId="77777777" w:rsidR="00697FED" w:rsidRDefault="00697FED" w:rsidP="00856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3BCFA" w14:textId="77777777" w:rsidR="00697FED" w:rsidRDefault="00697FED" w:rsidP="00856FE6">
      <w:r>
        <w:separator/>
      </w:r>
    </w:p>
  </w:footnote>
  <w:footnote w:type="continuationSeparator" w:id="0">
    <w:p w14:paraId="639FCD1D" w14:textId="77777777" w:rsidR="00697FED" w:rsidRDefault="00697FED" w:rsidP="00856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33313" w14:textId="77777777" w:rsidR="00856FE6" w:rsidRDefault="00856FE6" w:rsidP="00856FE6">
    <w:pPr>
      <w:pStyle w:val="Header"/>
      <w:jc w:val="right"/>
    </w:pPr>
    <w:r>
      <w:t>Hoff</w:t>
    </w:r>
    <w:r w:rsidR="00D5619D">
      <w:t>/Hayden</w:t>
    </w:r>
    <w:r>
      <w:t xml:space="preserve"> - Supporting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957"/>
    <w:rsid w:val="001B1827"/>
    <w:rsid w:val="00310921"/>
    <w:rsid w:val="003477E0"/>
    <w:rsid w:val="003821B1"/>
    <w:rsid w:val="00425A07"/>
    <w:rsid w:val="00455F1A"/>
    <w:rsid w:val="004E09C0"/>
    <w:rsid w:val="00697FED"/>
    <w:rsid w:val="00856FE6"/>
    <w:rsid w:val="00931E9C"/>
    <w:rsid w:val="00936389"/>
    <w:rsid w:val="00971F3F"/>
    <w:rsid w:val="00B363AB"/>
    <w:rsid w:val="00B43F9E"/>
    <w:rsid w:val="00BD4FF6"/>
    <w:rsid w:val="00C77957"/>
    <w:rsid w:val="00D5619D"/>
    <w:rsid w:val="00DB5404"/>
    <w:rsid w:val="00E10911"/>
    <w:rsid w:val="00FD3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F5ED5"/>
  <w15:chartTrackingRefBased/>
  <w15:docId w15:val="{CF35DF61-F9C9-471B-AA7A-1AF7D4F7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921"/>
    <w:pPr>
      <w:spacing w:after="0" w:line="480" w:lineRule="auto"/>
      <w:jc w:val="both"/>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FE6"/>
    <w:pPr>
      <w:tabs>
        <w:tab w:val="center" w:pos="4680"/>
        <w:tab w:val="right" w:pos="9360"/>
      </w:tabs>
    </w:pPr>
  </w:style>
  <w:style w:type="character" w:customStyle="1" w:styleId="HeaderChar">
    <w:name w:val="Header Char"/>
    <w:basedOn w:val="DefaultParagraphFont"/>
    <w:link w:val="Header"/>
    <w:uiPriority w:val="99"/>
    <w:rsid w:val="00856FE6"/>
    <w:rPr>
      <w:sz w:val="24"/>
    </w:rPr>
  </w:style>
  <w:style w:type="paragraph" w:styleId="Footer">
    <w:name w:val="footer"/>
    <w:basedOn w:val="Normal"/>
    <w:link w:val="FooterChar"/>
    <w:uiPriority w:val="99"/>
    <w:unhideWhenUsed/>
    <w:rsid w:val="00856FE6"/>
    <w:pPr>
      <w:tabs>
        <w:tab w:val="center" w:pos="4680"/>
        <w:tab w:val="right" w:pos="9360"/>
      </w:tabs>
    </w:pPr>
  </w:style>
  <w:style w:type="character" w:customStyle="1" w:styleId="FooterChar">
    <w:name w:val="Footer Char"/>
    <w:basedOn w:val="DefaultParagraphFont"/>
    <w:link w:val="Footer"/>
    <w:uiPriority w:val="99"/>
    <w:rsid w:val="00856FE6"/>
    <w:rPr>
      <w:sz w:val="24"/>
    </w:rPr>
  </w:style>
  <w:style w:type="paragraph" w:styleId="BalloonText">
    <w:name w:val="Balloon Text"/>
    <w:basedOn w:val="Normal"/>
    <w:link w:val="BalloonTextChar"/>
    <w:uiPriority w:val="99"/>
    <w:semiHidden/>
    <w:unhideWhenUsed/>
    <w:rsid w:val="00310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9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Aramco Services Company</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 Steven C</dc:creator>
  <cp:keywords>Non-Business Use - No labeling</cp:keywords>
  <dc:description/>
  <cp:lastModifiedBy>Brad H</cp:lastModifiedBy>
  <cp:revision>3</cp:revision>
  <cp:lastPrinted>2019-02-18T21:25:00Z</cp:lastPrinted>
  <dcterms:created xsi:type="dcterms:W3CDTF">2019-04-26T18:09:00Z</dcterms:created>
  <dcterms:modified xsi:type="dcterms:W3CDTF">2019-04-27T23:32:00Z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6b8b7cae-5d78-4e07-8f70-5833c2517903</vt:lpwstr>
  </property>
  <property fmtid="{D5CDD505-2E9C-101B-9397-08002B2CF9AE}" pid="3" name="Classification">
    <vt:lpwstr>NonBusinessUse</vt:lpwstr>
  </property>
</Properties>
</file>