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1D993" w14:textId="77777777" w:rsidR="00590F56" w:rsidRDefault="00590F56" w:rsidP="00D725A2">
      <w:pPr>
        <w:spacing w:line="480" w:lineRule="auto"/>
        <w:jc w:val="center"/>
        <w:rPr>
          <w:sz w:val="36"/>
          <w:lang w:val="en-US"/>
        </w:rPr>
      </w:pPr>
      <w:r>
        <w:rPr>
          <w:sz w:val="36"/>
          <w:lang w:val="en-US"/>
        </w:rPr>
        <w:t>Supporting Information</w:t>
      </w:r>
    </w:p>
    <w:p w14:paraId="77BAE206" w14:textId="77777777" w:rsidR="00590F56" w:rsidRPr="003205C8" w:rsidRDefault="00590F56" w:rsidP="00D725A2">
      <w:pPr>
        <w:spacing w:line="480" w:lineRule="auto"/>
        <w:jc w:val="center"/>
        <w:rPr>
          <w:sz w:val="36"/>
          <w:lang w:val="en-US"/>
        </w:rPr>
      </w:pPr>
      <w:r w:rsidRPr="003205C8">
        <w:rPr>
          <w:sz w:val="36"/>
          <w:lang w:val="en-US"/>
        </w:rPr>
        <w:t>Degradation kinetics in different polymer-fullerene blends investigated by electron spin resonance</w:t>
      </w:r>
    </w:p>
    <w:p w14:paraId="577E033A" w14:textId="77777777" w:rsidR="00590F56" w:rsidRPr="00590F56" w:rsidRDefault="00590F56" w:rsidP="00D725A2">
      <w:pPr>
        <w:spacing w:line="480" w:lineRule="auto"/>
        <w:rPr>
          <w:lang w:val="en-US"/>
        </w:rPr>
      </w:pPr>
    </w:p>
    <w:p w14:paraId="3FF4EA22" w14:textId="77777777" w:rsidR="006764BA" w:rsidRPr="008D7ADC" w:rsidRDefault="006764BA" w:rsidP="006764BA">
      <w:pPr>
        <w:jc w:val="center"/>
        <w:rPr>
          <w:vertAlign w:val="superscript"/>
          <w:lang w:val="en-US"/>
        </w:rPr>
      </w:pPr>
      <w:r>
        <w:rPr>
          <w:lang w:val="en-US"/>
        </w:rPr>
        <w:t>Marek Havlicek</w:t>
      </w:r>
      <w:r>
        <w:rPr>
          <w:vertAlign w:val="superscript"/>
          <w:lang w:val="en-US"/>
        </w:rPr>
        <w:t>1</w:t>
      </w:r>
      <w:proofErr w:type="gramStart"/>
      <w:r>
        <w:rPr>
          <w:vertAlign w:val="superscript"/>
          <w:lang w:val="en-US"/>
        </w:rPr>
        <w:t>,2</w:t>
      </w:r>
      <w:proofErr w:type="gramEnd"/>
      <w:r>
        <w:rPr>
          <w:lang w:val="en-US"/>
        </w:rPr>
        <w:t xml:space="preserve">, </w:t>
      </w:r>
      <w:proofErr w:type="spellStart"/>
      <w:r>
        <w:rPr>
          <w:lang w:val="en-US"/>
        </w:rPr>
        <w:t>N</w:t>
      </w:r>
      <w:r w:rsidRPr="00E93105">
        <w:rPr>
          <w:lang w:val="en-US"/>
        </w:rPr>
        <w:t>iyazi</w:t>
      </w:r>
      <w:proofErr w:type="spellEnd"/>
      <w:r w:rsidRPr="00E93105">
        <w:rPr>
          <w:lang w:val="en-US"/>
        </w:rPr>
        <w:t xml:space="preserve"> </w:t>
      </w:r>
      <w:proofErr w:type="spellStart"/>
      <w:r>
        <w:rPr>
          <w:lang w:val="en-US"/>
        </w:rPr>
        <w:t>Serdar</w:t>
      </w:r>
      <w:proofErr w:type="spellEnd"/>
      <w:r w:rsidRPr="00E93105">
        <w:rPr>
          <w:lang w:val="en-US"/>
        </w:rPr>
        <w:t xml:space="preserve"> </w:t>
      </w:r>
      <w:r>
        <w:rPr>
          <w:lang w:val="en-US"/>
        </w:rPr>
        <w:t>S</w:t>
      </w:r>
      <w:r w:rsidRPr="00E93105">
        <w:rPr>
          <w:lang w:val="en-US"/>
        </w:rPr>
        <w:t>ariciftci</w:t>
      </w:r>
      <w:r>
        <w:rPr>
          <w:vertAlign w:val="superscript"/>
          <w:lang w:val="en-US"/>
        </w:rPr>
        <w:t>1</w:t>
      </w:r>
      <w:r>
        <w:rPr>
          <w:lang w:val="en-US"/>
        </w:rPr>
        <w:t>, Markus C. Scharber</w:t>
      </w:r>
      <w:r>
        <w:rPr>
          <w:vertAlign w:val="superscript"/>
          <w:lang w:val="en-US"/>
        </w:rPr>
        <w:t>1</w:t>
      </w:r>
    </w:p>
    <w:p w14:paraId="31C6EC8D" w14:textId="77777777" w:rsidR="006764BA" w:rsidRDefault="006764BA" w:rsidP="006764BA">
      <w:pPr>
        <w:jc w:val="center"/>
        <w:rPr>
          <w:lang w:val="en-US"/>
        </w:rPr>
      </w:pPr>
      <w:r>
        <w:rPr>
          <w:vertAlign w:val="superscript"/>
          <w:lang w:val="en-US"/>
        </w:rPr>
        <w:t>1</w:t>
      </w:r>
      <w:r w:rsidRPr="00E93105">
        <w:rPr>
          <w:lang w:val="en-US"/>
        </w:rPr>
        <w:t xml:space="preserve">Linz Institute for Organic Solar Cells (LIOS), Johannes Kepler University Linz, </w:t>
      </w:r>
      <w:proofErr w:type="spellStart"/>
      <w:r w:rsidRPr="00E93105">
        <w:rPr>
          <w:lang w:val="en-US"/>
        </w:rPr>
        <w:t>Altenbergerstrasse</w:t>
      </w:r>
      <w:proofErr w:type="spellEnd"/>
      <w:r w:rsidRPr="00E93105">
        <w:rPr>
          <w:lang w:val="en-US"/>
        </w:rPr>
        <w:t xml:space="preserve"> 69, A</w:t>
      </w:r>
      <w:r>
        <w:rPr>
          <w:lang w:val="en-US"/>
        </w:rPr>
        <w:noBreakHyphen/>
      </w:r>
      <w:r w:rsidRPr="00E93105">
        <w:rPr>
          <w:lang w:val="en-US"/>
        </w:rPr>
        <w:t>4040 Linz, Austria</w:t>
      </w:r>
    </w:p>
    <w:p w14:paraId="376D9AAA" w14:textId="77777777" w:rsidR="006764BA" w:rsidRPr="008D7ADC" w:rsidRDefault="006764BA" w:rsidP="006764BA">
      <w:pPr>
        <w:pStyle w:val="HTMLVorformatiert"/>
        <w:spacing w:line="234" w:lineRule="atLeast"/>
        <w:jc w:val="center"/>
        <w:rPr>
          <w:color w:val="000000"/>
        </w:rPr>
      </w:pPr>
      <w:r w:rsidRPr="008C2D2D">
        <w:rPr>
          <w:rFonts w:ascii="Calibri" w:hAnsi="Calibri" w:cs="Calibri"/>
          <w:sz w:val="22"/>
          <w:szCs w:val="22"/>
          <w:vertAlign w:val="superscript"/>
        </w:rPr>
        <w:t>2</w:t>
      </w:r>
      <w:r w:rsidRPr="008D7ADC">
        <w:rPr>
          <w:rFonts w:asciiTheme="minorHAnsi" w:eastAsiaTheme="minorHAnsi" w:hAnsiTheme="minorHAnsi" w:cstheme="minorBidi"/>
          <w:sz w:val="22"/>
          <w:szCs w:val="22"/>
        </w:rPr>
        <w:t xml:space="preserve">Department of Primary </w:t>
      </w:r>
      <w:proofErr w:type="spellStart"/>
      <w:r w:rsidRPr="008D7ADC">
        <w:rPr>
          <w:rFonts w:asciiTheme="minorHAnsi" w:eastAsiaTheme="minorHAnsi" w:hAnsiTheme="minorHAnsi" w:cstheme="minorBidi"/>
          <w:sz w:val="22"/>
          <w:szCs w:val="22"/>
        </w:rPr>
        <w:t>Nanometrology</w:t>
      </w:r>
      <w:proofErr w:type="spellEnd"/>
      <w:r w:rsidRPr="008D7ADC">
        <w:rPr>
          <w:rFonts w:asciiTheme="minorHAnsi" w:eastAsiaTheme="minorHAnsi" w:hAnsiTheme="minorHAnsi" w:cstheme="minorBidi"/>
          <w:sz w:val="22"/>
          <w:szCs w:val="22"/>
        </w:rPr>
        <w:t xml:space="preserve"> and Technical Length, Czech Metrology Institute, </w:t>
      </w:r>
      <w:proofErr w:type="spellStart"/>
      <w:r w:rsidRPr="008D7ADC">
        <w:rPr>
          <w:rFonts w:asciiTheme="minorHAnsi" w:eastAsiaTheme="minorHAnsi" w:hAnsiTheme="minorHAnsi" w:cstheme="minorBidi"/>
          <w:sz w:val="22"/>
          <w:szCs w:val="22"/>
        </w:rPr>
        <w:t>Okruzni</w:t>
      </w:r>
      <w:proofErr w:type="spellEnd"/>
      <w:r w:rsidRPr="008D7ADC">
        <w:rPr>
          <w:rFonts w:asciiTheme="minorHAnsi" w:eastAsiaTheme="minorHAnsi" w:hAnsiTheme="minorHAnsi" w:cstheme="minorBidi"/>
          <w:sz w:val="22"/>
          <w:szCs w:val="22"/>
        </w:rPr>
        <w:t xml:space="preserve"> 31, 638 0</w:t>
      </w:r>
      <w:r>
        <w:rPr>
          <w:rFonts w:asciiTheme="minorHAnsi" w:eastAsiaTheme="minorHAnsi" w:hAnsiTheme="minorHAnsi" w:cstheme="minorBidi"/>
          <w:sz w:val="22"/>
          <w:szCs w:val="22"/>
        </w:rPr>
        <w:t>0</w:t>
      </w:r>
      <w:r w:rsidRPr="008D7ADC">
        <w:rPr>
          <w:rFonts w:asciiTheme="minorHAnsi" w:eastAsiaTheme="minorHAnsi" w:hAnsiTheme="minorHAnsi" w:cstheme="minorBidi"/>
          <w:sz w:val="22"/>
          <w:szCs w:val="22"/>
        </w:rPr>
        <w:t xml:space="preserve"> Brno, Czech Republic</w:t>
      </w:r>
    </w:p>
    <w:p w14:paraId="50501F1C" w14:textId="77777777" w:rsidR="004C14FA" w:rsidRDefault="004C14FA" w:rsidP="00FD232F">
      <w:pPr>
        <w:spacing w:line="480" w:lineRule="auto"/>
        <w:rPr>
          <w:lang w:val="en-US"/>
        </w:rPr>
      </w:pPr>
    </w:p>
    <w:p w14:paraId="58A9F405" w14:textId="7ECEF8D5" w:rsidR="00AD5600" w:rsidRPr="00FD232F" w:rsidRDefault="00D0132F" w:rsidP="00FD232F">
      <w:pPr>
        <w:spacing w:line="480" w:lineRule="auto"/>
        <w:jc w:val="both"/>
        <w:rPr>
          <w:color w:val="FF0000"/>
          <w:lang w:val="en-US"/>
        </w:rPr>
      </w:pPr>
      <w:r w:rsidRPr="00FD232F">
        <w:rPr>
          <w:b/>
          <w:color w:val="FF0000"/>
          <w:lang w:val="en-US"/>
        </w:rPr>
        <w:t xml:space="preserve">Rise and decay kinetics of light induced ESR </w:t>
      </w:r>
      <w:r w:rsidRPr="00D0132F">
        <w:rPr>
          <w:b/>
          <w:color w:val="FF0000"/>
          <w:lang w:val="en-US"/>
        </w:rPr>
        <w:t>signals</w:t>
      </w:r>
    </w:p>
    <w:p w14:paraId="0B035689" w14:textId="787F98F2" w:rsidR="00C833FC" w:rsidRDefault="00C833FC" w:rsidP="00FD232F">
      <w:pPr>
        <w:spacing w:line="480" w:lineRule="auto"/>
        <w:jc w:val="both"/>
        <w:rPr>
          <w:lang w:val="en-US"/>
        </w:rPr>
      </w:pPr>
      <w:r>
        <w:rPr>
          <w:lang w:val="en-US"/>
        </w:rPr>
        <w:t xml:space="preserve">Figure </w:t>
      </w:r>
      <w:r w:rsidR="00D74466">
        <w:rPr>
          <w:lang w:val="en-US"/>
        </w:rPr>
        <w:t>S</w:t>
      </w:r>
      <w:r w:rsidR="00A61D97">
        <w:rPr>
          <w:lang w:val="en-US"/>
        </w:rPr>
        <w:t xml:space="preserve">1 </w:t>
      </w:r>
      <w:r w:rsidR="005628C3">
        <w:rPr>
          <w:lang w:val="en-US"/>
        </w:rPr>
        <w:t xml:space="preserve">shows </w:t>
      </w:r>
      <w:r w:rsidR="00655420">
        <w:rPr>
          <w:lang w:val="en-US"/>
        </w:rPr>
        <w:t>normalized</w:t>
      </w:r>
      <w:r w:rsidR="005628C3">
        <w:rPr>
          <w:lang w:val="en-US"/>
        </w:rPr>
        <w:t xml:space="preserve"> </w:t>
      </w:r>
      <w:r w:rsidR="00D0132F" w:rsidRPr="00FD232F">
        <w:rPr>
          <w:color w:val="FF0000"/>
          <w:lang w:val="en-US"/>
        </w:rPr>
        <w:t xml:space="preserve">rise and decay curves of the </w:t>
      </w:r>
      <w:r w:rsidR="005628C3" w:rsidRPr="00FD232F">
        <w:rPr>
          <w:color w:val="FF0000"/>
          <w:lang w:val="en-US"/>
        </w:rPr>
        <w:t>LESR</w:t>
      </w:r>
      <w:r w:rsidRPr="00FD232F">
        <w:rPr>
          <w:color w:val="FF0000"/>
          <w:lang w:val="en-US"/>
        </w:rPr>
        <w:t xml:space="preserve"> </w:t>
      </w:r>
      <w:r w:rsidR="00D0132F" w:rsidRPr="00FD232F">
        <w:rPr>
          <w:color w:val="FF0000"/>
          <w:lang w:val="en-US"/>
        </w:rPr>
        <w:t>signal</w:t>
      </w:r>
      <w:r w:rsidR="005628C3" w:rsidRPr="00FD232F">
        <w:rPr>
          <w:color w:val="FF0000"/>
          <w:lang w:val="en-US"/>
        </w:rPr>
        <w:t xml:space="preserve"> </w:t>
      </w:r>
      <w:r w:rsidR="005628C3">
        <w:rPr>
          <w:lang w:val="en-US"/>
        </w:rPr>
        <w:t xml:space="preserve">monitored on the polymer peak </w:t>
      </w:r>
      <w:r>
        <w:rPr>
          <w:lang w:val="en-US"/>
        </w:rPr>
        <w:t>for annealed and not annealed P3HT/PCBM blends</w:t>
      </w:r>
      <w:r w:rsidR="005628C3">
        <w:rPr>
          <w:lang w:val="en-US"/>
        </w:rPr>
        <w:t>.</w:t>
      </w:r>
      <w:r w:rsidR="00334AFB">
        <w:rPr>
          <w:lang w:val="en-US"/>
        </w:rPr>
        <w:t xml:space="preserve"> </w:t>
      </w:r>
      <w:r w:rsidR="00B641C3">
        <w:rPr>
          <w:lang w:val="en-US"/>
        </w:rPr>
        <w:t xml:space="preserve">Upon light exposure, the signal increases quickly. For the annealed sample the signal </w:t>
      </w:r>
      <w:r w:rsidR="004C4E38">
        <w:rPr>
          <w:lang w:val="en-US"/>
        </w:rPr>
        <w:t>saturates</w:t>
      </w:r>
      <w:r w:rsidR="00655420">
        <w:rPr>
          <w:lang w:val="en-US"/>
        </w:rPr>
        <w:t xml:space="preserve"> while the signal for the not annealed samples continues to grow with a moderate rate after the first rapid </w:t>
      </w:r>
      <w:r w:rsidR="00A71DB3">
        <w:rPr>
          <w:lang w:val="en-US"/>
        </w:rPr>
        <w:t>increase.</w:t>
      </w:r>
      <w:r w:rsidR="00EB5E00">
        <w:rPr>
          <w:lang w:val="en-US"/>
        </w:rPr>
        <w:t xml:space="preserve"> </w:t>
      </w:r>
      <w:proofErr w:type="gramStart"/>
      <w:r w:rsidR="00EB5E00">
        <w:rPr>
          <w:lang w:val="en-US"/>
        </w:rPr>
        <w:t xml:space="preserve">Switching the light </w:t>
      </w:r>
      <w:r w:rsidR="007B2D7F">
        <w:rPr>
          <w:lang w:val="en-US"/>
        </w:rPr>
        <w:t xml:space="preserve">off </w:t>
      </w:r>
      <w:r w:rsidR="00EB5E00">
        <w:rPr>
          <w:lang w:val="en-US"/>
        </w:rPr>
        <w:t>results in a prompt drop of the ESR signal followed by a very slow decay.</w:t>
      </w:r>
      <w:proofErr w:type="gramEnd"/>
      <w:r w:rsidR="00EB5E00">
        <w:rPr>
          <w:lang w:val="en-US"/>
        </w:rPr>
        <w:t xml:space="preserve"> Although the signals have been normalized, the long-lived component of the decay of annealed and the not annealed samples appear to be different. This effect is caused by the dark signal present in the not annealed sample and leads to some complications when performing a quantitative analysis of the </w:t>
      </w:r>
      <w:r w:rsidR="005D4711">
        <w:rPr>
          <w:lang w:val="en-US"/>
        </w:rPr>
        <w:t>decay curves.</w:t>
      </w:r>
    </w:p>
    <w:p w14:paraId="1A1B7CC5" w14:textId="5ADAA73C" w:rsidR="004C14FA" w:rsidRDefault="00D74466" w:rsidP="00FD232F">
      <w:pPr>
        <w:spacing w:line="480" w:lineRule="auto"/>
        <w:jc w:val="center"/>
        <w:rPr>
          <w:lang w:val="en-US"/>
        </w:rPr>
      </w:pPr>
      <w:r>
        <w:object w:dxaOrig="4646" w:dyaOrig="3564" w14:anchorId="6B96B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4pt;height:210.15pt" o:ole="">
            <v:imagedata r:id="rId9" o:title=""/>
          </v:shape>
          <o:OLEObject Type="Embed" ProgID="Origin50.Graph" ShapeID="_x0000_i1025" DrawAspect="Content" ObjectID="_1588072819" r:id="rId10"/>
        </w:object>
      </w:r>
    </w:p>
    <w:p w14:paraId="2B8E517B" w14:textId="1F085019" w:rsidR="00C833FC" w:rsidRPr="003205C8" w:rsidRDefault="00A61D97" w:rsidP="00FD232F">
      <w:pPr>
        <w:pStyle w:val="Beschriftung"/>
        <w:spacing w:line="480" w:lineRule="auto"/>
        <w:jc w:val="both"/>
        <w:rPr>
          <w:b w:val="0"/>
          <w:color w:val="auto"/>
          <w:sz w:val="20"/>
          <w:lang w:val="en-US"/>
        </w:rPr>
      </w:pPr>
      <w:r>
        <w:rPr>
          <w:b w:val="0"/>
          <w:color w:val="auto"/>
          <w:sz w:val="20"/>
          <w:lang w:val="en-US"/>
        </w:rPr>
        <w:t xml:space="preserve">Figure </w:t>
      </w:r>
      <w:r w:rsidR="00D74466">
        <w:rPr>
          <w:b w:val="0"/>
          <w:color w:val="auto"/>
          <w:sz w:val="20"/>
          <w:lang w:val="en-US"/>
        </w:rPr>
        <w:t>S</w:t>
      </w:r>
      <w:r>
        <w:rPr>
          <w:b w:val="0"/>
          <w:color w:val="auto"/>
          <w:sz w:val="20"/>
          <w:lang w:val="en-US"/>
        </w:rPr>
        <w:t xml:space="preserve">1: </w:t>
      </w:r>
      <w:r w:rsidR="00C833FC" w:rsidRPr="003205C8">
        <w:rPr>
          <w:b w:val="0"/>
          <w:color w:val="auto"/>
          <w:sz w:val="20"/>
        </w:rPr>
        <w:t xml:space="preserve">Example of </w:t>
      </w:r>
      <w:r w:rsidR="00D0132F" w:rsidRPr="00FD232F">
        <w:rPr>
          <w:b w:val="0"/>
          <w:color w:val="FF0000"/>
          <w:sz w:val="20"/>
        </w:rPr>
        <w:t xml:space="preserve">rise and decay </w:t>
      </w:r>
      <w:bookmarkStart w:id="0" w:name="_GoBack"/>
      <w:bookmarkEnd w:id="0"/>
      <w:r w:rsidR="00C833FC" w:rsidRPr="00FD232F">
        <w:rPr>
          <w:b w:val="0"/>
          <w:color w:val="FF0000"/>
          <w:sz w:val="20"/>
        </w:rPr>
        <w:t>LESR measurement</w:t>
      </w:r>
      <w:r w:rsidR="00D0132F" w:rsidRPr="00FD232F">
        <w:rPr>
          <w:b w:val="0"/>
          <w:color w:val="FF0000"/>
          <w:sz w:val="20"/>
        </w:rPr>
        <w:t>s</w:t>
      </w:r>
      <w:r w:rsidR="00C833FC" w:rsidRPr="00FD232F">
        <w:rPr>
          <w:b w:val="0"/>
          <w:color w:val="FF0000"/>
          <w:sz w:val="20"/>
        </w:rPr>
        <w:t xml:space="preserve"> </w:t>
      </w:r>
      <w:r w:rsidR="00C833FC" w:rsidRPr="003205C8">
        <w:rPr>
          <w:b w:val="0"/>
          <w:color w:val="auto"/>
          <w:sz w:val="20"/>
        </w:rPr>
        <w:t xml:space="preserve">of P3HT:PCBM in a vacuum sealed tube at 60K in a pristine and annealed sample. The </w:t>
      </w:r>
      <w:r w:rsidR="00204FD1">
        <w:rPr>
          <w:b w:val="0"/>
          <w:color w:val="FF0000"/>
          <w:sz w:val="20"/>
        </w:rPr>
        <w:t>traces</w:t>
      </w:r>
      <w:r w:rsidR="00204FD1" w:rsidRPr="003205C8">
        <w:rPr>
          <w:b w:val="0"/>
          <w:color w:val="auto"/>
          <w:sz w:val="20"/>
        </w:rPr>
        <w:t xml:space="preserve"> </w:t>
      </w:r>
      <w:r w:rsidR="00C833FC" w:rsidRPr="003205C8">
        <w:rPr>
          <w:b w:val="0"/>
          <w:color w:val="auto"/>
          <w:sz w:val="20"/>
        </w:rPr>
        <w:t xml:space="preserve">for pristine and annealed sample are normalized (0,1) showing a substantial difference in decay curve offset (black and red). The subtracted curve depicts the difference in the dynamics in the pristine and annlealed sample (green). The sharp spikes are caused by the temporal misalignment and do not reflect the real effect. In order to demonstrate the effect of the signal increase during the „light on“ phase in pristine sample containing oxygen traces on the decay curve offset we shifted the pristine curve by Δx (blue) which corresponds to the initial difference in the spectra offset which can be seen in the differential spectrum. </w:t>
      </w:r>
    </w:p>
    <w:p w14:paraId="4D5F8B5C" w14:textId="3B4C1449" w:rsidR="00EB5E00" w:rsidRDefault="00EB5E00" w:rsidP="00FD232F">
      <w:pPr>
        <w:spacing w:line="480" w:lineRule="auto"/>
        <w:jc w:val="both"/>
        <w:rPr>
          <w:color w:val="FF0000"/>
          <w:lang w:val="en-US"/>
        </w:rPr>
      </w:pPr>
      <w:r>
        <w:rPr>
          <w:lang w:val="en-US"/>
        </w:rPr>
        <w:t>It was suggested that by monitoring of the peak evolution after illumination one can estimate (based on the decay kinetics) the trap distribution in the sample</w:t>
      </w:r>
      <w:r w:rsidR="00D74466">
        <w:rPr>
          <w:lang w:val="en-US"/>
        </w:rPr>
        <w:t>.</w:t>
      </w:r>
      <w:r w:rsidR="00D74466">
        <w:rPr>
          <w:rStyle w:val="Endnotenzeichen"/>
          <w:lang w:val="en-US"/>
        </w:rPr>
        <w:endnoteReference w:id="1"/>
      </w:r>
      <w:r w:rsidR="00D74466">
        <w:rPr>
          <w:lang w:val="en-US"/>
        </w:rPr>
        <w:t xml:space="preserve"> </w:t>
      </w:r>
      <w:r>
        <w:rPr>
          <w:lang w:val="en-US"/>
        </w:rPr>
        <w:t xml:space="preserve">Other works explain the observed kinetics based on </w:t>
      </w:r>
      <w:proofErr w:type="spellStart"/>
      <w:r>
        <w:rPr>
          <w:lang w:val="en-US"/>
        </w:rPr>
        <w:t>nongeminate</w:t>
      </w:r>
      <w:proofErr w:type="spellEnd"/>
      <w:r>
        <w:rPr>
          <w:lang w:val="en-US"/>
        </w:rPr>
        <w:t xml:space="preserve"> recombination of randomly distributed carriers which recombination rate depends only on the tunneling process and therefore on the </w:t>
      </w:r>
      <w:proofErr w:type="spellStart"/>
      <w:r>
        <w:rPr>
          <w:lang w:val="en-US"/>
        </w:rPr>
        <w:t>intrapair</w:t>
      </w:r>
      <w:proofErr w:type="spellEnd"/>
      <w:r>
        <w:rPr>
          <w:lang w:val="en-US"/>
        </w:rPr>
        <w:t xml:space="preserve"> distance between the </w:t>
      </w:r>
      <w:proofErr w:type="spellStart"/>
      <w:r>
        <w:rPr>
          <w:lang w:val="en-US"/>
        </w:rPr>
        <w:t>photoexcited</w:t>
      </w:r>
      <w:proofErr w:type="spellEnd"/>
      <w:r>
        <w:rPr>
          <w:lang w:val="en-US"/>
        </w:rPr>
        <w:t xml:space="preserve"> carriers</w:t>
      </w:r>
      <w:r w:rsidR="00D74466">
        <w:rPr>
          <w:lang w:val="en-US"/>
        </w:rPr>
        <w:t>.</w:t>
      </w:r>
      <w:bookmarkStart w:id="1" w:name="_Ref499723352"/>
      <w:r w:rsidR="00D74466">
        <w:rPr>
          <w:rStyle w:val="Endnotenzeichen"/>
          <w:lang w:val="en-US"/>
        </w:rPr>
        <w:endnoteReference w:id="2"/>
      </w:r>
      <w:bookmarkEnd w:id="1"/>
      <w:r w:rsidR="00D74466">
        <w:rPr>
          <w:lang w:val="en-US"/>
        </w:rPr>
        <w:t xml:space="preserve"> </w:t>
      </w:r>
      <w:r>
        <w:rPr>
          <w:lang w:val="en-US"/>
        </w:rPr>
        <w:t xml:space="preserve">We show here factors which can dramatically influence the decay kinetics and disable any correct evaluation. </w:t>
      </w:r>
    </w:p>
    <w:p w14:paraId="68E7984C" w14:textId="77777777" w:rsidR="00CD4F49" w:rsidRPr="003205C8" w:rsidRDefault="00CD4F49" w:rsidP="00FD232F">
      <w:pPr>
        <w:spacing w:line="480" w:lineRule="auto"/>
        <w:rPr>
          <w:b/>
          <w:lang w:val="en-US"/>
        </w:rPr>
      </w:pPr>
      <w:r w:rsidRPr="003205C8">
        <w:rPr>
          <w:b/>
          <w:lang w:val="en-US"/>
        </w:rPr>
        <w:t>Which peak should be chosen for the measurement</w:t>
      </w:r>
      <w:r w:rsidR="00680F33" w:rsidRPr="003205C8">
        <w:rPr>
          <w:b/>
          <w:lang w:val="en-US"/>
        </w:rPr>
        <w:t>?</w:t>
      </w:r>
    </w:p>
    <w:p w14:paraId="07D70D57" w14:textId="11EC1622" w:rsidR="00E2407E" w:rsidRDefault="00AB65EE" w:rsidP="00FD232F">
      <w:pPr>
        <w:spacing w:line="480" w:lineRule="auto"/>
        <w:jc w:val="both"/>
        <w:rPr>
          <w:lang w:val="en-US"/>
        </w:rPr>
      </w:pPr>
      <w:r>
        <w:rPr>
          <w:lang w:val="en-US"/>
        </w:rPr>
        <w:t>The fullerene peak is typically much narrower and higher than the polymer peak. It offers much higher</w:t>
      </w:r>
      <w:r w:rsidR="009B71F6">
        <w:rPr>
          <w:lang w:val="en-US"/>
        </w:rPr>
        <w:t xml:space="preserve"> aspect ratio and therefore higher</w:t>
      </w:r>
      <w:r>
        <w:rPr>
          <w:lang w:val="en-US"/>
        </w:rPr>
        <w:t xml:space="preserve"> resolution</w:t>
      </w:r>
      <w:r w:rsidR="009B71F6">
        <w:rPr>
          <w:lang w:val="en-US"/>
        </w:rPr>
        <w:t xml:space="preserve"> for a given modulation amplitude in</w:t>
      </w:r>
      <w:r>
        <w:rPr>
          <w:lang w:val="en-US"/>
        </w:rPr>
        <w:t xml:space="preserve"> </w:t>
      </w:r>
      <w:r w:rsidR="00204FD1" w:rsidRPr="00FD232F">
        <w:rPr>
          <w:color w:val="FF0000"/>
          <w:lang w:val="en-US"/>
        </w:rPr>
        <w:t xml:space="preserve">rise and </w:t>
      </w:r>
      <w:r w:rsidR="00204FD1" w:rsidRPr="00FD232F">
        <w:rPr>
          <w:color w:val="FF0000"/>
          <w:lang w:val="en-US"/>
        </w:rPr>
        <w:lastRenderedPageBreak/>
        <w:t>decay</w:t>
      </w:r>
      <w:r w:rsidRPr="00FD232F">
        <w:rPr>
          <w:color w:val="FF0000"/>
          <w:lang w:val="en-US"/>
        </w:rPr>
        <w:t xml:space="preserve"> </w:t>
      </w:r>
      <w:r>
        <w:rPr>
          <w:lang w:val="en-US"/>
        </w:rPr>
        <w:t xml:space="preserve">LESR measurements. </w:t>
      </w:r>
      <w:r w:rsidR="00186C19">
        <w:rPr>
          <w:lang w:val="en-US"/>
        </w:rPr>
        <w:t>T</w:t>
      </w:r>
      <w:r>
        <w:rPr>
          <w:lang w:val="en-US"/>
        </w:rPr>
        <w:t xml:space="preserve">he fullerene peak overlaps with the polymer peak, therefore any measurement done on this peak will contain also the dynamics from the polymer peak. </w:t>
      </w:r>
      <w:r w:rsidR="009B71F6">
        <w:rPr>
          <w:lang w:val="en-US"/>
        </w:rPr>
        <w:t>P</w:t>
      </w:r>
      <w:r>
        <w:rPr>
          <w:lang w:val="en-US"/>
        </w:rPr>
        <w:t xml:space="preserve">roper evaluation of any measurement done on the fullerene peak has to take into account the dynamics of the polymer peak.  It is therefore </w:t>
      </w:r>
      <w:r w:rsidR="006A1A31">
        <w:rPr>
          <w:lang w:val="en-US"/>
        </w:rPr>
        <w:t>advisable</w:t>
      </w:r>
      <w:r>
        <w:rPr>
          <w:lang w:val="en-US"/>
        </w:rPr>
        <w:t xml:space="preserve"> to record any peak dynamics preferably on the </w:t>
      </w:r>
      <w:r w:rsidR="00C401F3">
        <w:rPr>
          <w:lang w:val="en-US"/>
        </w:rPr>
        <w:t xml:space="preserve">polymer </w:t>
      </w:r>
      <w:r>
        <w:rPr>
          <w:lang w:val="en-US"/>
        </w:rPr>
        <w:t>peak where the overlap of both peaks is minimal.</w:t>
      </w:r>
      <w:r w:rsidR="009B71F6">
        <w:rPr>
          <w:lang w:val="en-US"/>
        </w:rPr>
        <w:t xml:space="preserve"> Schultz et al.</w:t>
      </w:r>
      <w:r w:rsidR="00D74466">
        <w:rPr>
          <w:lang w:val="en-US"/>
        </w:rPr>
        <w:t>[</w:t>
      </w:r>
      <w:r w:rsidR="00D74466">
        <w:rPr>
          <w:lang w:val="en-US"/>
        </w:rPr>
        <w:fldChar w:fldCharType="begin"/>
      </w:r>
      <w:r w:rsidR="00D74466">
        <w:rPr>
          <w:lang w:val="en-US"/>
        </w:rPr>
        <w:instrText xml:space="preserve"> NOTEREF _Ref499723352 \h </w:instrText>
      </w:r>
      <w:r w:rsidR="00C51B00">
        <w:rPr>
          <w:lang w:val="en-US"/>
        </w:rPr>
        <w:instrText xml:space="preserve"> \* MERGEFORMAT </w:instrText>
      </w:r>
      <w:r w:rsidR="00D74466">
        <w:rPr>
          <w:lang w:val="en-US"/>
        </w:rPr>
      </w:r>
      <w:r w:rsidR="00D74466">
        <w:rPr>
          <w:lang w:val="en-US"/>
        </w:rPr>
        <w:fldChar w:fldCharType="separate"/>
      </w:r>
      <w:r w:rsidR="00D74466">
        <w:rPr>
          <w:lang w:val="en-US"/>
        </w:rPr>
        <w:t>2</w:t>
      </w:r>
      <w:r w:rsidR="00D74466">
        <w:rPr>
          <w:lang w:val="en-US"/>
        </w:rPr>
        <w:fldChar w:fldCharType="end"/>
      </w:r>
      <w:r w:rsidR="00D74466">
        <w:rPr>
          <w:lang w:val="en-US"/>
        </w:rPr>
        <w:t>]</w:t>
      </w:r>
      <w:r w:rsidR="009B71F6">
        <w:rPr>
          <w:lang w:val="en-US"/>
        </w:rPr>
        <w:t xml:space="preserve">  did their measurements</w:t>
      </w:r>
      <w:r w:rsidR="00186C19">
        <w:rPr>
          <w:lang w:val="en-US"/>
        </w:rPr>
        <w:t xml:space="preserve"> on </w:t>
      </w:r>
      <w:r w:rsidR="009977C5">
        <w:rPr>
          <w:lang w:val="en-US"/>
        </w:rPr>
        <w:t xml:space="preserve">the </w:t>
      </w:r>
      <w:r w:rsidR="00186C19">
        <w:rPr>
          <w:lang w:val="en-US"/>
        </w:rPr>
        <w:t xml:space="preserve">fullerene peak, </w:t>
      </w:r>
      <w:proofErr w:type="spellStart"/>
      <w:r w:rsidR="00186C19">
        <w:rPr>
          <w:lang w:val="en-US"/>
        </w:rPr>
        <w:t>Carati</w:t>
      </w:r>
      <w:proofErr w:type="spellEnd"/>
      <w:r w:rsidR="00186C19">
        <w:rPr>
          <w:lang w:val="en-US"/>
        </w:rPr>
        <w:t xml:space="preserve"> et al.</w:t>
      </w:r>
      <w:r w:rsidR="009977C5">
        <w:rPr>
          <w:lang w:val="en-US"/>
        </w:rPr>
        <w:t xml:space="preserve"> </w:t>
      </w:r>
      <w:r w:rsidR="00D74466">
        <w:rPr>
          <w:lang w:val="en-US"/>
        </w:rPr>
        <w:t xml:space="preserve">[1] </w:t>
      </w:r>
      <w:r w:rsidR="009977C5">
        <w:rPr>
          <w:lang w:val="en-US"/>
        </w:rPr>
        <w:t>and other authors</w:t>
      </w:r>
      <w:r w:rsidR="00186C19">
        <w:rPr>
          <w:lang w:val="en-US"/>
        </w:rPr>
        <w:t xml:space="preserve"> </w:t>
      </w:r>
      <w:r w:rsidR="009B71F6">
        <w:rPr>
          <w:lang w:val="en-US"/>
        </w:rPr>
        <w:t xml:space="preserve">reported their measurements </w:t>
      </w:r>
      <w:r w:rsidR="009977C5">
        <w:rPr>
          <w:lang w:val="en-US"/>
        </w:rPr>
        <w:t xml:space="preserve">on the </w:t>
      </w:r>
      <w:r w:rsidR="006A1A31">
        <w:rPr>
          <w:lang w:val="en-US"/>
        </w:rPr>
        <w:t>polymer</w:t>
      </w:r>
      <w:r w:rsidR="009977C5">
        <w:rPr>
          <w:lang w:val="en-US"/>
        </w:rPr>
        <w:t xml:space="preserve"> peak.</w:t>
      </w:r>
      <w:r w:rsidR="009B71F6">
        <w:rPr>
          <w:lang w:val="en-US"/>
        </w:rPr>
        <w:fldChar w:fldCharType="begin" w:fldLock="1"/>
      </w:r>
      <w:r w:rsidR="00CC5B5F">
        <w:rPr>
          <w:lang w:val="en-US"/>
        </w:rPr>
        <w:instrText>ADDIN CSL_CITATION { "citationItems" : [ { "id" : "ITEM-1", "itemData" : { "DOI" : "10.1103/PhysRevB.84.245205", "ISSN" : "1098-0121", "author" : [ { "dropping-particle" : "", "family" : "Carati", "given" : "Claudio", "non-dropping-particle" : "", "parse-names" : false, "suffix" : "" }, { "dropping-particle" : "", "family" : "Bonoldi", "given" : "Lucia", "non-dropping-particle" : "", "parse-names" : false, "suffix" : "" }, { "dropping-particle" : "", "family" : "Po", "given" : "Riccardo", "non-dropping-particle" : "", "parse-names" : false, "suffix" : "" } ], "container-title" : "Physical Review B", "id" : "ITEM-1", "issue" : "24", "issued" : { "date-parts" : [ [ "2011", "12" ] ] }, "page" : "245205", "title" : "Density of trap states in organic photovoltaic materials from LESR studies of carrier recombination kinetics", "type" : "article-journal", "volume" : "84" }, "uris" : [ "http://www.mendeley.com/documents/?uuid=6a6507cf-d12d-4cc0-bce7-3dac4c342e6b" ] } ], "mendeley" : { "previouslyFormattedCitation" : "&lt;sup&gt;10&lt;/sup&gt;" }, "properties" : { "noteIndex" : 0 }, "schema" : "https://github.com/citation-style-language/schema/raw/master/csl-citation.json" }</w:instrText>
      </w:r>
      <w:r w:rsidR="009B71F6">
        <w:rPr>
          <w:lang w:val="en-US"/>
        </w:rPr>
        <w:fldChar w:fldCharType="end"/>
      </w:r>
      <w:r w:rsidR="009977C5">
        <w:rPr>
          <w:lang w:val="en-US"/>
        </w:rPr>
        <w:t xml:space="preserve"> </w:t>
      </w:r>
      <w:r w:rsidR="00E2407E">
        <w:rPr>
          <w:lang w:val="en-US"/>
        </w:rPr>
        <w:t xml:space="preserve">Figure </w:t>
      </w:r>
      <w:r w:rsidR="000D672F">
        <w:rPr>
          <w:lang w:val="en-US"/>
        </w:rPr>
        <w:t>S</w:t>
      </w:r>
      <w:r w:rsidR="00201E38">
        <w:rPr>
          <w:lang w:val="en-US"/>
        </w:rPr>
        <w:t>2</w:t>
      </w:r>
      <w:r w:rsidR="00A61D97">
        <w:rPr>
          <w:lang w:val="en-US"/>
        </w:rPr>
        <w:t xml:space="preserve"> i</w:t>
      </w:r>
      <w:r w:rsidR="009977C5">
        <w:rPr>
          <w:lang w:val="en-US"/>
        </w:rPr>
        <w:t xml:space="preserve">llustrates the </w:t>
      </w:r>
      <w:r w:rsidR="00204FD1">
        <w:rPr>
          <w:lang w:val="en-US"/>
        </w:rPr>
        <w:t xml:space="preserve">rise and decay </w:t>
      </w:r>
      <w:r w:rsidR="009977C5">
        <w:rPr>
          <w:lang w:val="en-US"/>
        </w:rPr>
        <w:t xml:space="preserve">measurements done for two samples prepared from the same polymer-fullerene blend. </w:t>
      </w:r>
      <w:r w:rsidR="009B71F6">
        <w:rPr>
          <w:lang w:val="en-US"/>
        </w:rPr>
        <w:t>T</w:t>
      </w:r>
      <w:r w:rsidR="009977C5">
        <w:rPr>
          <w:lang w:val="en-US"/>
        </w:rPr>
        <w:t>he decay of the polymer peak after</w:t>
      </w:r>
      <w:r w:rsidR="009B71F6">
        <w:rPr>
          <w:lang w:val="en-US"/>
        </w:rPr>
        <w:t xml:space="preserve"> the</w:t>
      </w:r>
      <w:r w:rsidR="009977C5">
        <w:rPr>
          <w:lang w:val="en-US"/>
        </w:rPr>
        <w:t xml:space="preserve"> normalization shows the same </w:t>
      </w:r>
      <w:r w:rsidR="006A1A31">
        <w:rPr>
          <w:lang w:val="en-US"/>
        </w:rPr>
        <w:t>behavior</w:t>
      </w:r>
      <w:r w:rsidR="009977C5">
        <w:rPr>
          <w:lang w:val="en-US"/>
        </w:rPr>
        <w:t xml:space="preserve"> for both samples </w:t>
      </w:r>
      <w:r w:rsidR="007B2D7F">
        <w:rPr>
          <w:lang w:val="en-US"/>
        </w:rPr>
        <w:t xml:space="preserve">but </w:t>
      </w:r>
      <w:r w:rsidR="009977C5">
        <w:rPr>
          <w:lang w:val="en-US"/>
        </w:rPr>
        <w:t xml:space="preserve">a huge difference is observed </w:t>
      </w:r>
      <w:r w:rsidR="00D503A6">
        <w:rPr>
          <w:lang w:val="en-US"/>
        </w:rPr>
        <w:t>in</w:t>
      </w:r>
      <w:r w:rsidR="009977C5">
        <w:rPr>
          <w:lang w:val="en-US"/>
        </w:rPr>
        <w:t xml:space="preserve"> the case of the fullerene</w:t>
      </w:r>
      <w:r w:rsidR="00D503A6">
        <w:rPr>
          <w:lang w:val="en-US"/>
        </w:rPr>
        <w:t xml:space="preserve"> peak dynamics.</w:t>
      </w:r>
    </w:p>
    <w:p w14:paraId="6FA9DB9D" w14:textId="13D69AF7" w:rsidR="00E2407E" w:rsidRDefault="00E2407E" w:rsidP="00FD232F">
      <w:pPr>
        <w:keepNext/>
        <w:spacing w:line="480" w:lineRule="auto"/>
        <w:jc w:val="center"/>
      </w:pPr>
      <w:r>
        <w:object w:dxaOrig="6553" w:dyaOrig="5364" w14:anchorId="65CFCAF4">
          <v:shape id="_x0000_i1026" type="#_x0000_t75" style="width:221.85pt;height:180pt" o:ole="">
            <v:imagedata r:id="rId11" o:title=""/>
          </v:shape>
          <o:OLEObject Type="Embed" ProgID="Origin50.Graph" ShapeID="_x0000_i1026" DrawAspect="Content" ObjectID="_1588072820" r:id="rId12"/>
        </w:object>
      </w:r>
    </w:p>
    <w:p w14:paraId="625B023B" w14:textId="2919CD33" w:rsidR="00E2407E" w:rsidRPr="003205C8" w:rsidRDefault="00E2407E" w:rsidP="00FD232F">
      <w:pPr>
        <w:pStyle w:val="Beschriftung"/>
        <w:spacing w:line="480" w:lineRule="auto"/>
        <w:jc w:val="both"/>
        <w:rPr>
          <w:b w:val="0"/>
          <w:color w:val="auto"/>
          <w:sz w:val="20"/>
        </w:rPr>
      </w:pPr>
      <w:r>
        <w:rPr>
          <w:b w:val="0"/>
          <w:color w:val="auto"/>
          <w:sz w:val="20"/>
        </w:rPr>
        <w:t xml:space="preserve">Figure </w:t>
      </w:r>
      <w:r w:rsidR="000D672F">
        <w:rPr>
          <w:b w:val="0"/>
          <w:color w:val="auto"/>
          <w:sz w:val="20"/>
        </w:rPr>
        <w:t>S</w:t>
      </w:r>
      <w:r w:rsidR="00201E38">
        <w:rPr>
          <w:b w:val="0"/>
          <w:color w:val="auto"/>
          <w:sz w:val="20"/>
        </w:rPr>
        <w:t>2</w:t>
      </w:r>
      <w:r>
        <w:rPr>
          <w:b w:val="0"/>
          <w:color w:val="auto"/>
          <w:sz w:val="20"/>
        </w:rPr>
        <w:t>:</w:t>
      </w:r>
      <w:r w:rsidRPr="003205C8">
        <w:rPr>
          <w:b w:val="0"/>
          <w:color w:val="auto"/>
          <w:sz w:val="20"/>
        </w:rPr>
        <w:t xml:space="preserve"> Example of </w:t>
      </w:r>
      <w:r w:rsidR="00204FD1">
        <w:rPr>
          <w:b w:val="0"/>
          <w:color w:val="auto"/>
          <w:sz w:val="20"/>
        </w:rPr>
        <w:t>rise and decay</w:t>
      </w:r>
      <w:r w:rsidRPr="003205C8">
        <w:rPr>
          <w:b w:val="0"/>
          <w:color w:val="auto"/>
          <w:sz w:val="20"/>
        </w:rPr>
        <w:t xml:space="preserve"> LESR spectra of P3HT:PCBM in vacuum sealed tubes at 60K  measured for two different samples prepared from the same P3HT:PCBM blend. </w:t>
      </w:r>
    </w:p>
    <w:p w14:paraId="60277C13" w14:textId="77777777" w:rsidR="00E2407E" w:rsidRPr="003205C8" w:rsidRDefault="00E2407E" w:rsidP="00FD232F">
      <w:pPr>
        <w:spacing w:line="480" w:lineRule="auto"/>
        <w:jc w:val="both"/>
      </w:pPr>
    </w:p>
    <w:p w14:paraId="50138B67" w14:textId="77777777" w:rsidR="00CD4F49" w:rsidRPr="003205C8" w:rsidRDefault="00CD4F49" w:rsidP="00FD232F">
      <w:pPr>
        <w:spacing w:line="480" w:lineRule="auto"/>
        <w:jc w:val="both"/>
        <w:rPr>
          <w:b/>
          <w:lang w:val="en-US"/>
        </w:rPr>
      </w:pPr>
      <w:r w:rsidRPr="003205C8">
        <w:rPr>
          <w:b/>
          <w:lang w:val="en-US"/>
        </w:rPr>
        <w:t>Power and modulation levels for</w:t>
      </w:r>
      <w:r w:rsidR="00A838FD" w:rsidRPr="003205C8">
        <w:rPr>
          <w:b/>
          <w:lang w:val="en-US"/>
        </w:rPr>
        <w:t xml:space="preserve"> the</w:t>
      </w:r>
      <w:r w:rsidRPr="003205C8">
        <w:rPr>
          <w:b/>
          <w:lang w:val="en-US"/>
        </w:rPr>
        <w:t xml:space="preserve"> ESR measurement</w:t>
      </w:r>
    </w:p>
    <w:p w14:paraId="18D7C38A" w14:textId="2781E5DE" w:rsidR="004120EC" w:rsidRDefault="005161B2" w:rsidP="00FD232F">
      <w:pPr>
        <w:spacing w:line="480" w:lineRule="auto"/>
        <w:jc w:val="both"/>
        <w:rPr>
          <w:lang w:val="en-US"/>
        </w:rPr>
      </w:pPr>
      <w:r>
        <w:rPr>
          <w:lang w:val="en-US"/>
        </w:rPr>
        <w:t>In order to get a reasonable signal</w:t>
      </w:r>
      <w:r w:rsidR="004C4E38">
        <w:rPr>
          <w:lang w:val="en-US"/>
        </w:rPr>
        <w:t>-</w:t>
      </w:r>
      <w:r>
        <w:rPr>
          <w:lang w:val="en-US"/>
        </w:rPr>
        <w:t>to</w:t>
      </w:r>
      <w:r w:rsidR="004C4E38">
        <w:rPr>
          <w:lang w:val="en-US"/>
        </w:rPr>
        <w:t>-</w:t>
      </w:r>
      <w:r>
        <w:rPr>
          <w:lang w:val="en-US"/>
        </w:rPr>
        <w:t>noise ratio of the LESR signal the power level has to be adjusted properly. The saturation effects should be possibly avoided. On the other hand due to a very low carrier concentration</w:t>
      </w:r>
      <w:r w:rsidR="00A838FD">
        <w:rPr>
          <w:lang w:val="en-US"/>
        </w:rPr>
        <w:t xml:space="preserve"> in the sample</w:t>
      </w:r>
      <w:r>
        <w:rPr>
          <w:lang w:val="en-US"/>
        </w:rPr>
        <w:t xml:space="preserve"> one wants to maximize the</w:t>
      </w:r>
      <w:r w:rsidR="00A838FD">
        <w:rPr>
          <w:lang w:val="en-US"/>
        </w:rPr>
        <w:t xml:space="preserve"> detected</w:t>
      </w:r>
      <w:r>
        <w:rPr>
          <w:lang w:val="en-US"/>
        </w:rPr>
        <w:t xml:space="preserve"> signal. </w:t>
      </w:r>
      <w:proofErr w:type="gramStart"/>
      <w:r>
        <w:rPr>
          <w:lang w:val="en-US"/>
        </w:rPr>
        <w:t>Therefore the power level as high as 2</w:t>
      </w:r>
      <w:r w:rsidR="00E36375">
        <w:rPr>
          <w:lang w:val="en-US"/>
        </w:rPr>
        <w:t>00</w:t>
      </w:r>
      <w:r>
        <w:rPr>
          <w:lang w:val="en-US"/>
        </w:rPr>
        <w:t xml:space="preserve"> </w:t>
      </w:r>
      <w:proofErr w:type="spellStart"/>
      <w:r w:rsidR="00E36375">
        <w:rPr>
          <w:rFonts w:cstheme="minorHAnsi"/>
          <w:lang w:val="en-US"/>
        </w:rPr>
        <w:t>μ</w:t>
      </w:r>
      <w:r>
        <w:rPr>
          <w:lang w:val="en-US"/>
        </w:rPr>
        <w:t>W</w:t>
      </w:r>
      <w:proofErr w:type="spellEnd"/>
      <w:r>
        <w:rPr>
          <w:lang w:val="en-US"/>
        </w:rPr>
        <w:t xml:space="preserve"> (30 dB)</w:t>
      </w:r>
      <w:r w:rsidR="004C4E38">
        <w:rPr>
          <w:lang w:val="en-US"/>
        </w:rPr>
        <w:t>,</w:t>
      </w:r>
      <w:r>
        <w:rPr>
          <w:lang w:val="en-US"/>
        </w:rPr>
        <w:t xml:space="preserve"> which corresponds with the polymer saturation maximum</w:t>
      </w:r>
      <w:r w:rsidR="00E36375">
        <w:rPr>
          <w:lang w:val="en-US"/>
        </w:rPr>
        <w:t xml:space="preserve"> (maximum</w:t>
      </w:r>
      <w:r w:rsidR="007D22BD">
        <w:rPr>
          <w:lang w:val="en-US"/>
        </w:rPr>
        <w:t xml:space="preserve"> admissible</w:t>
      </w:r>
      <w:r w:rsidR="00E36375">
        <w:rPr>
          <w:lang w:val="en-US"/>
        </w:rPr>
        <w:t xml:space="preserve"> power without saturation effects)</w:t>
      </w:r>
      <w:r w:rsidR="004C4E38">
        <w:rPr>
          <w:lang w:val="en-US"/>
        </w:rPr>
        <w:t>,</w:t>
      </w:r>
      <w:r>
        <w:rPr>
          <w:lang w:val="en-US"/>
        </w:rPr>
        <w:t xml:space="preserve"> is a good choice.</w:t>
      </w:r>
      <w:proofErr w:type="gramEnd"/>
      <w:r>
        <w:rPr>
          <w:lang w:val="en-US"/>
        </w:rPr>
        <w:t xml:space="preserve">  Another source of artefacts which causes</w:t>
      </w:r>
      <w:r w:rsidR="00A838FD">
        <w:rPr>
          <w:lang w:val="en-US"/>
        </w:rPr>
        <w:t xml:space="preserve"> further</w:t>
      </w:r>
      <w:r>
        <w:rPr>
          <w:lang w:val="en-US"/>
        </w:rPr>
        <w:t xml:space="preserve"> broadening of the narrow peaks is the excessive modulation amplitude</w:t>
      </w:r>
      <w:r w:rsidR="004120EC">
        <w:rPr>
          <w:lang w:val="en-US"/>
        </w:rPr>
        <w:t xml:space="preserve">. In order to prevent this </w:t>
      </w:r>
      <w:r w:rsidR="006A1A31">
        <w:rPr>
          <w:lang w:val="en-US"/>
        </w:rPr>
        <w:t>unwanted</w:t>
      </w:r>
      <w:r w:rsidR="004120EC">
        <w:rPr>
          <w:lang w:val="en-US"/>
        </w:rPr>
        <w:t xml:space="preserve"> broadening the modulation amplitude should be kept below 1 G. </w:t>
      </w:r>
      <w:r>
        <w:rPr>
          <w:lang w:val="en-US"/>
        </w:rPr>
        <w:t xml:space="preserve"> </w:t>
      </w:r>
    </w:p>
    <w:p w14:paraId="2D544939" w14:textId="77777777" w:rsidR="00D74466" w:rsidRDefault="00D74466" w:rsidP="00FD232F">
      <w:pPr>
        <w:spacing w:line="480" w:lineRule="auto"/>
        <w:rPr>
          <w:b/>
          <w:lang w:val="en-US"/>
        </w:rPr>
      </w:pPr>
    </w:p>
    <w:p w14:paraId="71BC5A55" w14:textId="77777777" w:rsidR="00CD4F49" w:rsidRPr="003205C8" w:rsidRDefault="00CD4F49" w:rsidP="00FD232F">
      <w:pPr>
        <w:spacing w:line="480" w:lineRule="auto"/>
        <w:rPr>
          <w:b/>
          <w:lang w:val="en-US"/>
        </w:rPr>
      </w:pPr>
      <w:r w:rsidRPr="003205C8">
        <w:rPr>
          <w:b/>
          <w:lang w:val="en-US"/>
        </w:rPr>
        <w:t xml:space="preserve">Temperature and its influence </w:t>
      </w:r>
      <w:r w:rsidR="00DE6991" w:rsidRPr="003205C8">
        <w:rPr>
          <w:b/>
          <w:lang w:val="en-US"/>
        </w:rPr>
        <w:t>on the</w:t>
      </w:r>
      <w:r w:rsidRPr="003205C8">
        <w:rPr>
          <w:b/>
          <w:lang w:val="en-US"/>
        </w:rPr>
        <w:t xml:space="preserve"> </w:t>
      </w:r>
      <w:r w:rsidR="006A1A31" w:rsidRPr="003205C8">
        <w:rPr>
          <w:b/>
          <w:lang w:val="en-US"/>
        </w:rPr>
        <w:t>recombination</w:t>
      </w:r>
      <w:r w:rsidRPr="003205C8">
        <w:rPr>
          <w:b/>
          <w:lang w:val="en-US"/>
        </w:rPr>
        <w:t xml:space="preserve"> dynamics </w:t>
      </w:r>
    </w:p>
    <w:p w14:paraId="505862FD" w14:textId="77F72384" w:rsidR="00E2407E" w:rsidRDefault="0033522C" w:rsidP="00FD232F">
      <w:pPr>
        <w:spacing w:line="480" w:lineRule="auto"/>
        <w:jc w:val="both"/>
      </w:pPr>
      <w:r>
        <w:rPr>
          <w:lang w:val="en-US"/>
        </w:rPr>
        <w:t>Low temperature is essential for increasing</w:t>
      </w:r>
      <w:r w:rsidR="00DE6991">
        <w:rPr>
          <w:lang w:val="en-US"/>
        </w:rPr>
        <w:t xml:space="preserve"> of the</w:t>
      </w:r>
      <w:r>
        <w:rPr>
          <w:lang w:val="en-US"/>
        </w:rPr>
        <w:t xml:space="preserve"> carrier lifetimes for the </w:t>
      </w:r>
      <w:r w:rsidR="006A1A31">
        <w:rPr>
          <w:lang w:val="en-US"/>
        </w:rPr>
        <w:t>successful</w:t>
      </w:r>
      <w:r>
        <w:rPr>
          <w:lang w:val="en-US"/>
        </w:rPr>
        <w:t xml:space="preserve"> detection of the LESR spectra. </w:t>
      </w:r>
      <w:proofErr w:type="gramStart"/>
      <w:r>
        <w:rPr>
          <w:lang w:val="en-US"/>
        </w:rPr>
        <w:t>Monitoring the peak dynamics under the constant illumination while sweeping the temperature can improve our insight into the studied problem</w:t>
      </w:r>
      <w:r w:rsidR="00201E38">
        <w:rPr>
          <w:lang w:val="en-US"/>
        </w:rPr>
        <w:t>.</w:t>
      </w:r>
      <w:proofErr w:type="gramEnd"/>
      <w:r w:rsidR="00201E38">
        <w:rPr>
          <w:lang w:val="en-US"/>
        </w:rPr>
        <w:t xml:space="preserve"> Figure </w:t>
      </w:r>
      <w:r w:rsidR="000D672F">
        <w:rPr>
          <w:lang w:val="en-US"/>
        </w:rPr>
        <w:t>S</w:t>
      </w:r>
      <w:r w:rsidR="00201E38">
        <w:rPr>
          <w:lang w:val="en-US"/>
        </w:rPr>
        <w:t xml:space="preserve">3 </w:t>
      </w:r>
      <w:r>
        <w:rPr>
          <w:lang w:val="en-US"/>
        </w:rPr>
        <w:t xml:space="preserve">shows that different polymer fullerene blends show essentially the same kinetics when the temperature is swept from low to higher temperatures. This also supports the idea that the recombination </w:t>
      </w:r>
      <w:r w:rsidR="006310B2">
        <w:rPr>
          <w:lang w:val="en-US"/>
        </w:rPr>
        <w:t>processes</w:t>
      </w:r>
      <w:r>
        <w:rPr>
          <w:lang w:val="en-US"/>
        </w:rPr>
        <w:t xml:space="preserve"> in the samples are caused by tunneling rather th</w:t>
      </w:r>
      <w:r w:rsidR="008146E8">
        <w:rPr>
          <w:lang w:val="en-US"/>
        </w:rPr>
        <w:t>a</w:t>
      </w:r>
      <w:r>
        <w:rPr>
          <w:lang w:val="en-US"/>
        </w:rPr>
        <w:t>n defects or traps.</w:t>
      </w:r>
      <w:r w:rsidR="00DE6991">
        <w:rPr>
          <w:lang w:val="en-US"/>
        </w:rPr>
        <w:t xml:space="preserve"> </w:t>
      </w:r>
      <w:r w:rsidR="00DE6991" w:rsidRPr="00DE6991">
        <w:rPr>
          <w:lang w:val="en-US"/>
        </w:rPr>
        <w:t>We believe that in the case of oxygen-free samples the spectra follow the model suggested by Schultz et al. based on the tunneling. In this model the recombination probability depends only on the spatial distance among the carriers and the energy barrier.</w:t>
      </w:r>
      <w:r w:rsidR="008146E8">
        <w:rPr>
          <w:lang w:val="en-US"/>
        </w:rPr>
        <w:fldChar w:fldCharType="begin" w:fldLock="1"/>
      </w:r>
      <w:r w:rsidR="00CC5B5F">
        <w:rPr>
          <w:lang w:val="en-US"/>
        </w:rPr>
        <w:instrText>ADDIN CSL_CITATION { "citationItems" : [ { "id" : "ITEM-1", "itemData" : { "DOI" : "10.1103/PhysRevB.64.245210", "ISSN" : "0163-1829", "author" : [ { "dropping-particle" : "", "family" : "Schultz", "given" : "N.", "non-dropping-particle" : "", "parse-names" : false, "suffix" : "" }, { "dropping-particle" : "", "family" : "Scharber", "given" : "M.", "non-dropping-particle" : "", "parse-names" : false, "suffix" : "" }, { "dropping-particle" : "", "family" : "Brabec", "given" : "C.", "non-dropping-particle" : "", "parse-names" : false, "suffix" : "" }, { "dropping-particle" : "", "family" : "Sariciftci", "given" : "N.", "non-dropping-particle" : "", "parse-names" : false, "suffix" : "" } ], "container-title" : "Physical Review B", "id" : "ITEM-1", "issue" : "24", "issued" : { "date-parts" : [ [ "2001", "12" ] ] }, "page" : "245210", "title" : "Low-temperature recombination kinetics of photoexcited persistent charge carriers in conjugated polymer/fullerene composite films", "type" : "article-journal", "volume" : "64" }, "uris" : [ "http://www.mendeley.com/documents/?uuid=665c6c33-76e2-4d20-9e16-7535c8ea0c0e" ] } ], "mendeley" : { "previouslyFormattedCitation" : "&lt;sup&gt;11&lt;/sup&gt;" }, "properties" : { "noteIndex" : 0 }, "schema" : "https://github.com/citation-style-language/schema/raw/master/csl-citation.json" }</w:instrText>
      </w:r>
      <w:r w:rsidR="008146E8">
        <w:rPr>
          <w:lang w:val="en-US"/>
        </w:rPr>
        <w:fldChar w:fldCharType="separate"/>
      </w:r>
      <w:r w:rsidR="00CC5B5F" w:rsidRPr="00CC5B5F">
        <w:rPr>
          <w:noProof/>
          <w:vertAlign w:val="superscript"/>
          <w:lang w:val="en-US"/>
        </w:rPr>
        <w:t>11</w:t>
      </w:r>
      <w:r w:rsidR="008146E8">
        <w:rPr>
          <w:lang w:val="en-US"/>
        </w:rPr>
        <w:fldChar w:fldCharType="end"/>
      </w:r>
    </w:p>
    <w:p w14:paraId="69DA7307" w14:textId="135C9802" w:rsidR="00E2407E" w:rsidRPr="00D936AF" w:rsidRDefault="00FD232F" w:rsidP="00FD232F">
      <w:pPr>
        <w:keepNext/>
        <w:spacing w:line="480" w:lineRule="auto"/>
        <w:jc w:val="center"/>
        <w:rPr>
          <w:lang w:val="en-US"/>
        </w:rPr>
      </w:pPr>
      <w:r>
        <w:pict w14:anchorId="0E5C8577">
          <v:shape id="_x0000_i1027" type="#_x0000_t75" style="width:182.5pt;height:166.6pt">
            <v:imagedata r:id="rId13" o:title=""/>
          </v:shape>
        </w:pict>
      </w:r>
    </w:p>
    <w:p w14:paraId="7C8EC3DC" w14:textId="28A3AAFA" w:rsidR="00E2407E" w:rsidRDefault="00E2407E" w:rsidP="00FD232F">
      <w:pPr>
        <w:spacing w:line="480" w:lineRule="auto"/>
        <w:jc w:val="both"/>
        <w:rPr>
          <w:lang w:val="en-US"/>
        </w:rPr>
      </w:pPr>
      <w:r>
        <w:rPr>
          <w:sz w:val="20"/>
          <w:lang w:val="en-US"/>
        </w:rPr>
        <w:t xml:space="preserve">Figure </w:t>
      </w:r>
      <w:r w:rsidR="000D672F">
        <w:rPr>
          <w:sz w:val="20"/>
          <w:lang w:val="en-US"/>
        </w:rPr>
        <w:t>S</w:t>
      </w:r>
      <w:r w:rsidR="00201E38">
        <w:rPr>
          <w:sz w:val="20"/>
          <w:lang w:val="en-US"/>
        </w:rPr>
        <w:t>3</w:t>
      </w:r>
      <w:r>
        <w:rPr>
          <w:sz w:val="20"/>
          <w:lang w:val="en-US"/>
        </w:rPr>
        <w:t>:</w:t>
      </w:r>
      <w:r w:rsidRPr="003205C8">
        <w:rPr>
          <w:sz w:val="20"/>
        </w:rPr>
        <w:t xml:space="preserve"> Temperature dependence of the LESR spectra („light on“) of different polymer-fullerene blends measured on fullerene peak for thin semitransparent films. The spectra show virtually no difference for different blends favoring the tunneling model against the trap model.</w:t>
      </w:r>
    </w:p>
    <w:p w14:paraId="4812D3A5" w14:textId="77777777" w:rsidR="00201E38" w:rsidRPr="00DE6991" w:rsidRDefault="00201E38" w:rsidP="00FD232F">
      <w:pPr>
        <w:spacing w:line="480" w:lineRule="auto"/>
        <w:jc w:val="both"/>
        <w:rPr>
          <w:lang w:val="en-US"/>
        </w:rPr>
      </w:pPr>
    </w:p>
    <w:p w14:paraId="34974A89" w14:textId="77777777" w:rsidR="00350AF7" w:rsidRPr="003205C8" w:rsidRDefault="00350AF7" w:rsidP="00FD232F">
      <w:pPr>
        <w:spacing w:line="480" w:lineRule="auto"/>
        <w:rPr>
          <w:b/>
          <w:lang w:val="en-US"/>
        </w:rPr>
      </w:pPr>
      <w:r w:rsidRPr="003205C8">
        <w:rPr>
          <w:b/>
          <w:lang w:val="en-US"/>
        </w:rPr>
        <w:t>Thickness dependence</w:t>
      </w:r>
    </w:p>
    <w:p w14:paraId="188342BB" w14:textId="1C4AB296" w:rsidR="00E2407E" w:rsidRPr="009F6025" w:rsidRDefault="003C5A1C" w:rsidP="00FD232F">
      <w:pPr>
        <w:spacing w:line="480" w:lineRule="auto"/>
        <w:jc w:val="both"/>
      </w:pPr>
      <w:r>
        <w:rPr>
          <w:lang w:val="en-US"/>
        </w:rPr>
        <w:t xml:space="preserve">Figure </w:t>
      </w:r>
      <w:r w:rsidR="000D672F">
        <w:rPr>
          <w:lang w:val="en-US"/>
        </w:rPr>
        <w:t>S</w:t>
      </w:r>
      <w:r>
        <w:rPr>
          <w:lang w:val="en-US"/>
        </w:rPr>
        <w:t>4</w:t>
      </w:r>
      <w:r w:rsidR="00E2407E">
        <w:rPr>
          <w:lang w:val="en-US"/>
        </w:rPr>
        <w:t xml:space="preserve"> </w:t>
      </w:r>
      <w:r w:rsidR="008146E8" w:rsidRPr="00E2407E">
        <w:rPr>
          <w:lang w:val="en-US"/>
        </w:rPr>
        <w:t>shows</w:t>
      </w:r>
      <w:r w:rsidR="00350AF7" w:rsidRPr="00E2407E">
        <w:rPr>
          <w:lang w:val="en-US"/>
        </w:rPr>
        <w:t xml:space="preserve"> a thickness dependence</w:t>
      </w:r>
      <w:r w:rsidR="008146E8" w:rsidRPr="00E2407E">
        <w:rPr>
          <w:lang w:val="en-US"/>
        </w:rPr>
        <w:t>s</w:t>
      </w:r>
      <w:r w:rsidR="00350AF7" w:rsidRPr="00E2407E">
        <w:rPr>
          <w:lang w:val="en-US"/>
        </w:rPr>
        <w:t xml:space="preserve"> of the</w:t>
      </w:r>
      <w:r w:rsidR="006059FD" w:rsidRPr="00E2407E">
        <w:rPr>
          <w:lang w:val="en-US"/>
        </w:rPr>
        <w:t xml:space="preserve"> LESR signals and</w:t>
      </w:r>
      <w:r w:rsidR="00350AF7" w:rsidRPr="00E2407E">
        <w:rPr>
          <w:lang w:val="en-US"/>
        </w:rPr>
        <w:t xml:space="preserve"> </w:t>
      </w:r>
      <w:r w:rsidR="006059FD" w:rsidRPr="00E2407E">
        <w:rPr>
          <w:lang w:val="en-US"/>
        </w:rPr>
        <w:t xml:space="preserve">the </w:t>
      </w:r>
      <w:r w:rsidR="00204FD1" w:rsidRPr="00FD232F">
        <w:rPr>
          <w:color w:val="FF0000"/>
          <w:lang w:val="en-US"/>
        </w:rPr>
        <w:t>rise and decay</w:t>
      </w:r>
      <w:r w:rsidR="00350AF7" w:rsidRPr="00FD232F">
        <w:rPr>
          <w:color w:val="FF0000"/>
          <w:lang w:val="en-US"/>
        </w:rPr>
        <w:t xml:space="preserve"> LESR </w:t>
      </w:r>
      <w:r w:rsidR="00204FD1" w:rsidRPr="00FD232F">
        <w:rPr>
          <w:color w:val="FF0000"/>
          <w:lang w:val="en-US"/>
        </w:rPr>
        <w:t xml:space="preserve">curves </w:t>
      </w:r>
      <w:r w:rsidR="008146E8" w:rsidRPr="00E2407E">
        <w:rPr>
          <w:lang w:val="en-US"/>
        </w:rPr>
        <w:t xml:space="preserve">in </w:t>
      </w:r>
      <w:r w:rsidR="008146E8" w:rsidRPr="00E2407E">
        <w:t>P3HT</w:t>
      </w:r>
      <w:proofErr w:type="gramStart"/>
      <w:r w:rsidR="008146E8" w:rsidRPr="00E2407E">
        <w:t>:PCBM</w:t>
      </w:r>
      <w:proofErr w:type="gramEnd"/>
      <w:r w:rsidR="008146E8" w:rsidRPr="00E2407E">
        <w:t xml:space="preserve"> and ZZ115:PCBM</w:t>
      </w:r>
      <w:r w:rsidR="00C816A7" w:rsidRPr="00E2407E">
        <w:t xml:space="preserve"> films</w:t>
      </w:r>
      <w:r w:rsidR="00350AF7" w:rsidRPr="00E2407E">
        <w:rPr>
          <w:lang w:val="en-US"/>
        </w:rPr>
        <w:t>. We have started with a semitransparent film in the tube and increased</w:t>
      </w:r>
      <w:r w:rsidR="006059FD" w:rsidRPr="00E2407E">
        <w:rPr>
          <w:lang w:val="en-US"/>
        </w:rPr>
        <w:t xml:space="preserve"> </w:t>
      </w:r>
      <w:r w:rsidR="00350AF7" w:rsidRPr="00E2407E">
        <w:rPr>
          <w:lang w:val="en-US"/>
        </w:rPr>
        <w:t xml:space="preserve">the </w:t>
      </w:r>
      <w:r w:rsidR="006059FD" w:rsidRPr="00E2407E">
        <w:rPr>
          <w:lang w:val="en-US"/>
        </w:rPr>
        <w:t>film</w:t>
      </w:r>
      <w:r w:rsidR="00350AF7" w:rsidRPr="00E2407E">
        <w:rPr>
          <w:lang w:val="en-US"/>
        </w:rPr>
        <w:t xml:space="preserve"> thickness</w:t>
      </w:r>
      <w:r w:rsidR="002C61CB" w:rsidRPr="00E2407E">
        <w:rPr>
          <w:lang w:val="en-US"/>
        </w:rPr>
        <w:t xml:space="preserve"> subsequently</w:t>
      </w:r>
      <w:r w:rsidR="00350AF7" w:rsidRPr="00E2407E">
        <w:rPr>
          <w:lang w:val="en-US"/>
        </w:rPr>
        <w:t xml:space="preserve"> by add</w:t>
      </w:r>
      <w:r w:rsidR="006059FD" w:rsidRPr="00E2407E">
        <w:rPr>
          <w:lang w:val="en-US"/>
        </w:rPr>
        <w:t xml:space="preserve">ing more material into the tube. The </w:t>
      </w:r>
      <w:r w:rsidR="00204FD1" w:rsidRPr="00FD232F">
        <w:rPr>
          <w:color w:val="FF0000"/>
          <w:lang w:val="en-US"/>
        </w:rPr>
        <w:t>rise and decay</w:t>
      </w:r>
      <w:r w:rsidR="006059FD" w:rsidRPr="00FD232F">
        <w:rPr>
          <w:color w:val="FF0000"/>
          <w:lang w:val="en-US"/>
        </w:rPr>
        <w:t xml:space="preserve"> LESR </w:t>
      </w:r>
      <w:r w:rsidR="00204FD1" w:rsidRPr="00FD232F">
        <w:rPr>
          <w:color w:val="FF0000"/>
          <w:lang w:val="en-US"/>
        </w:rPr>
        <w:t>curves</w:t>
      </w:r>
      <w:r w:rsidR="00204FD1" w:rsidRPr="00E2407E">
        <w:rPr>
          <w:lang w:val="en-US"/>
        </w:rPr>
        <w:t xml:space="preserve"> </w:t>
      </w:r>
      <w:r w:rsidR="006059FD" w:rsidRPr="00E2407E">
        <w:rPr>
          <w:lang w:val="en-US"/>
        </w:rPr>
        <w:t xml:space="preserve">show a clear increase in the persistent part of the signal for thicker samples. This illustrates another serious problem for the “defect and trap” model </w:t>
      </w:r>
      <w:r w:rsidR="006310B2" w:rsidRPr="00E2407E">
        <w:rPr>
          <w:lang w:val="en-US"/>
        </w:rPr>
        <w:t>because</w:t>
      </w:r>
      <w:r w:rsidR="006059FD" w:rsidRPr="00E2407E">
        <w:rPr>
          <w:lang w:val="en-US"/>
        </w:rPr>
        <w:t xml:space="preserve"> of the different decay </w:t>
      </w:r>
      <w:r w:rsidR="006310B2" w:rsidRPr="00E2407E">
        <w:rPr>
          <w:lang w:val="en-US"/>
        </w:rPr>
        <w:t>behavior</w:t>
      </w:r>
      <w:r w:rsidR="006059FD" w:rsidRPr="00E2407E">
        <w:rPr>
          <w:lang w:val="en-US"/>
        </w:rPr>
        <w:t xml:space="preserve"> </w:t>
      </w:r>
      <w:r w:rsidR="00EF4A20" w:rsidRPr="00E2407E">
        <w:rPr>
          <w:lang w:val="en-US"/>
        </w:rPr>
        <w:t xml:space="preserve">for different </w:t>
      </w:r>
      <w:r w:rsidR="006310B2" w:rsidRPr="00E2407E">
        <w:rPr>
          <w:lang w:val="en-US"/>
        </w:rPr>
        <w:t>thicknesses</w:t>
      </w:r>
      <w:r w:rsidR="00EF4A20" w:rsidRPr="00E2407E">
        <w:rPr>
          <w:lang w:val="en-US"/>
        </w:rPr>
        <w:t>. The bigger persistent part represents “deep traps”</w:t>
      </w:r>
      <w:r w:rsidR="00C816A7" w:rsidRPr="00E2407E">
        <w:rPr>
          <w:lang w:val="en-US"/>
        </w:rPr>
        <w:t xml:space="preserve"> in this model</w:t>
      </w:r>
      <w:r w:rsidR="00EF4A20" w:rsidRPr="00E2407E">
        <w:rPr>
          <w:lang w:val="en-US"/>
        </w:rPr>
        <w:t xml:space="preserve"> and therefore one may “tune” the number of deep traps in the model based on the sample thickness. More favorable explanation for this type of </w:t>
      </w:r>
      <w:r w:rsidR="006310B2" w:rsidRPr="00E2407E">
        <w:rPr>
          <w:lang w:val="en-US"/>
        </w:rPr>
        <w:t>behavior</w:t>
      </w:r>
      <w:r w:rsidR="00EF4A20" w:rsidRPr="00E2407E">
        <w:rPr>
          <w:lang w:val="en-US"/>
        </w:rPr>
        <w:t xml:space="preserve"> represents the tunneling model where we can see a transition from a quasi 2D type tunneling (semitran</w:t>
      </w:r>
      <w:r w:rsidR="00C816A7" w:rsidRPr="00E2407E">
        <w:rPr>
          <w:lang w:val="en-US"/>
        </w:rPr>
        <w:t>sparent sample) to a 3D type tunneling</w:t>
      </w:r>
      <w:r w:rsidR="00EF4A20" w:rsidRPr="00E2407E">
        <w:rPr>
          <w:lang w:val="en-US"/>
        </w:rPr>
        <w:t xml:space="preserve"> with a clear saturation at higher thickness. </w:t>
      </w:r>
    </w:p>
    <w:p w14:paraId="7EA3B50E" w14:textId="77777777" w:rsidR="00E2407E" w:rsidRDefault="00E2407E" w:rsidP="00FD232F">
      <w:pPr>
        <w:keepNext/>
        <w:spacing w:line="480" w:lineRule="auto"/>
        <w:jc w:val="both"/>
      </w:pPr>
      <w:r>
        <w:object w:dxaOrig="6553" w:dyaOrig="5364" w14:anchorId="6B865112">
          <v:shape id="_x0000_i1028" type="#_x0000_t75" style="width:221pt;height:181.65pt" o:ole="">
            <v:imagedata r:id="rId14" o:title=""/>
          </v:shape>
          <o:OLEObject Type="Embed" ProgID="Origin50.Graph" ShapeID="_x0000_i1028" DrawAspect="Content" ObjectID="_1588072821" r:id="rId15"/>
        </w:object>
      </w:r>
      <w:r>
        <w:object w:dxaOrig="6553" w:dyaOrig="5364" w14:anchorId="1AE10D76">
          <v:shape id="_x0000_i1029" type="#_x0000_t75" style="width:220.2pt;height:181.65pt" o:ole="">
            <v:imagedata r:id="rId16" o:title=""/>
          </v:shape>
          <o:OLEObject Type="Embed" ProgID="Origin50.Graph" ShapeID="_x0000_i1029" DrawAspect="Content" ObjectID="_1588072822" r:id="rId17"/>
        </w:object>
      </w:r>
      <w:r>
        <w:object w:dxaOrig="6553" w:dyaOrig="5364" w14:anchorId="46CE2D53">
          <v:shape id="_x0000_i1030" type="#_x0000_t75" style="width:221.85pt;height:182.5pt" o:ole="">
            <v:imagedata r:id="rId18" o:title=""/>
          </v:shape>
          <o:OLEObject Type="Embed" ProgID="Origin50.Graph" ShapeID="_x0000_i1030" DrawAspect="Content" ObjectID="_1588072823" r:id="rId19"/>
        </w:object>
      </w:r>
      <w:r>
        <w:object w:dxaOrig="6553" w:dyaOrig="5364" w14:anchorId="6EADB19A">
          <v:shape id="_x0000_i1031" type="#_x0000_t75" style="width:224.35pt;height:185pt" o:ole="">
            <v:imagedata r:id="rId20" o:title=""/>
          </v:shape>
          <o:OLEObject Type="Embed" ProgID="Origin50.Graph" ShapeID="_x0000_i1031" DrawAspect="Content" ObjectID="_1588072824" r:id="rId21"/>
        </w:object>
      </w:r>
      <w:r w:rsidRPr="004F54E5">
        <w:t xml:space="preserve"> </w:t>
      </w:r>
    </w:p>
    <w:p w14:paraId="1FF77743" w14:textId="691653AA" w:rsidR="00E2407E" w:rsidRPr="003205C8" w:rsidRDefault="00E2407E" w:rsidP="00FD232F">
      <w:pPr>
        <w:spacing w:line="480" w:lineRule="auto"/>
        <w:jc w:val="both"/>
        <w:rPr>
          <w:sz w:val="20"/>
          <w:lang w:val="en-US"/>
        </w:rPr>
      </w:pPr>
      <w:r w:rsidRPr="003205C8">
        <w:rPr>
          <w:sz w:val="20"/>
        </w:rPr>
        <w:t xml:space="preserve">Figure </w:t>
      </w:r>
      <w:r w:rsidR="000D672F">
        <w:rPr>
          <w:sz w:val="20"/>
        </w:rPr>
        <w:t>S</w:t>
      </w:r>
      <w:r w:rsidR="003C5A1C">
        <w:rPr>
          <w:sz w:val="20"/>
        </w:rPr>
        <w:t>4</w:t>
      </w:r>
      <w:r w:rsidRPr="003205C8">
        <w:rPr>
          <w:sz w:val="20"/>
        </w:rPr>
        <w:t xml:space="preserve">: LESR and </w:t>
      </w:r>
      <w:r w:rsidR="00204FD1">
        <w:rPr>
          <w:sz w:val="20"/>
        </w:rPr>
        <w:t>rise and decay</w:t>
      </w:r>
      <w:r w:rsidRPr="003205C8">
        <w:rPr>
          <w:sz w:val="20"/>
        </w:rPr>
        <w:t xml:space="preserve"> LESR spectra of P3HT:PCBM (a, b) and ZZ115:PCBM (c, d) in </w:t>
      </w:r>
      <w:r w:rsidRPr="003205C8">
        <w:rPr>
          <w:sz w:val="20"/>
          <w:lang w:val="en-US"/>
        </w:rPr>
        <w:t xml:space="preserve">flame-free </w:t>
      </w:r>
      <w:proofErr w:type="spellStart"/>
      <w:r w:rsidRPr="003205C8">
        <w:rPr>
          <w:sz w:val="20"/>
          <w:lang w:val="en-US"/>
        </w:rPr>
        <w:t>suprasil</w:t>
      </w:r>
      <w:proofErr w:type="spellEnd"/>
      <w:r w:rsidRPr="003205C8">
        <w:rPr>
          <w:sz w:val="20"/>
          <w:lang w:val="en-US"/>
        </w:rPr>
        <w:t xml:space="preserve"> EPR low pressure tubes for different thicknesses of films in vacuum measured at 60 K. The material was added into the tube in nitrogen filled glove box after each measurement cycle increasing the film thickness. </w:t>
      </w:r>
      <w:proofErr w:type="gramStart"/>
      <w:r w:rsidRPr="003205C8">
        <w:rPr>
          <w:sz w:val="20"/>
          <w:lang w:val="en-US"/>
        </w:rPr>
        <w:t xml:space="preserve">Increasing the film thickness results in increase of the persistent part of the </w:t>
      </w:r>
      <w:r w:rsidR="00204FD1">
        <w:rPr>
          <w:sz w:val="20"/>
          <w:lang w:val="en-US"/>
        </w:rPr>
        <w:t>rise and decay</w:t>
      </w:r>
      <w:r w:rsidRPr="003205C8">
        <w:rPr>
          <w:sz w:val="20"/>
          <w:lang w:val="en-US"/>
        </w:rPr>
        <w:t xml:space="preserve"> LESR.</w:t>
      </w:r>
      <w:proofErr w:type="gramEnd"/>
    </w:p>
    <w:p w14:paraId="1CED4B28" w14:textId="77777777" w:rsidR="00CD4F49" w:rsidRPr="003205C8" w:rsidRDefault="00CD4F49" w:rsidP="00FD232F">
      <w:pPr>
        <w:spacing w:line="480" w:lineRule="auto"/>
        <w:rPr>
          <w:b/>
          <w:lang w:val="en-US"/>
        </w:rPr>
      </w:pPr>
      <w:proofErr w:type="gramStart"/>
      <w:r w:rsidRPr="003205C8">
        <w:rPr>
          <w:b/>
          <w:lang w:val="en-US"/>
        </w:rPr>
        <w:t>g-factor</w:t>
      </w:r>
      <w:proofErr w:type="gramEnd"/>
      <w:r w:rsidRPr="003205C8">
        <w:rPr>
          <w:b/>
          <w:lang w:val="en-US"/>
        </w:rPr>
        <w:t xml:space="preserve"> shift and its influence on the recorded spectrum</w:t>
      </w:r>
    </w:p>
    <w:p w14:paraId="3467FB2A" w14:textId="70BD4D26" w:rsidR="00254304" w:rsidRDefault="0033522C" w:rsidP="00FD232F">
      <w:pPr>
        <w:spacing w:line="480" w:lineRule="auto"/>
        <w:jc w:val="both"/>
        <w:rPr>
          <w:lang w:val="en-US"/>
        </w:rPr>
      </w:pPr>
      <w:r>
        <w:rPr>
          <w:lang w:val="en-US"/>
        </w:rPr>
        <w:t xml:space="preserve">Temperature-dependent recombination </w:t>
      </w:r>
      <w:r w:rsidR="007441D8">
        <w:rPr>
          <w:lang w:val="en-US"/>
        </w:rPr>
        <w:t>spectra show some deviation at low temperature (below 50</w:t>
      </w:r>
      <w:r w:rsidR="000D1AE6">
        <w:rPr>
          <w:lang w:val="en-US"/>
        </w:rPr>
        <w:t> </w:t>
      </w:r>
      <w:r w:rsidR="007441D8">
        <w:rPr>
          <w:lang w:val="en-US"/>
        </w:rPr>
        <w:t xml:space="preserve">K). This is obviously caused by the g-factor shift at those low temperatures in some of the polymer fullerene blends. The apex of the peak drifts whereas the static magnetic field stays constant during the whole measurement which causes the decrease of the signal at low temperature. </w:t>
      </w:r>
    </w:p>
    <w:p w14:paraId="141B3A79" w14:textId="77777777" w:rsidR="00254304" w:rsidRDefault="00254304" w:rsidP="00FD232F">
      <w:pPr>
        <w:spacing w:line="480" w:lineRule="auto"/>
        <w:jc w:val="both"/>
        <w:rPr>
          <w:lang w:val="en-US"/>
        </w:rPr>
      </w:pPr>
    </w:p>
    <w:p w14:paraId="3C8CE051" w14:textId="6E03BCD2" w:rsidR="00CD4F49" w:rsidRPr="003205C8" w:rsidRDefault="00CD4F49" w:rsidP="00FD232F">
      <w:pPr>
        <w:spacing w:line="480" w:lineRule="auto"/>
        <w:rPr>
          <w:b/>
          <w:lang w:val="en-US"/>
        </w:rPr>
      </w:pPr>
      <w:r w:rsidRPr="003205C8">
        <w:rPr>
          <w:b/>
          <w:lang w:val="en-US"/>
        </w:rPr>
        <w:t>Degradation pathway</w:t>
      </w:r>
    </w:p>
    <w:p w14:paraId="5094EB1C" w14:textId="395A30C7" w:rsidR="00DE6991" w:rsidRDefault="00516AC9" w:rsidP="00FD232F">
      <w:pPr>
        <w:spacing w:line="480" w:lineRule="auto"/>
        <w:jc w:val="both"/>
      </w:pPr>
      <w:r>
        <w:rPr>
          <w:lang w:val="en-US"/>
        </w:rPr>
        <w:t xml:space="preserve">We show the evidence that in the properly evacuated and sealed tubes no degradation occurs when the samples are exposed to the visible or/and ultraviolet light even for a prolonged period of time. Conversely, the samples in which the vacuum was broken due to </w:t>
      </w:r>
      <w:r w:rsidR="006310B2">
        <w:rPr>
          <w:lang w:val="en-US"/>
        </w:rPr>
        <w:t>improper</w:t>
      </w:r>
      <w:r>
        <w:rPr>
          <w:lang w:val="en-US"/>
        </w:rPr>
        <w:t xml:space="preserve"> melting, defects in the quartz walls, or by intentional breaking</w:t>
      </w:r>
      <w:r w:rsidR="00C816A7">
        <w:rPr>
          <w:lang w:val="en-US"/>
        </w:rPr>
        <w:t xml:space="preserve"> of</w:t>
      </w:r>
      <w:r>
        <w:rPr>
          <w:lang w:val="en-US"/>
        </w:rPr>
        <w:t xml:space="preserve"> the tubes</w:t>
      </w:r>
      <w:r w:rsidR="00252BE6">
        <w:rPr>
          <w:lang w:val="en-US"/>
        </w:rPr>
        <w:t>,</w:t>
      </w:r>
      <w:r>
        <w:rPr>
          <w:lang w:val="en-US"/>
        </w:rPr>
        <w:t xml:space="preserve"> </w:t>
      </w:r>
      <w:r w:rsidR="00252BE6">
        <w:rPr>
          <w:lang w:val="en-US"/>
        </w:rPr>
        <w:t>show a significant increase of the polymer LESR peak and simultaneous disappearance of the fullerene LESR peak when exposed to the visible or ultraviolet light</w:t>
      </w:r>
      <w:r w:rsidR="00D74466">
        <w:rPr>
          <w:lang w:val="en-US"/>
        </w:rPr>
        <w:t xml:space="preserve"> (Figure </w:t>
      </w:r>
      <w:r w:rsidR="000D672F">
        <w:rPr>
          <w:lang w:val="en-US"/>
        </w:rPr>
        <w:t>S</w:t>
      </w:r>
      <w:r w:rsidR="00D74466">
        <w:rPr>
          <w:lang w:val="en-US"/>
        </w:rPr>
        <w:t xml:space="preserve">5 and Figure </w:t>
      </w:r>
      <w:r w:rsidR="000D672F">
        <w:rPr>
          <w:lang w:val="en-US"/>
        </w:rPr>
        <w:t>S</w:t>
      </w:r>
      <w:r w:rsidR="00D74466">
        <w:rPr>
          <w:lang w:val="en-US"/>
        </w:rPr>
        <w:t>6).</w:t>
      </w:r>
    </w:p>
    <w:p w14:paraId="365E1D23" w14:textId="50160629" w:rsidR="000C1CC5" w:rsidRDefault="00C1577A" w:rsidP="00FD232F">
      <w:pPr>
        <w:pStyle w:val="Beschriftung"/>
        <w:spacing w:line="480" w:lineRule="auto"/>
        <w:jc w:val="both"/>
        <w:rPr>
          <w:lang w:val="en-US"/>
        </w:rPr>
      </w:pPr>
      <w:r>
        <w:rPr>
          <w:color w:val="auto"/>
        </w:rPr>
        <w:t xml:space="preserve">    </w:t>
      </w:r>
      <w:r w:rsidR="0097318E">
        <w:rPr>
          <w:color w:val="auto"/>
        </w:rPr>
        <w:t xml:space="preserve"> </w:t>
      </w:r>
    </w:p>
    <w:p w14:paraId="5390A30D" w14:textId="77777777" w:rsidR="00503DA5" w:rsidRDefault="000C1CC5" w:rsidP="00FD232F">
      <w:pPr>
        <w:keepNext/>
        <w:spacing w:line="480" w:lineRule="auto"/>
        <w:jc w:val="both"/>
        <w:rPr>
          <w:lang w:val="en-US"/>
        </w:rPr>
      </w:pPr>
      <w:r>
        <w:rPr>
          <w:lang w:val="en-US"/>
        </w:rPr>
        <w:t xml:space="preserve">  </w:t>
      </w:r>
      <w:r w:rsidR="00655918">
        <w:rPr>
          <w:lang w:val="en-US"/>
        </w:rPr>
        <w:t xml:space="preserve"> </w:t>
      </w:r>
      <w:r w:rsidR="00B87522">
        <w:object w:dxaOrig="6502" w:dyaOrig="5219" w14:anchorId="52E37FC1">
          <v:shape id="_x0000_i1032" type="#_x0000_t75" style="width:220.2pt;height:176.65pt" o:ole="">
            <v:imagedata r:id="rId22" o:title=""/>
          </v:shape>
          <o:OLEObject Type="Embed" ProgID="Origin50.Graph" ShapeID="_x0000_i1032" DrawAspect="Content" ObjectID="_1588072825" r:id="rId23"/>
        </w:object>
      </w:r>
      <w:r w:rsidR="00B947CE">
        <w:t xml:space="preserve"> </w:t>
      </w:r>
      <w:r w:rsidR="00B87522">
        <w:object w:dxaOrig="6502" w:dyaOrig="5219" w14:anchorId="7CA8E893">
          <v:shape id="_x0000_i1033" type="#_x0000_t75" style="width:216.85pt;height:174.15pt" o:ole="">
            <v:imagedata r:id="rId24" o:title=""/>
          </v:shape>
          <o:OLEObject Type="Embed" ProgID="Origin50.Graph" ShapeID="_x0000_i1033" DrawAspect="Content" ObjectID="_1588072826" r:id="rId25"/>
        </w:object>
      </w:r>
    </w:p>
    <w:p w14:paraId="6ECC13AB" w14:textId="390CFC0C" w:rsidR="00503DA5" w:rsidRPr="003205C8" w:rsidRDefault="00201E38" w:rsidP="00FD232F">
      <w:pPr>
        <w:pStyle w:val="Beschriftung"/>
        <w:spacing w:line="480" w:lineRule="auto"/>
        <w:jc w:val="both"/>
        <w:rPr>
          <w:b w:val="0"/>
          <w:color w:val="auto"/>
          <w:sz w:val="20"/>
          <w:lang w:val="en-US"/>
        </w:rPr>
      </w:pPr>
      <w:bookmarkStart w:id="2" w:name="_Ref384844453"/>
      <w:r>
        <w:rPr>
          <w:b w:val="0"/>
          <w:color w:val="auto"/>
          <w:sz w:val="20"/>
        </w:rPr>
        <w:t xml:space="preserve">Figure </w:t>
      </w:r>
      <w:r w:rsidR="000D672F">
        <w:rPr>
          <w:b w:val="0"/>
          <w:color w:val="auto"/>
          <w:sz w:val="20"/>
        </w:rPr>
        <w:t>S</w:t>
      </w:r>
      <w:r>
        <w:rPr>
          <w:b w:val="0"/>
          <w:color w:val="auto"/>
          <w:sz w:val="20"/>
        </w:rPr>
        <w:t>5:</w:t>
      </w:r>
      <w:bookmarkEnd w:id="2"/>
      <w:r w:rsidR="00AD796A" w:rsidRPr="003205C8">
        <w:rPr>
          <w:b w:val="0"/>
          <w:color w:val="auto"/>
          <w:sz w:val="20"/>
        </w:rPr>
        <w:t xml:space="preserve"> Example of LESR spectra of the samples in leaky ESR tubes exposed to </w:t>
      </w:r>
      <w:r w:rsidR="008B303F" w:rsidRPr="003205C8">
        <w:rPr>
          <w:b w:val="0"/>
          <w:color w:val="auto"/>
          <w:sz w:val="20"/>
        </w:rPr>
        <w:t>light from the</w:t>
      </w:r>
      <w:r w:rsidR="00AD796A" w:rsidRPr="003205C8">
        <w:rPr>
          <w:b w:val="0"/>
          <w:color w:val="auto"/>
          <w:sz w:val="20"/>
        </w:rPr>
        <w:t xml:space="preserve"> sun simulator</w:t>
      </w:r>
      <w:r w:rsidR="008B303F" w:rsidRPr="003205C8">
        <w:rPr>
          <w:b w:val="0"/>
          <w:color w:val="auto"/>
          <w:sz w:val="20"/>
        </w:rPr>
        <w:t xml:space="preserve"> and UV lamp for different time intervals</w:t>
      </w:r>
      <w:r w:rsidR="00AE4107" w:rsidRPr="003205C8">
        <w:rPr>
          <w:b w:val="0"/>
          <w:color w:val="auto"/>
          <w:sz w:val="20"/>
        </w:rPr>
        <w:t xml:space="preserve"> measured at 60 K</w:t>
      </w:r>
      <w:r w:rsidR="008B303F" w:rsidRPr="003205C8">
        <w:rPr>
          <w:b w:val="0"/>
          <w:color w:val="auto"/>
          <w:sz w:val="20"/>
        </w:rPr>
        <w:t xml:space="preserve">. </w:t>
      </w:r>
      <w:r w:rsidR="00AD796A" w:rsidRPr="003205C8">
        <w:rPr>
          <w:b w:val="0"/>
          <w:color w:val="auto"/>
          <w:sz w:val="20"/>
        </w:rPr>
        <w:t xml:space="preserve"> </w:t>
      </w:r>
      <w:r w:rsidR="008B303F" w:rsidRPr="003205C8">
        <w:rPr>
          <w:b w:val="0"/>
          <w:color w:val="auto"/>
          <w:sz w:val="20"/>
        </w:rPr>
        <w:t>a) P3HT:PCBM, b) ZZ115:PCBM</w:t>
      </w:r>
    </w:p>
    <w:p w14:paraId="261B812E" w14:textId="77777777" w:rsidR="00AE1C9F" w:rsidRDefault="007C66F5" w:rsidP="00FD232F">
      <w:pPr>
        <w:keepNext/>
        <w:spacing w:line="480" w:lineRule="auto"/>
        <w:jc w:val="both"/>
        <w:rPr>
          <w:lang w:val="en-US"/>
        </w:rPr>
      </w:pPr>
      <w:r>
        <w:object w:dxaOrig="6553" w:dyaOrig="5364" w14:anchorId="76EF4AF5">
          <v:shape id="_x0000_i1034" type="#_x0000_t75" style="width:209.3pt;height:174.15pt" o:ole="">
            <v:imagedata r:id="rId26" o:title=""/>
          </v:shape>
          <o:OLEObject Type="Embed" ProgID="Origin50.Graph" ShapeID="_x0000_i1034" DrawAspect="Content" ObjectID="_1588072827" r:id="rId27"/>
        </w:object>
      </w:r>
      <w:r>
        <w:object w:dxaOrig="6553" w:dyaOrig="5364" w14:anchorId="551B8713">
          <v:shape id="_x0000_i1035" type="#_x0000_t75" style="width:220.2pt;height:180pt" o:ole="">
            <v:imagedata r:id="rId28" o:title=""/>
          </v:shape>
          <o:OLEObject Type="Embed" ProgID="Origin50.Graph" ShapeID="_x0000_i1035" DrawAspect="Content" ObjectID="_1588072828" r:id="rId29"/>
        </w:object>
      </w:r>
    </w:p>
    <w:p w14:paraId="08379782" w14:textId="7ED03CA6" w:rsidR="00777FB9" w:rsidRPr="003205C8" w:rsidRDefault="00201E38" w:rsidP="00FD232F">
      <w:pPr>
        <w:pStyle w:val="Beschriftung"/>
        <w:spacing w:line="480" w:lineRule="auto"/>
        <w:jc w:val="both"/>
        <w:rPr>
          <w:b w:val="0"/>
          <w:color w:val="auto"/>
          <w:sz w:val="28"/>
        </w:rPr>
      </w:pPr>
      <w:r w:rsidRPr="003205C8">
        <w:rPr>
          <w:b w:val="0"/>
          <w:color w:val="auto"/>
          <w:sz w:val="20"/>
        </w:rPr>
        <w:t xml:space="preserve">Figure </w:t>
      </w:r>
      <w:r w:rsidR="000D672F">
        <w:rPr>
          <w:b w:val="0"/>
          <w:color w:val="auto"/>
          <w:sz w:val="20"/>
        </w:rPr>
        <w:t>S</w:t>
      </w:r>
      <w:r w:rsidRPr="003205C8">
        <w:rPr>
          <w:b w:val="0"/>
          <w:color w:val="auto"/>
          <w:sz w:val="20"/>
        </w:rPr>
        <w:t>6:</w:t>
      </w:r>
      <w:r w:rsidR="00AE4107" w:rsidRPr="003205C8">
        <w:rPr>
          <w:b w:val="0"/>
          <w:color w:val="auto"/>
          <w:sz w:val="20"/>
        </w:rPr>
        <w:t xml:space="preserve"> </w:t>
      </w:r>
      <w:r w:rsidR="00777FB9" w:rsidRPr="003205C8">
        <w:rPr>
          <w:b w:val="0"/>
          <w:color w:val="auto"/>
          <w:sz w:val="20"/>
        </w:rPr>
        <w:t xml:space="preserve"> </w:t>
      </w:r>
      <w:r w:rsidR="00AE4107" w:rsidRPr="003205C8">
        <w:rPr>
          <w:b w:val="0"/>
          <w:color w:val="auto"/>
          <w:sz w:val="20"/>
        </w:rPr>
        <w:t>a) E</w:t>
      </w:r>
      <w:r w:rsidR="00777FB9" w:rsidRPr="003205C8">
        <w:rPr>
          <w:b w:val="0"/>
          <w:color w:val="auto"/>
          <w:sz w:val="20"/>
        </w:rPr>
        <w:t xml:space="preserve">xample of </w:t>
      </w:r>
      <w:r w:rsidR="00AE4107" w:rsidRPr="003205C8">
        <w:rPr>
          <w:b w:val="0"/>
          <w:color w:val="auto"/>
          <w:sz w:val="20"/>
        </w:rPr>
        <w:t xml:space="preserve">LESR spectra of the ZZ115:PCBM in a </w:t>
      </w:r>
      <w:r w:rsidR="00AE4107" w:rsidRPr="003205C8">
        <w:rPr>
          <w:b w:val="0"/>
          <w:color w:val="auto"/>
          <w:sz w:val="20"/>
          <w:lang w:val="en-US"/>
        </w:rPr>
        <w:t xml:space="preserve">flame-free </w:t>
      </w:r>
      <w:proofErr w:type="spellStart"/>
      <w:r w:rsidR="00AE4107" w:rsidRPr="003205C8">
        <w:rPr>
          <w:b w:val="0"/>
          <w:color w:val="auto"/>
          <w:sz w:val="20"/>
          <w:lang w:val="en-US"/>
        </w:rPr>
        <w:t>suprasil</w:t>
      </w:r>
      <w:proofErr w:type="spellEnd"/>
      <w:r w:rsidR="00AE4107" w:rsidRPr="003205C8">
        <w:rPr>
          <w:b w:val="0"/>
          <w:color w:val="auto"/>
          <w:sz w:val="20"/>
          <w:lang w:val="en-US"/>
        </w:rPr>
        <w:t xml:space="preserve"> EPR low </w:t>
      </w:r>
      <w:r w:rsidR="006310B2" w:rsidRPr="003205C8">
        <w:rPr>
          <w:b w:val="0"/>
          <w:color w:val="auto"/>
          <w:sz w:val="20"/>
          <w:lang w:val="en-US"/>
        </w:rPr>
        <w:t>pressure</w:t>
      </w:r>
      <w:r w:rsidR="00AE4107" w:rsidRPr="003205C8">
        <w:rPr>
          <w:b w:val="0"/>
          <w:color w:val="auto"/>
          <w:sz w:val="20"/>
          <w:lang w:val="en-US"/>
        </w:rPr>
        <w:t xml:space="preserve"> tube</w:t>
      </w:r>
      <w:r w:rsidR="00AE4107" w:rsidRPr="003205C8">
        <w:rPr>
          <w:b w:val="0"/>
          <w:color w:val="auto"/>
          <w:sz w:val="20"/>
        </w:rPr>
        <w:t xml:space="preserve"> before and after oxygen injection</w:t>
      </w:r>
      <w:r w:rsidR="001E1C77" w:rsidRPr="003205C8">
        <w:rPr>
          <w:b w:val="0"/>
          <w:color w:val="auto"/>
          <w:sz w:val="20"/>
        </w:rPr>
        <w:t xml:space="preserve"> measured at 60 K. b) Room temperature LESR on the same sample showing that the progress in the sample degradation can be easily seen also without use of cryogenic temperatures which provides a very useful, fast and cheap method for the sample quality and stability evaluation.</w:t>
      </w:r>
      <w:r w:rsidR="001E1C77" w:rsidRPr="003205C8">
        <w:rPr>
          <w:b w:val="0"/>
          <w:color w:val="auto"/>
        </w:rPr>
        <w:t xml:space="preserve"> </w:t>
      </w:r>
      <w:r w:rsidR="00AE4107" w:rsidRPr="003205C8">
        <w:rPr>
          <w:b w:val="0"/>
          <w:color w:val="auto"/>
        </w:rPr>
        <w:t xml:space="preserve"> </w:t>
      </w:r>
    </w:p>
    <w:p w14:paraId="57BC08E1" w14:textId="77777777" w:rsidR="009F6025" w:rsidRDefault="009F6025" w:rsidP="00FD232F">
      <w:pPr>
        <w:spacing w:line="480" w:lineRule="auto"/>
        <w:jc w:val="both"/>
      </w:pPr>
    </w:p>
    <w:p w14:paraId="3F8299E3" w14:textId="7C24EB20" w:rsidR="009F6025" w:rsidRPr="009F6025" w:rsidRDefault="00D74466" w:rsidP="00FD232F">
      <w:pPr>
        <w:pStyle w:val="Beschriftung"/>
        <w:spacing w:line="480" w:lineRule="auto"/>
        <w:jc w:val="both"/>
        <w:rPr>
          <w:color w:val="auto"/>
        </w:rPr>
      </w:pPr>
      <w:r>
        <w:rPr>
          <w:color w:val="auto"/>
          <w:lang w:val="en-US"/>
        </w:rPr>
        <w:t>L</w:t>
      </w:r>
      <w:r w:rsidRPr="00DC2A5B">
        <w:rPr>
          <w:b w:val="0"/>
          <w:color w:val="auto"/>
          <w:sz w:val="20"/>
        </w:rPr>
        <w:t xml:space="preserve">ESR and </w:t>
      </w:r>
      <w:r w:rsidR="00204FD1">
        <w:rPr>
          <w:b w:val="0"/>
          <w:color w:val="auto"/>
          <w:sz w:val="20"/>
        </w:rPr>
        <w:t>rise and decay</w:t>
      </w:r>
      <w:r w:rsidRPr="00DC2A5B">
        <w:rPr>
          <w:b w:val="0"/>
          <w:color w:val="auto"/>
          <w:sz w:val="20"/>
        </w:rPr>
        <w:t xml:space="preserve"> LESR spectra</w:t>
      </w:r>
      <w:r>
        <w:rPr>
          <w:b w:val="0"/>
          <w:color w:val="auto"/>
          <w:sz w:val="20"/>
        </w:rPr>
        <w:t xml:space="preserve"> recorded for different polymer fullerene blends</w:t>
      </w:r>
    </w:p>
    <w:p w14:paraId="35B1F920" w14:textId="77777777" w:rsidR="00FF2B62" w:rsidRDefault="00C523AF" w:rsidP="00FD232F">
      <w:pPr>
        <w:pStyle w:val="Beschriftung"/>
        <w:spacing w:line="480" w:lineRule="auto"/>
        <w:jc w:val="center"/>
        <w:rPr>
          <w:color w:val="auto"/>
        </w:rPr>
      </w:pPr>
      <w:r>
        <w:object w:dxaOrig="6553" w:dyaOrig="5364" w14:anchorId="773E6284">
          <v:shape id="_x0000_i1036" type="#_x0000_t75" style="width:159.9pt;height:130.6pt" o:ole="">
            <v:imagedata r:id="rId30" o:title=""/>
          </v:shape>
          <o:OLEObject Type="Embed" ProgID="Origin50.Graph" ShapeID="_x0000_i1036" DrawAspect="Content" ObjectID="_1588072829" r:id="rId31"/>
        </w:object>
      </w:r>
      <w:r w:rsidR="00666DB2">
        <w:rPr>
          <w:color w:val="auto"/>
        </w:rPr>
        <w:t xml:space="preserve"> </w:t>
      </w:r>
      <w:r>
        <w:object w:dxaOrig="6553" w:dyaOrig="5364" w14:anchorId="2F56489B">
          <v:shape id="_x0000_i1037" type="#_x0000_t75" style="width:166.6pt;height:133.95pt" o:ole="">
            <v:imagedata r:id="rId32" o:title=""/>
          </v:shape>
          <o:OLEObject Type="Embed" ProgID="Origin50.Graph" ShapeID="_x0000_i1037" DrawAspect="Content" ObjectID="_1588072830" r:id="rId33"/>
        </w:object>
      </w:r>
      <w:r>
        <w:object w:dxaOrig="6553" w:dyaOrig="5364" w14:anchorId="1C2C3675">
          <v:shape id="_x0000_i1038" type="#_x0000_t75" style="width:171.65pt;height:138.15pt" o:ole="">
            <v:imagedata r:id="rId34" o:title=""/>
          </v:shape>
          <o:OLEObject Type="Embed" ProgID="Origin50.Graph" ShapeID="_x0000_i1038" DrawAspect="Content" ObjectID="_1588072831" r:id="rId35"/>
        </w:object>
      </w:r>
      <w:r>
        <w:object w:dxaOrig="6553" w:dyaOrig="5364" w14:anchorId="6731D94E">
          <v:shape id="_x0000_i1039" type="#_x0000_t75" style="width:171.65pt;height:139pt" o:ole="">
            <v:imagedata r:id="rId36" o:title=""/>
          </v:shape>
          <o:OLEObject Type="Embed" ProgID="Origin50.Graph" ShapeID="_x0000_i1039" DrawAspect="Content" ObjectID="_1588072832" r:id="rId37"/>
        </w:object>
      </w:r>
      <w:r>
        <w:object w:dxaOrig="6553" w:dyaOrig="5364" w14:anchorId="7E6A6504">
          <v:shape id="_x0000_i1040" type="#_x0000_t75" style="width:157.4pt;height:128.95pt" o:ole="">
            <v:imagedata r:id="rId38" o:title=""/>
          </v:shape>
          <o:OLEObject Type="Embed" ProgID="Origin50.Graph" ShapeID="_x0000_i1040" DrawAspect="Content" ObjectID="_1588072833" r:id="rId39"/>
        </w:object>
      </w:r>
      <w:r>
        <w:object w:dxaOrig="6553" w:dyaOrig="5364" w14:anchorId="52B248EE">
          <v:shape id="_x0000_i1041" type="#_x0000_t75" style="width:162.4pt;height:133.95pt" o:ole="">
            <v:imagedata r:id="rId40" o:title=""/>
          </v:shape>
          <o:OLEObject Type="Embed" ProgID="Origin50.Graph" ShapeID="_x0000_i1041" DrawAspect="Content" ObjectID="_1588072834" r:id="rId41"/>
        </w:object>
      </w:r>
    </w:p>
    <w:p w14:paraId="07AF1705" w14:textId="77777777" w:rsidR="00442444" w:rsidRDefault="00C523AF" w:rsidP="00FD232F">
      <w:pPr>
        <w:pStyle w:val="Beschriftung"/>
        <w:spacing w:line="480" w:lineRule="auto"/>
        <w:jc w:val="center"/>
      </w:pPr>
      <w:r>
        <w:object w:dxaOrig="6553" w:dyaOrig="5364" w14:anchorId="1CA4C3AE">
          <v:shape id="_x0000_i1042" type="#_x0000_t75" style="width:169.1pt;height:138.15pt" o:ole="">
            <v:imagedata r:id="rId42" o:title=""/>
          </v:shape>
          <o:OLEObject Type="Embed" ProgID="Origin50.Graph" ShapeID="_x0000_i1042" DrawAspect="Content" ObjectID="_1588072835" r:id="rId43"/>
        </w:object>
      </w:r>
      <w:r>
        <w:object w:dxaOrig="6553" w:dyaOrig="5364" w14:anchorId="77F3AF4B">
          <v:shape id="_x0000_i1043" type="#_x0000_t75" style="width:179.15pt;height:145.65pt" o:ole="">
            <v:imagedata r:id="rId44" o:title=""/>
          </v:shape>
          <o:OLEObject Type="Embed" ProgID="Origin50.Graph" ShapeID="_x0000_i1043" DrawAspect="Content" ObjectID="_1588072836" r:id="rId45"/>
        </w:object>
      </w:r>
    </w:p>
    <w:p w14:paraId="65FC2856" w14:textId="5D625A1D" w:rsidR="00B12766" w:rsidRPr="003205C8" w:rsidRDefault="00D74466" w:rsidP="00FD232F">
      <w:pPr>
        <w:pStyle w:val="Beschriftung"/>
        <w:spacing w:line="480" w:lineRule="auto"/>
        <w:jc w:val="both"/>
        <w:rPr>
          <w:b w:val="0"/>
          <w:color w:val="auto"/>
          <w:sz w:val="20"/>
          <w:lang w:val="en-US"/>
        </w:rPr>
      </w:pPr>
      <w:r>
        <w:rPr>
          <w:sz w:val="20"/>
        </w:rPr>
        <w:t xml:space="preserve">Figure </w:t>
      </w:r>
      <w:r w:rsidR="000D672F">
        <w:rPr>
          <w:sz w:val="20"/>
        </w:rPr>
        <w:t>S</w:t>
      </w:r>
      <w:r>
        <w:rPr>
          <w:sz w:val="20"/>
        </w:rPr>
        <w:t xml:space="preserve">7: </w:t>
      </w:r>
      <w:r w:rsidR="00B12766" w:rsidRPr="003205C8">
        <w:rPr>
          <w:b w:val="0"/>
          <w:color w:val="auto"/>
          <w:sz w:val="20"/>
        </w:rPr>
        <w:t xml:space="preserve">LESR and </w:t>
      </w:r>
      <w:r w:rsidR="00204FD1">
        <w:rPr>
          <w:b w:val="0"/>
          <w:color w:val="auto"/>
          <w:sz w:val="20"/>
        </w:rPr>
        <w:t>rise and decay</w:t>
      </w:r>
      <w:r w:rsidR="00B12766" w:rsidRPr="003205C8">
        <w:rPr>
          <w:b w:val="0"/>
          <w:color w:val="auto"/>
          <w:sz w:val="20"/>
        </w:rPr>
        <w:t xml:space="preserve"> LESR spectra of P3HT:PCBM (a, b), PBDTT-CT:PCBM (c, d), PTB7:PCBM (e, f), ZZ50:PCBM (g, h)</w:t>
      </w:r>
      <w:r w:rsidR="00551146" w:rsidRPr="003205C8">
        <w:rPr>
          <w:b w:val="0"/>
          <w:color w:val="auto"/>
          <w:sz w:val="20"/>
        </w:rPr>
        <w:t xml:space="preserve">. All these samples were proven to be leak-tight and the vacuum was preserved for the whole period of the investigation. Samples were measured at 60 K as prepared (t0), after 10 days under SS (t0+10) , after 25 days under SS (t0+25), after 33 days under SS (t0+33) and </w:t>
      </w:r>
      <w:r w:rsidR="005B7091" w:rsidRPr="003205C8">
        <w:rPr>
          <w:b w:val="0"/>
          <w:color w:val="auto"/>
          <w:sz w:val="20"/>
        </w:rPr>
        <w:t xml:space="preserve">after </w:t>
      </w:r>
      <w:r w:rsidR="00551146" w:rsidRPr="003205C8">
        <w:rPr>
          <w:b w:val="0"/>
          <w:color w:val="auto"/>
          <w:sz w:val="20"/>
        </w:rPr>
        <w:t>additional 4 days under UV lamp</w:t>
      </w:r>
      <w:r w:rsidR="005B7091" w:rsidRPr="003205C8">
        <w:rPr>
          <w:b w:val="0"/>
          <w:color w:val="auto"/>
          <w:sz w:val="20"/>
        </w:rPr>
        <w:t xml:space="preserve"> (the sample with P3HT:PCBM followed slightly different but comparable light treatment)</w:t>
      </w:r>
      <w:r w:rsidR="00551146" w:rsidRPr="003205C8">
        <w:rPr>
          <w:b w:val="0"/>
          <w:color w:val="auto"/>
          <w:sz w:val="20"/>
        </w:rPr>
        <w:t>.</w:t>
      </w:r>
      <w:r w:rsidR="005B7091" w:rsidRPr="003205C8">
        <w:rPr>
          <w:b w:val="0"/>
          <w:color w:val="auto"/>
          <w:sz w:val="20"/>
        </w:rPr>
        <w:t xml:space="preserve"> Samples were cooled during this simulated light degradation by a fan in order to prevent any heating degradation effects. No significant changes above the noise and error level in LESR </w:t>
      </w:r>
      <w:r w:rsidR="005B7091" w:rsidRPr="00FD232F">
        <w:rPr>
          <w:b w:val="0"/>
          <w:color w:val="FF0000"/>
          <w:sz w:val="20"/>
        </w:rPr>
        <w:t xml:space="preserve">spectra or in </w:t>
      </w:r>
      <w:r w:rsidR="006020F4" w:rsidRPr="00FD232F">
        <w:rPr>
          <w:b w:val="0"/>
          <w:color w:val="FF0000"/>
          <w:sz w:val="20"/>
        </w:rPr>
        <w:t>rise and decay</w:t>
      </w:r>
      <w:r w:rsidR="005B7091" w:rsidRPr="00FD232F">
        <w:rPr>
          <w:b w:val="0"/>
          <w:color w:val="FF0000"/>
          <w:sz w:val="20"/>
        </w:rPr>
        <w:t xml:space="preserve"> LESR </w:t>
      </w:r>
      <w:r w:rsidR="006020F4" w:rsidRPr="00FD232F">
        <w:rPr>
          <w:b w:val="0"/>
          <w:color w:val="FF0000"/>
          <w:sz w:val="20"/>
        </w:rPr>
        <w:t xml:space="preserve">curves </w:t>
      </w:r>
      <w:r w:rsidR="005B7091" w:rsidRPr="003205C8">
        <w:rPr>
          <w:b w:val="0"/>
          <w:color w:val="auto"/>
          <w:sz w:val="20"/>
        </w:rPr>
        <w:t xml:space="preserve">were observed in any of </w:t>
      </w:r>
      <w:r w:rsidR="006020F4">
        <w:rPr>
          <w:b w:val="0"/>
          <w:color w:val="auto"/>
          <w:sz w:val="20"/>
        </w:rPr>
        <w:t xml:space="preserve">the </w:t>
      </w:r>
      <w:r w:rsidR="005B7091" w:rsidRPr="003205C8">
        <w:rPr>
          <w:b w:val="0"/>
          <w:color w:val="auto"/>
          <w:sz w:val="20"/>
        </w:rPr>
        <w:t xml:space="preserve">investigated samples. This result shows that light itself without the presence of oxygen does not cause any degradation of the investigated samples. </w:t>
      </w:r>
      <w:r w:rsidR="00CB5000" w:rsidRPr="003205C8">
        <w:rPr>
          <w:b w:val="0"/>
          <w:color w:val="auto"/>
          <w:sz w:val="20"/>
        </w:rPr>
        <w:t xml:space="preserve"> Due to a high number of labels and essentially overlapping spectra we decided not to include them in figures. </w:t>
      </w:r>
    </w:p>
    <w:p w14:paraId="1E7DDCE3" w14:textId="316392D1" w:rsidR="00F4781F" w:rsidRDefault="000D672F" w:rsidP="00FD232F">
      <w:pPr>
        <w:pStyle w:val="StandardWeb"/>
        <w:spacing w:line="480" w:lineRule="auto"/>
        <w:ind w:left="640" w:hanging="640"/>
        <w:divId w:val="1771077177"/>
      </w:pPr>
      <w:r>
        <w:t>References</w:t>
      </w:r>
    </w:p>
    <w:sectPr w:rsidR="00F4781F" w:rsidSect="00D74466">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1B4CF" w14:textId="77777777" w:rsidR="004B1C4F" w:rsidRDefault="004B1C4F" w:rsidP="00F4781F">
      <w:pPr>
        <w:spacing w:after="0" w:line="240" w:lineRule="auto"/>
      </w:pPr>
      <w:r>
        <w:separator/>
      </w:r>
    </w:p>
  </w:endnote>
  <w:endnote w:type="continuationSeparator" w:id="0">
    <w:p w14:paraId="1783FC69" w14:textId="77777777" w:rsidR="004B1C4F" w:rsidRDefault="004B1C4F" w:rsidP="00F4781F">
      <w:pPr>
        <w:spacing w:after="0" w:line="240" w:lineRule="auto"/>
      </w:pPr>
      <w:r>
        <w:continuationSeparator/>
      </w:r>
    </w:p>
  </w:endnote>
  <w:endnote w:id="1">
    <w:p w14:paraId="0EACB8A1" w14:textId="71589B4D" w:rsidR="00D74466" w:rsidRPr="003205C8" w:rsidRDefault="00D74466">
      <w:pPr>
        <w:pStyle w:val="Endnotentext"/>
        <w:rPr>
          <w:sz w:val="22"/>
          <w:szCs w:val="22"/>
          <w:lang w:val="en-US"/>
        </w:rPr>
      </w:pPr>
      <w:r>
        <w:rPr>
          <w:rStyle w:val="Endnotenzeichen"/>
        </w:rPr>
        <w:endnoteRef/>
      </w:r>
      <w:r>
        <w:t xml:space="preserve"> </w:t>
      </w:r>
      <w:r w:rsidRPr="003205C8">
        <w:rPr>
          <w:sz w:val="22"/>
          <w:szCs w:val="22"/>
        </w:rPr>
        <w:t>Carati, C., Bonoldi, L. &amp; Po, R. Density of trap states in organic photovoltaic materials from LESR studies of carrier recombination kinetics. Phys. Rev. B 84, 245205 (2011).</w:t>
      </w:r>
    </w:p>
  </w:endnote>
  <w:endnote w:id="2">
    <w:p w14:paraId="6AB8EF89" w14:textId="2C8CAE2D" w:rsidR="00D74466" w:rsidRPr="003205C8" w:rsidRDefault="00D74466">
      <w:pPr>
        <w:pStyle w:val="Endnotentext"/>
        <w:rPr>
          <w:sz w:val="22"/>
          <w:szCs w:val="22"/>
          <w:lang w:val="de-DE"/>
        </w:rPr>
      </w:pPr>
      <w:r w:rsidRPr="003205C8">
        <w:rPr>
          <w:rStyle w:val="Endnotenzeichen"/>
          <w:sz w:val="22"/>
          <w:szCs w:val="22"/>
        </w:rPr>
        <w:endnoteRef/>
      </w:r>
      <w:r w:rsidRPr="003205C8">
        <w:rPr>
          <w:sz w:val="22"/>
          <w:szCs w:val="22"/>
        </w:rPr>
        <w:t xml:space="preserve"> </w:t>
      </w:r>
      <w:r w:rsidRPr="00FD5211">
        <w:rPr>
          <w:rFonts w:ascii="Calibri" w:hAnsi="Calibri"/>
          <w:noProof/>
          <w:sz w:val="22"/>
          <w:szCs w:val="22"/>
        </w:rPr>
        <w:t xml:space="preserve">Schultz, N., Scharber, M., Brabec, C. &amp; Sariciftci, N. Low-temperature recombination kinetics of photoexcited persistent charge carriers in conjugated polymer/fullerene composite films. </w:t>
      </w:r>
      <w:r w:rsidRPr="003205C8">
        <w:rPr>
          <w:rFonts w:ascii="Calibri" w:hAnsi="Calibri"/>
          <w:iCs/>
          <w:noProof/>
          <w:sz w:val="22"/>
          <w:szCs w:val="22"/>
        </w:rPr>
        <w:t>Phys. Rev. B</w:t>
      </w:r>
      <w:r w:rsidRPr="00FD5211">
        <w:rPr>
          <w:rFonts w:ascii="Calibri" w:hAnsi="Calibri"/>
          <w:noProof/>
          <w:sz w:val="22"/>
          <w:szCs w:val="22"/>
        </w:rPr>
        <w:t xml:space="preserve"> </w:t>
      </w:r>
      <w:r w:rsidRPr="003205C8">
        <w:rPr>
          <w:rFonts w:ascii="Calibri" w:hAnsi="Calibri"/>
          <w:bCs/>
          <w:noProof/>
          <w:sz w:val="22"/>
          <w:szCs w:val="22"/>
        </w:rPr>
        <w:t>64,</w:t>
      </w:r>
      <w:r w:rsidRPr="00FD5211">
        <w:rPr>
          <w:rFonts w:ascii="Calibri" w:hAnsi="Calibri"/>
          <w:noProof/>
          <w:sz w:val="22"/>
          <w:szCs w:val="22"/>
        </w:rPr>
        <w:t xml:space="preserve"> 245210 (2001).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D4E1D" w14:textId="77777777" w:rsidR="004B1C4F" w:rsidRDefault="004B1C4F" w:rsidP="00F4781F">
      <w:pPr>
        <w:spacing w:after="0" w:line="240" w:lineRule="auto"/>
      </w:pPr>
      <w:r>
        <w:separator/>
      </w:r>
    </w:p>
  </w:footnote>
  <w:footnote w:type="continuationSeparator" w:id="0">
    <w:p w14:paraId="594CBB95" w14:textId="77777777" w:rsidR="004B1C4F" w:rsidRDefault="004B1C4F" w:rsidP="00F478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F72572"/>
    <w:multiLevelType w:val="hybridMultilevel"/>
    <w:tmpl w:val="6DE45E5C"/>
    <w:lvl w:ilvl="0" w:tplc="5D8E67DE">
      <w:start w:val="1"/>
      <w:numFmt w:val="bullet"/>
      <w:lvlText w:val="•"/>
      <w:lvlJc w:val="left"/>
      <w:pPr>
        <w:tabs>
          <w:tab w:val="num" w:pos="720"/>
        </w:tabs>
        <w:ind w:left="720" w:hanging="360"/>
      </w:pPr>
      <w:rPr>
        <w:rFonts w:ascii="Arial" w:hAnsi="Arial" w:hint="default"/>
      </w:rPr>
    </w:lvl>
    <w:lvl w:ilvl="1" w:tplc="51627094" w:tentative="1">
      <w:start w:val="1"/>
      <w:numFmt w:val="bullet"/>
      <w:lvlText w:val="•"/>
      <w:lvlJc w:val="left"/>
      <w:pPr>
        <w:tabs>
          <w:tab w:val="num" w:pos="1440"/>
        </w:tabs>
        <w:ind w:left="1440" w:hanging="360"/>
      </w:pPr>
      <w:rPr>
        <w:rFonts w:ascii="Arial" w:hAnsi="Arial" w:hint="default"/>
      </w:rPr>
    </w:lvl>
    <w:lvl w:ilvl="2" w:tplc="62C0D986" w:tentative="1">
      <w:start w:val="1"/>
      <w:numFmt w:val="bullet"/>
      <w:lvlText w:val="•"/>
      <w:lvlJc w:val="left"/>
      <w:pPr>
        <w:tabs>
          <w:tab w:val="num" w:pos="2160"/>
        </w:tabs>
        <w:ind w:left="2160" w:hanging="360"/>
      </w:pPr>
      <w:rPr>
        <w:rFonts w:ascii="Arial" w:hAnsi="Arial" w:hint="default"/>
      </w:rPr>
    </w:lvl>
    <w:lvl w:ilvl="3" w:tplc="99D05A1A" w:tentative="1">
      <w:start w:val="1"/>
      <w:numFmt w:val="bullet"/>
      <w:lvlText w:val="•"/>
      <w:lvlJc w:val="left"/>
      <w:pPr>
        <w:tabs>
          <w:tab w:val="num" w:pos="2880"/>
        </w:tabs>
        <w:ind w:left="2880" w:hanging="360"/>
      </w:pPr>
      <w:rPr>
        <w:rFonts w:ascii="Arial" w:hAnsi="Arial" w:hint="default"/>
      </w:rPr>
    </w:lvl>
    <w:lvl w:ilvl="4" w:tplc="16BEC022" w:tentative="1">
      <w:start w:val="1"/>
      <w:numFmt w:val="bullet"/>
      <w:lvlText w:val="•"/>
      <w:lvlJc w:val="left"/>
      <w:pPr>
        <w:tabs>
          <w:tab w:val="num" w:pos="3600"/>
        </w:tabs>
        <w:ind w:left="3600" w:hanging="360"/>
      </w:pPr>
      <w:rPr>
        <w:rFonts w:ascii="Arial" w:hAnsi="Arial" w:hint="default"/>
      </w:rPr>
    </w:lvl>
    <w:lvl w:ilvl="5" w:tplc="91A4B534" w:tentative="1">
      <w:start w:val="1"/>
      <w:numFmt w:val="bullet"/>
      <w:lvlText w:val="•"/>
      <w:lvlJc w:val="left"/>
      <w:pPr>
        <w:tabs>
          <w:tab w:val="num" w:pos="4320"/>
        </w:tabs>
        <w:ind w:left="4320" w:hanging="360"/>
      </w:pPr>
      <w:rPr>
        <w:rFonts w:ascii="Arial" w:hAnsi="Arial" w:hint="default"/>
      </w:rPr>
    </w:lvl>
    <w:lvl w:ilvl="6" w:tplc="2EC6AD24" w:tentative="1">
      <w:start w:val="1"/>
      <w:numFmt w:val="bullet"/>
      <w:lvlText w:val="•"/>
      <w:lvlJc w:val="left"/>
      <w:pPr>
        <w:tabs>
          <w:tab w:val="num" w:pos="5040"/>
        </w:tabs>
        <w:ind w:left="5040" w:hanging="360"/>
      </w:pPr>
      <w:rPr>
        <w:rFonts w:ascii="Arial" w:hAnsi="Arial" w:hint="default"/>
      </w:rPr>
    </w:lvl>
    <w:lvl w:ilvl="7" w:tplc="D4627480" w:tentative="1">
      <w:start w:val="1"/>
      <w:numFmt w:val="bullet"/>
      <w:lvlText w:val="•"/>
      <w:lvlJc w:val="left"/>
      <w:pPr>
        <w:tabs>
          <w:tab w:val="num" w:pos="5760"/>
        </w:tabs>
        <w:ind w:left="5760" w:hanging="360"/>
      </w:pPr>
      <w:rPr>
        <w:rFonts w:ascii="Arial" w:hAnsi="Arial" w:hint="default"/>
      </w:rPr>
    </w:lvl>
    <w:lvl w:ilvl="8" w:tplc="E55C8FE8" w:tentative="1">
      <w:start w:val="1"/>
      <w:numFmt w:val="bullet"/>
      <w:lvlText w:val="•"/>
      <w:lvlJc w:val="left"/>
      <w:pPr>
        <w:tabs>
          <w:tab w:val="num" w:pos="6480"/>
        </w:tabs>
        <w:ind w:left="6480" w:hanging="360"/>
      </w:pPr>
      <w:rPr>
        <w:rFonts w:ascii="Arial" w:hAnsi="Arial" w:hint="default"/>
      </w:rPr>
    </w:lvl>
  </w:abstractNum>
  <w:abstractNum w:abstractNumId="1">
    <w:nsid w:val="6B4162E2"/>
    <w:multiLevelType w:val="hybridMultilevel"/>
    <w:tmpl w:val="13E20D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rson w15:author="mhavlicek@cmi.cz">
    <w15:presenceInfo w15:providerId="Windows Live" w15:userId="c2c1a28128f74e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961"/>
    <w:rsid w:val="0003270B"/>
    <w:rsid w:val="000655F7"/>
    <w:rsid w:val="0008577B"/>
    <w:rsid w:val="00086F81"/>
    <w:rsid w:val="00087543"/>
    <w:rsid w:val="000879AC"/>
    <w:rsid w:val="00092BE7"/>
    <w:rsid w:val="000A0A94"/>
    <w:rsid w:val="000B2585"/>
    <w:rsid w:val="000C1CC5"/>
    <w:rsid w:val="000C7593"/>
    <w:rsid w:val="000D1AE6"/>
    <w:rsid w:val="000D672F"/>
    <w:rsid w:val="000E75C3"/>
    <w:rsid w:val="0010411A"/>
    <w:rsid w:val="00110A09"/>
    <w:rsid w:val="001311F4"/>
    <w:rsid w:val="00132C8D"/>
    <w:rsid w:val="001530E4"/>
    <w:rsid w:val="00186C19"/>
    <w:rsid w:val="00193FF2"/>
    <w:rsid w:val="001B0533"/>
    <w:rsid w:val="001C68AB"/>
    <w:rsid w:val="001E1C77"/>
    <w:rsid w:val="00201E38"/>
    <w:rsid w:val="00204FD1"/>
    <w:rsid w:val="002149A3"/>
    <w:rsid w:val="00216FFB"/>
    <w:rsid w:val="00225138"/>
    <w:rsid w:val="00235BCC"/>
    <w:rsid w:val="00252BE6"/>
    <w:rsid w:val="00252BF3"/>
    <w:rsid w:val="00254304"/>
    <w:rsid w:val="00275B96"/>
    <w:rsid w:val="00280180"/>
    <w:rsid w:val="00284E70"/>
    <w:rsid w:val="002974B1"/>
    <w:rsid w:val="002C61CB"/>
    <w:rsid w:val="002C6BBE"/>
    <w:rsid w:val="002D6C4E"/>
    <w:rsid w:val="002E25AD"/>
    <w:rsid w:val="002F0AE3"/>
    <w:rsid w:val="003133EF"/>
    <w:rsid w:val="003205C8"/>
    <w:rsid w:val="0032135B"/>
    <w:rsid w:val="00334AFB"/>
    <w:rsid w:val="0033522C"/>
    <w:rsid w:val="003503B1"/>
    <w:rsid w:val="00350AF7"/>
    <w:rsid w:val="00364C01"/>
    <w:rsid w:val="003778DB"/>
    <w:rsid w:val="003910DD"/>
    <w:rsid w:val="0039497F"/>
    <w:rsid w:val="003A335E"/>
    <w:rsid w:val="003C5A1C"/>
    <w:rsid w:val="003D3897"/>
    <w:rsid w:val="003E3B6F"/>
    <w:rsid w:val="004000AD"/>
    <w:rsid w:val="004106AD"/>
    <w:rsid w:val="004120EC"/>
    <w:rsid w:val="0041301A"/>
    <w:rsid w:val="00442444"/>
    <w:rsid w:val="004458C0"/>
    <w:rsid w:val="004624B5"/>
    <w:rsid w:val="0048000E"/>
    <w:rsid w:val="004B1C4F"/>
    <w:rsid w:val="004C14FA"/>
    <w:rsid w:val="004C4E38"/>
    <w:rsid w:val="004C63EF"/>
    <w:rsid w:val="004D5015"/>
    <w:rsid w:val="004F54E5"/>
    <w:rsid w:val="00503DA5"/>
    <w:rsid w:val="00507C96"/>
    <w:rsid w:val="005112E9"/>
    <w:rsid w:val="005161B2"/>
    <w:rsid w:val="00516AC9"/>
    <w:rsid w:val="00524461"/>
    <w:rsid w:val="00533FA1"/>
    <w:rsid w:val="005364A4"/>
    <w:rsid w:val="00551146"/>
    <w:rsid w:val="00557D54"/>
    <w:rsid w:val="005628C3"/>
    <w:rsid w:val="00565E7C"/>
    <w:rsid w:val="00566BBC"/>
    <w:rsid w:val="005875D7"/>
    <w:rsid w:val="00590F56"/>
    <w:rsid w:val="005975BF"/>
    <w:rsid w:val="005A1391"/>
    <w:rsid w:val="005B7091"/>
    <w:rsid w:val="005C7FF0"/>
    <w:rsid w:val="005D4711"/>
    <w:rsid w:val="005E032E"/>
    <w:rsid w:val="005F6752"/>
    <w:rsid w:val="006020F4"/>
    <w:rsid w:val="006059FD"/>
    <w:rsid w:val="00611864"/>
    <w:rsid w:val="00613941"/>
    <w:rsid w:val="006240ED"/>
    <w:rsid w:val="00627576"/>
    <w:rsid w:val="006310B2"/>
    <w:rsid w:val="00655420"/>
    <w:rsid w:val="00655918"/>
    <w:rsid w:val="00661C2A"/>
    <w:rsid w:val="00666DB2"/>
    <w:rsid w:val="006764BA"/>
    <w:rsid w:val="00680F33"/>
    <w:rsid w:val="00684539"/>
    <w:rsid w:val="006A1A31"/>
    <w:rsid w:val="006B17DF"/>
    <w:rsid w:val="006B751E"/>
    <w:rsid w:val="006E362D"/>
    <w:rsid w:val="006F2750"/>
    <w:rsid w:val="00724871"/>
    <w:rsid w:val="007441D8"/>
    <w:rsid w:val="007657D5"/>
    <w:rsid w:val="0076588E"/>
    <w:rsid w:val="00777FB9"/>
    <w:rsid w:val="0079221E"/>
    <w:rsid w:val="007A22DA"/>
    <w:rsid w:val="007B2605"/>
    <w:rsid w:val="007B2D7F"/>
    <w:rsid w:val="007C03EB"/>
    <w:rsid w:val="007C66F5"/>
    <w:rsid w:val="007D22BD"/>
    <w:rsid w:val="007F0D41"/>
    <w:rsid w:val="008146E8"/>
    <w:rsid w:val="008464F2"/>
    <w:rsid w:val="00861DB6"/>
    <w:rsid w:val="00862300"/>
    <w:rsid w:val="008669F0"/>
    <w:rsid w:val="00875C42"/>
    <w:rsid w:val="00882CD3"/>
    <w:rsid w:val="008832B8"/>
    <w:rsid w:val="00883B7D"/>
    <w:rsid w:val="008866A7"/>
    <w:rsid w:val="008A38D3"/>
    <w:rsid w:val="008B303F"/>
    <w:rsid w:val="008C1D98"/>
    <w:rsid w:val="008D2101"/>
    <w:rsid w:val="008D71CF"/>
    <w:rsid w:val="008E4961"/>
    <w:rsid w:val="008E622B"/>
    <w:rsid w:val="00903FF9"/>
    <w:rsid w:val="00932464"/>
    <w:rsid w:val="0093503D"/>
    <w:rsid w:val="009605F8"/>
    <w:rsid w:val="00966EBF"/>
    <w:rsid w:val="0097211C"/>
    <w:rsid w:val="0097318E"/>
    <w:rsid w:val="009977C5"/>
    <w:rsid w:val="009B71F6"/>
    <w:rsid w:val="009F1D6F"/>
    <w:rsid w:val="009F6025"/>
    <w:rsid w:val="00A015CD"/>
    <w:rsid w:val="00A0203D"/>
    <w:rsid w:val="00A0487A"/>
    <w:rsid w:val="00A223B9"/>
    <w:rsid w:val="00A61D97"/>
    <w:rsid w:val="00A71DB3"/>
    <w:rsid w:val="00A838FD"/>
    <w:rsid w:val="00AA1C22"/>
    <w:rsid w:val="00AA78A2"/>
    <w:rsid w:val="00AB65EE"/>
    <w:rsid w:val="00AD5600"/>
    <w:rsid w:val="00AD6B20"/>
    <w:rsid w:val="00AD796A"/>
    <w:rsid w:val="00AE1C9F"/>
    <w:rsid w:val="00AE2320"/>
    <w:rsid w:val="00AE4107"/>
    <w:rsid w:val="00AE4540"/>
    <w:rsid w:val="00AF332E"/>
    <w:rsid w:val="00B12766"/>
    <w:rsid w:val="00B378B1"/>
    <w:rsid w:val="00B641C3"/>
    <w:rsid w:val="00B82827"/>
    <w:rsid w:val="00B858EE"/>
    <w:rsid w:val="00B87522"/>
    <w:rsid w:val="00B91247"/>
    <w:rsid w:val="00B947CE"/>
    <w:rsid w:val="00BA7445"/>
    <w:rsid w:val="00BB4E05"/>
    <w:rsid w:val="00BB7CA0"/>
    <w:rsid w:val="00BC22CA"/>
    <w:rsid w:val="00BD0C48"/>
    <w:rsid w:val="00C1577A"/>
    <w:rsid w:val="00C22DD9"/>
    <w:rsid w:val="00C27C3B"/>
    <w:rsid w:val="00C401F3"/>
    <w:rsid w:val="00C431F4"/>
    <w:rsid w:val="00C51B00"/>
    <w:rsid w:val="00C523AF"/>
    <w:rsid w:val="00C74124"/>
    <w:rsid w:val="00C816A7"/>
    <w:rsid w:val="00C833FC"/>
    <w:rsid w:val="00C8655B"/>
    <w:rsid w:val="00CA69B2"/>
    <w:rsid w:val="00CB1893"/>
    <w:rsid w:val="00CB5000"/>
    <w:rsid w:val="00CB6551"/>
    <w:rsid w:val="00CC1DC9"/>
    <w:rsid w:val="00CC5B5F"/>
    <w:rsid w:val="00CD4F49"/>
    <w:rsid w:val="00D0132F"/>
    <w:rsid w:val="00D21542"/>
    <w:rsid w:val="00D37491"/>
    <w:rsid w:val="00D503A6"/>
    <w:rsid w:val="00D50F84"/>
    <w:rsid w:val="00D725A2"/>
    <w:rsid w:val="00D74466"/>
    <w:rsid w:val="00D83A53"/>
    <w:rsid w:val="00D902A6"/>
    <w:rsid w:val="00D936AF"/>
    <w:rsid w:val="00DA4ECB"/>
    <w:rsid w:val="00DE367D"/>
    <w:rsid w:val="00DE6991"/>
    <w:rsid w:val="00DF20B4"/>
    <w:rsid w:val="00E042CF"/>
    <w:rsid w:val="00E12D09"/>
    <w:rsid w:val="00E2407E"/>
    <w:rsid w:val="00E36375"/>
    <w:rsid w:val="00E52735"/>
    <w:rsid w:val="00E55F8F"/>
    <w:rsid w:val="00E93105"/>
    <w:rsid w:val="00E9421E"/>
    <w:rsid w:val="00EA74FF"/>
    <w:rsid w:val="00EB5E00"/>
    <w:rsid w:val="00EE1C8F"/>
    <w:rsid w:val="00EE692B"/>
    <w:rsid w:val="00EF4A20"/>
    <w:rsid w:val="00F01EB1"/>
    <w:rsid w:val="00F02A98"/>
    <w:rsid w:val="00F13C8A"/>
    <w:rsid w:val="00F249D0"/>
    <w:rsid w:val="00F41D22"/>
    <w:rsid w:val="00F4781F"/>
    <w:rsid w:val="00F60908"/>
    <w:rsid w:val="00F664AB"/>
    <w:rsid w:val="00F7525B"/>
    <w:rsid w:val="00F75D83"/>
    <w:rsid w:val="00FB39E9"/>
    <w:rsid w:val="00FC088A"/>
    <w:rsid w:val="00FD07F3"/>
    <w:rsid w:val="00FD232F"/>
    <w:rsid w:val="00FD45ED"/>
    <w:rsid w:val="00FD5211"/>
    <w:rsid w:val="00FD5A73"/>
    <w:rsid w:val="00FE40FF"/>
    <w:rsid w:val="00FE73B3"/>
    <w:rsid w:val="00FF2B6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5"/>
    <o:shapelayout v:ext="edit">
      <o:idmap v:ext="edit" data="1"/>
    </o:shapelayout>
  </w:shapeDefaults>
  <w:decimalSymbol w:val="."/>
  <w:listSeparator w:val=";"/>
  <w14:docId w14:val="521C6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4106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03D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87543"/>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0875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E49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E4961"/>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rsid w:val="00503DA5"/>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4106AD"/>
    <w:rPr>
      <w:rFonts w:asciiTheme="majorHAnsi" w:eastAsiaTheme="majorEastAsia" w:hAnsiTheme="majorHAnsi" w:cstheme="majorBidi"/>
      <w:b/>
      <w:bCs/>
      <w:color w:val="365F91" w:themeColor="accent1" w:themeShade="BF"/>
      <w:sz w:val="28"/>
      <w:szCs w:val="28"/>
    </w:rPr>
  </w:style>
  <w:style w:type="character" w:customStyle="1" w:styleId="berschrift3Zchn">
    <w:name w:val="Überschrift 3 Zchn"/>
    <w:basedOn w:val="Absatz-Standardschriftart"/>
    <w:link w:val="berschrift3"/>
    <w:uiPriority w:val="9"/>
    <w:rsid w:val="00087543"/>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87543"/>
    <w:rPr>
      <w:rFonts w:asciiTheme="majorHAnsi" w:eastAsiaTheme="majorEastAsia" w:hAnsiTheme="majorHAnsi" w:cstheme="majorBidi"/>
      <w:b/>
      <w:bCs/>
      <w:i/>
      <w:iCs/>
      <w:color w:val="4F81BD" w:themeColor="accent1"/>
    </w:rPr>
  </w:style>
  <w:style w:type="paragraph" w:styleId="Listenabsatz">
    <w:name w:val="List Paragraph"/>
    <w:basedOn w:val="Standard"/>
    <w:uiPriority w:val="34"/>
    <w:qFormat/>
    <w:rsid w:val="002F0AE3"/>
    <w:pPr>
      <w:spacing w:after="0" w:line="240" w:lineRule="auto"/>
      <w:ind w:left="720"/>
      <w:contextualSpacing/>
    </w:pPr>
    <w:rPr>
      <w:rFonts w:ascii="Times New Roman" w:eastAsia="Times New Roman" w:hAnsi="Times New Roman" w:cs="Times New Roman"/>
      <w:sz w:val="24"/>
      <w:szCs w:val="24"/>
      <w:lang w:eastAsia="cs-CZ"/>
    </w:rPr>
  </w:style>
  <w:style w:type="paragraph" w:styleId="Beschriftung">
    <w:name w:val="caption"/>
    <w:basedOn w:val="Standard"/>
    <w:next w:val="Standard"/>
    <w:uiPriority w:val="35"/>
    <w:unhideWhenUsed/>
    <w:qFormat/>
    <w:rsid w:val="00DE6991"/>
    <w:pPr>
      <w:spacing w:line="240" w:lineRule="auto"/>
    </w:pPr>
    <w:rPr>
      <w:b/>
      <w:bCs/>
      <w:color w:val="4F81BD" w:themeColor="accent1"/>
      <w:sz w:val="18"/>
      <w:szCs w:val="18"/>
    </w:rPr>
  </w:style>
  <w:style w:type="paragraph" w:styleId="Sprechblasentext">
    <w:name w:val="Balloon Text"/>
    <w:basedOn w:val="Standard"/>
    <w:link w:val="SprechblasentextZchn"/>
    <w:uiPriority w:val="99"/>
    <w:semiHidden/>
    <w:unhideWhenUsed/>
    <w:rsid w:val="00903FF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3FF9"/>
    <w:rPr>
      <w:rFonts w:ascii="Tahoma" w:hAnsi="Tahoma" w:cs="Tahoma"/>
      <w:sz w:val="16"/>
      <w:szCs w:val="16"/>
    </w:rPr>
  </w:style>
  <w:style w:type="paragraph" w:styleId="StandardWeb">
    <w:name w:val="Normal (Web)"/>
    <w:basedOn w:val="Standard"/>
    <w:uiPriority w:val="99"/>
    <w:unhideWhenUsed/>
    <w:rsid w:val="00AD6B20"/>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Endnotentext">
    <w:name w:val="endnote text"/>
    <w:basedOn w:val="Standard"/>
    <w:link w:val="EndnotentextZchn"/>
    <w:uiPriority w:val="99"/>
    <w:semiHidden/>
    <w:unhideWhenUsed/>
    <w:rsid w:val="00F4781F"/>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4781F"/>
    <w:rPr>
      <w:sz w:val="20"/>
      <w:szCs w:val="20"/>
    </w:rPr>
  </w:style>
  <w:style w:type="character" w:styleId="Endnotenzeichen">
    <w:name w:val="endnote reference"/>
    <w:basedOn w:val="Absatz-Standardschriftart"/>
    <w:uiPriority w:val="99"/>
    <w:semiHidden/>
    <w:unhideWhenUsed/>
    <w:rsid w:val="00F4781F"/>
    <w:rPr>
      <w:vertAlign w:val="superscript"/>
    </w:rPr>
  </w:style>
  <w:style w:type="paragraph" w:styleId="Funotentext">
    <w:name w:val="footnote text"/>
    <w:basedOn w:val="Standard"/>
    <w:link w:val="FunotentextZchn"/>
    <w:uiPriority w:val="99"/>
    <w:semiHidden/>
    <w:unhideWhenUsed/>
    <w:rsid w:val="008E622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E622B"/>
    <w:rPr>
      <w:sz w:val="20"/>
      <w:szCs w:val="20"/>
    </w:rPr>
  </w:style>
  <w:style w:type="character" w:styleId="Funotenzeichen">
    <w:name w:val="footnote reference"/>
    <w:basedOn w:val="Absatz-Standardschriftart"/>
    <w:uiPriority w:val="99"/>
    <w:semiHidden/>
    <w:unhideWhenUsed/>
    <w:rsid w:val="008E622B"/>
    <w:rPr>
      <w:vertAlign w:val="superscript"/>
    </w:rPr>
  </w:style>
  <w:style w:type="character" w:styleId="Kommentarzeichen">
    <w:name w:val="annotation reference"/>
    <w:basedOn w:val="Absatz-Standardschriftart"/>
    <w:uiPriority w:val="99"/>
    <w:semiHidden/>
    <w:unhideWhenUsed/>
    <w:rsid w:val="00613941"/>
    <w:rPr>
      <w:sz w:val="16"/>
      <w:szCs w:val="16"/>
    </w:rPr>
  </w:style>
  <w:style w:type="paragraph" w:styleId="Kommentartext">
    <w:name w:val="annotation text"/>
    <w:basedOn w:val="Standard"/>
    <w:link w:val="KommentartextZchn"/>
    <w:uiPriority w:val="99"/>
    <w:semiHidden/>
    <w:unhideWhenUsed/>
    <w:rsid w:val="0061394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13941"/>
    <w:rPr>
      <w:sz w:val="20"/>
      <w:szCs w:val="20"/>
    </w:rPr>
  </w:style>
  <w:style w:type="paragraph" w:styleId="Kommentarthema">
    <w:name w:val="annotation subject"/>
    <w:basedOn w:val="Kommentartext"/>
    <w:next w:val="Kommentartext"/>
    <w:link w:val="KommentarthemaZchn"/>
    <w:uiPriority w:val="99"/>
    <w:semiHidden/>
    <w:unhideWhenUsed/>
    <w:rsid w:val="00613941"/>
    <w:rPr>
      <w:b/>
      <w:bCs/>
    </w:rPr>
  </w:style>
  <w:style w:type="character" w:customStyle="1" w:styleId="KommentarthemaZchn">
    <w:name w:val="Kommentarthema Zchn"/>
    <w:basedOn w:val="KommentartextZchn"/>
    <w:link w:val="Kommentarthema"/>
    <w:uiPriority w:val="99"/>
    <w:semiHidden/>
    <w:rsid w:val="00613941"/>
    <w:rPr>
      <w:b/>
      <w:bCs/>
      <w:sz w:val="20"/>
      <w:szCs w:val="20"/>
    </w:rPr>
  </w:style>
  <w:style w:type="paragraph" w:styleId="HTMLVorformatiert">
    <w:name w:val="HTML Preformatted"/>
    <w:basedOn w:val="Standard"/>
    <w:link w:val="HTMLVorformatiertZchn"/>
    <w:uiPriority w:val="99"/>
    <w:semiHidden/>
    <w:unhideWhenUsed/>
    <w:rsid w:val="00676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VorformatiertZchn">
    <w:name w:val="HTML Vorformatiert Zchn"/>
    <w:basedOn w:val="Absatz-Standardschriftart"/>
    <w:link w:val="HTMLVorformatiert"/>
    <w:uiPriority w:val="99"/>
    <w:semiHidden/>
    <w:rsid w:val="006764BA"/>
    <w:rPr>
      <w:rFonts w:ascii="Courier New" w:eastAsia="Times New Roman" w:hAnsi="Courier New" w:cs="Courier New"/>
      <w:sz w:val="20"/>
      <w:szCs w:val="20"/>
      <w:lang w:val="en-US"/>
    </w:rPr>
  </w:style>
  <w:style w:type="paragraph" w:styleId="Kopfzeile">
    <w:name w:val="header"/>
    <w:basedOn w:val="Standard"/>
    <w:link w:val="KopfzeileZchn"/>
    <w:uiPriority w:val="99"/>
    <w:unhideWhenUsed/>
    <w:rsid w:val="00FE73B3"/>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FE73B3"/>
  </w:style>
  <w:style w:type="paragraph" w:styleId="Fuzeile">
    <w:name w:val="footer"/>
    <w:basedOn w:val="Standard"/>
    <w:link w:val="FuzeileZchn"/>
    <w:uiPriority w:val="99"/>
    <w:unhideWhenUsed/>
    <w:rsid w:val="00FE73B3"/>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FE73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4106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03D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87543"/>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0875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E49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E4961"/>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rsid w:val="00503DA5"/>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4106AD"/>
    <w:rPr>
      <w:rFonts w:asciiTheme="majorHAnsi" w:eastAsiaTheme="majorEastAsia" w:hAnsiTheme="majorHAnsi" w:cstheme="majorBidi"/>
      <w:b/>
      <w:bCs/>
      <w:color w:val="365F91" w:themeColor="accent1" w:themeShade="BF"/>
      <w:sz w:val="28"/>
      <w:szCs w:val="28"/>
    </w:rPr>
  </w:style>
  <w:style w:type="character" w:customStyle="1" w:styleId="berschrift3Zchn">
    <w:name w:val="Überschrift 3 Zchn"/>
    <w:basedOn w:val="Absatz-Standardschriftart"/>
    <w:link w:val="berschrift3"/>
    <w:uiPriority w:val="9"/>
    <w:rsid w:val="00087543"/>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87543"/>
    <w:rPr>
      <w:rFonts w:asciiTheme="majorHAnsi" w:eastAsiaTheme="majorEastAsia" w:hAnsiTheme="majorHAnsi" w:cstheme="majorBidi"/>
      <w:b/>
      <w:bCs/>
      <w:i/>
      <w:iCs/>
      <w:color w:val="4F81BD" w:themeColor="accent1"/>
    </w:rPr>
  </w:style>
  <w:style w:type="paragraph" w:styleId="Listenabsatz">
    <w:name w:val="List Paragraph"/>
    <w:basedOn w:val="Standard"/>
    <w:uiPriority w:val="34"/>
    <w:qFormat/>
    <w:rsid w:val="002F0AE3"/>
    <w:pPr>
      <w:spacing w:after="0" w:line="240" w:lineRule="auto"/>
      <w:ind w:left="720"/>
      <w:contextualSpacing/>
    </w:pPr>
    <w:rPr>
      <w:rFonts w:ascii="Times New Roman" w:eastAsia="Times New Roman" w:hAnsi="Times New Roman" w:cs="Times New Roman"/>
      <w:sz w:val="24"/>
      <w:szCs w:val="24"/>
      <w:lang w:eastAsia="cs-CZ"/>
    </w:rPr>
  </w:style>
  <w:style w:type="paragraph" w:styleId="Beschriftung">
    <w:name w:val="caption"/>
    <w:basedOn w:val="Standard"/>
    <w:next w:val="Standard"/>
    <w:uiPriority w:val="35"/>
    <w:unhideWhenUsed/>
    <w:qFormat/>
    <w:rsid w:val="00DE6991"/>
    <w:pPr>
      <w:spacing w:line="240" w:lineRule="auto"/>
    </w:pPr>
    <w:rPr>
      <w:b/>
      <w:bCs/>
      <w:color w:val="4F81BD" w:themeColor="accent1"/>
      <w:sz w:val="18"/>
      <w:szCs w:val="18"/>
    </w:rPr>
  </w:style>
  <w:style w:type="paragraph" w:styleId="Sprechblasentext">
    <w:name w:val="Balloon Text"/>
    <w:basedOn w:val="Standard"/>
    <w:link w:val="SprechblasentextZchn"/>
    <w:uiPriority w:val="99"/>
    <w:semiHidden/>
    <w:unhideWhenUsed/>
    <w:rsid w:val="00903FF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3FF9"/>
    <w:rPr>
      <w:rFonts w:ascii="Tahoma" w:hAnsi="Tahoma" w:cs="Tahoma"/>
      <w:sz w:val="16"/>
      <w:szCs w:val="16"/>
    </w:rPr>
  </w:style>
  <w:style w:type="paragraph" w:styleId="StandardWeb">
    <w:name w:val="Normal (Web)"/>
    <w:basedOn w:val="Standard"/>
    <w:uiPriority w:val="99"/>
    <w:unhideWhenUsed/>
    <w:rsid w:val="00AD6B20"/>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Endnotentext">
    <w:name w:val="endnote text"/>
    <w:basedOn w:val="Standard"/>
    <w:link w:val="EndnotentextZchn"/>
    <w:uiPriority w:val="99"/>
    <w:semiHidden/>
    <w:unhideWhenUsed/>
    <w:rsid w:val="00F4781F"/>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4781F"/>
    <w:rPr>
      <w:sz w:val="20"/>
      <w:szCs w:val="20"/>
    </w:rPr>
  </w:style>
  <w:style w:type="character" w:styleId="Endnotenzeichen">
    <w:name w:val="endnote reference"/>
    <w:basedOn w:val="Absatz-Standardschriftart"/>
    <w:uiPriority w:val="99"/>
    <w:semiHidden/>
    <w:unhideWhenUsed/>
    <w:rsid w:val="00F4781F"/>
    <w:rPr>
      <w:vertAlign w:val="superscript"/>
    </w:rPr>
  </w:style>
  <w:style w:type="paragraph" w:styleId="Funotentext">
    <w:name w:val="footnote text"/>
    <w:basedOn w:val="Standard"/>
    <w:link w:val="FunotentextZchn"/>
    <w:uiPriority w:val="99"/>
    <w:semiHidden/>
    <w:unhideWhenUsed/>
    <w:rsid w:val="008E622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E622B"/>
    <w:rPr>
      <w:sz w:val="20"/>
      <w:szCs w:val="20"/>
    </w:rPr>
  </w:style>
  <w:style w:type="character" w:styleId="Funotenzeichen">
    <w:name w:val="footnote reference"/>
    <w:basedOn w:val="Absatz-Standardschriftart"/>
    <w:uiPriority w:val="99"/>
    <w:semiHidden/>
    <w:unhideWhenUsed/>
    <w:rsid w:val="008E622B"/>
    <w:rPr>
      <w:vertAlign w:val="superscript"/>
    </w:rPr>
  </w:style>
  <w:style w:type="character" w:styleId="Kommentarzeichen">
    <w:name w:val="annotation reference"/>
    <w:basedOn w:val="Absatz-Standardschriftart"/>
    <w:uiPriority w:val="99"/>
    <w:semiHidden/>
    <w:unhideWhenUsed/>
    <w:rsid w:val="00613941"/>
    <w:rPr>
      <w:sz w:val="16"/>
      <w:szCs w:val="16"/>
    </w:rPr>
  </w:style>
  <w:style w:type="paragraph" w:styleId="Kommentartext">
    <w:name w:val="annotation text"/>
    <w:basedOn w:val="Standard"/>
    <w:link w:val="KommentartextZchn"/>
    <w:uiPriority w:val="99"/>
    <w:semiHidden/>
    <w:unhideWhenUsed/>
    <w:rsid w:val="0061394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13941"/>
    <w:rPr>
      <w:sz w:val="20"/>
      <w:szCs w:val="20"/>
    </w:rPr>
  </w:style>
  <w:style w:type="paragraph" w:styleId="Kommentarthema">
    <w:name w:val="annotation subject"/>
    <w:basedOn w:val="Kommentartext"/>
    <w:next w:val="Kommentartext"/>
    <w:link w:val="KommentarthemaZchn"/>
    <w:uiPriority w:val="99"/>
    <w:semiHidden/>
    <w:unhideWhenUsed/>
    <w:rsid w:val="00613941"/>
    <w:rPr>
      <w:b/>
      <w:bCs/>
    </w:rPr>
  </w:style>
  <w:style w:type="character" w:customStyle="1" w:styleId="KommentarthemaZchn">
    <w:name w:val="Kommentarthema Zchn"/>
    <w:basedOn w:val="KommentartextZchn"/>
    <w:link w:val="Kommentarthema"/>
    <w:uiPriority w:val="99"/>
    <w:semiHidden/>
    <w:rsid w:val="00613941"/>
    <w:rPr>
      <w:b/>
      <w:bCs/>
      <w:sz w:val="20"/>
      <w:szCs w:val="20"/>
    </w:rPr>
  </w:style>
  <w:style w:type="paragraph" w:styleId="HTMLVorformatiert">
    <w:name w:val="HTML Preformatted"/>
    <w:basedOn w:val="Standard"/>
    <w:link w:val="HTMLVorformatiertZchn"/>
    <w:uiPriority w:val="99"/>
    <w:semiHidden/>
    <w:unhideWhenUsed/>
    <w:rsid w:val="00676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VorformatiertZchn">
    <w:name w:val="HTML Vorformatiert Zchn"/>
    <w:basedOn w:val="Absatz-Standardschriftart"/>
    <w:link w:val="HTMLVorformatiert"/>
    <w:uiPriority w:val="99"/>
    <w:semiHidden/>
    <w:rsid w:val="006764BA"/>
    <w:rPr>
      <w:rFonts w:ascii="Courier New" w:eastAsia="Times New Roman" w:hAnsi="Courier New" w:cs="Courier New"/>
      <w:sz w:val="20"/>
      <w:szCs w:val="20"/>
      <w:lang w:val="en-US"/>
    </w:rPr>
  </w:style>
  <w:style w:type="paragraph" w:styleId="Kopfzeile">
    <w:name w:val="header"/>
    <w:basedOn w:val="Standard"/>
    <w:link w:val="KopfzeileZchn"/>
    <w:uiPriority w:val="99"/>
    <w:unhideWhenUsed/>
    <w:rsid w:val="00FE73B3"/>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FE73B3"/>
  </w:style>
  <w:style w:type="paragraph" w:styleId="Fuzeile">
    <w:name w:val="footer"/>
    <w:basedOn w:val="Standard"/>
    <w:link w:val="FuzeileZchn"/>
    <w:uiPriority w:val="99"/>
    <w:unhideWhenUsed/>
    <w:rsid w:val="00FE73B3"/>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FE7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394298">
      <w:bodyDiv w:val="1"/>
      <w:marLeft w:val="0"/>
      <w:marRight w:val="0"/>
      <w:marTop w:val="0"/>
      <w:marBottom w:val="0"/>
      <w:divBdr>
        <w:top w:val="none" w:sz="0" w:space="0" w:color="auto"/>
        <w:left w:val="none" w:sz="0" w:space="0" w:color="auto"/>
        <w:bottom w:val="none" w:sz="0" w:space="0" w:color="auto"/>
        <w:right w:val="none" w:sz="0" w:space="0" w:color="auto"/>
      </w:divBdr>
      <w:divsChild>
        <w:div w:id="247349245">
          <w:marLeft w:val="0"/>
          <w:marRight w:val="0"/>
          <w:marTop w:val="0"/>
          <w:marBottom w:val="0"/>
          <w:divBdr>
            <w:top w:val="none" w:sz="0" w:space="0" w:color="auto"/>
            <w:left w:val="none" w:sz="0" w:space="0" w:color="auto"/>
            <w:bottom w:val="none" w:sz="0" w:space="0" w:color="auto"/>
            <w:right w:val="none" w:sz="0" w:space="0" w:color="auto"/>
          </w:divBdr>
          <w:divsChild>
            <w:div w:id="832910560">
              <w:marLeft w:val="0"/>
              <w:marRight w:val="0"/>
              <w:marTop w:val="0"/>
              <w:marBottom w:val="0"/>
              <w:divBdr>
                <w:top w:val="none" w:sz="0" w:space="0" w:color="auto"/>
                <w:left w:val="none" w:sz="0" w:space="0" w:color="auto"/>
                <w:bottom w:val="none" w:sz="0" w:space="0" w:color="auto"/>
                <w:right w:val="none" w:sz="0" w:space="0" w:color="auto"/>
              </w:divBdr>
              <w:divsChild>
                <w:div w:id="555357124">
                  <w:marLeft w:val="0"/>
                  <w:marRight w:val="0"/>
                  <w:marTop w:val="0"/>
                  <w:marBottom w:val="0"/>
                  <w:divBdr>
                    <w:top w:val="none" w:sz="0" w:space="0" w:color="auto"/>
                    <w:left w:val="none" w:sz="0" w:space="0" w:color="auto"/>
                    <w:bottom w:val="none" w:sz="0" w:space="0" w:color="auto"/>
                    <w:right w:val="none" w:sz="0" w:space="0" w:color="auto"/>
                  </w:divBdr>
                  <w:divsChild>
                    <w:div w:id="1445689735">
                      <w:marLeft w:val="0"/>
                      <w:marRight w:val="0"/>
                      <w:marTop w:val="0"/>
                      <w:marBottom w:val="0"/>
                      <w:divBdr>
                        <w:top w:val="none" w:sz="0" w:space="0" w:color="auto"/>
                        <w:left w:val="none" w:sz="0" w:space="0" w:color="auto"/>
                        <w:bottom w:val="none" w:sz="0" w:space="0" w:color="auto"/>
                        <w:right w:val="none" w:sz="0" w:space="0" w:color="auto"/>
                      </w:divBdr>
                      <w:divsChild>
                        <w:div w:id="598485822">
                          <w:marLeft w:val="0"/>
                          <w:marRight w:val="0"/>
                          <w:marTop w:val="0"/>
                          <w:marBottom w:val="0"/>
                          <w:divBdr>
                            <w:top w:val="none" w:sz="0" w:space="0" w:color="auto"/>
                            <w:left w:val="none" w:sz="0" w:space="0" w:color="auto"/>
                            <w:bottom w:val="none" w:sz="0" w:space="0" w:color="auto"/>
                            <w:right w:val="none" w:sz="0" w:space="0" w:color="auto"/>
                          </w:divBdr>
                          <w:divsChild>
                            <w:div w:id="694581697">
                              <w:marLeft w:val="0"/>
                              <w:marRight w:val="0"/>
                              <w:marTop w:val="0"/>
                              <w:marBottom w:val="0"/>
                              <w:divBdr>
                                <w:top w:val="none" w:sz="0" w:space="0" w:color="auto"/>
                                <w:left w:val="none" w:sz="0" w:space="0" w:color="auto"/>
                                <w:bottom w:val="none" w:sz="0" w:space="0" w:color="auto"/>
                                <w:right w:val="none" w:sz="0" w:space="0" w:color="auto"/>
                              </w:divBdr>
                              <w:divsChild>
                                <w:div w:id="668993575">
                                  <w:marLeft w:val="0"/>
                                  <w:marRight w:val="0"/>
                                  <w:marTop w:val="0"/>
                                  <w:marBottom w:val="0"/>
                                  <w:divBdr>
                                    <w:top w:val="none" w:sz="0" w:space="0" w:color="auto"/>
                                    <w:left w:val="none" w:sz="0" w:space="0" w:color="auto"/>
                                    <w:bottom w:val="none" w:sz="0" w:space="0" w:color="auto"/>
                                    <w:right w:val="none" w:sz="0" w:space="0" w:color="auto"/>
                                  </w:divBdr>
                                  <w:divsChild>
                                    <w:div w:id="1668367244">
                                      <w:marLeft w:val="0"/>
                                      <w:marRight w:val="0"/>
                                      <w:marTop w:val="0"/>
                                      <w:marBottom w:val="0"/>
                                      <w:divBdr>
                                        <w:top w:val="none" w:sz="0" w:space="0" w:color="auto"/>
                                        <w:left w:val="none" w:sz="0" w:space="0" w:color="auto"/>
                                        <w:bottom w:val="none" w:sz="0" w:space="0" w:color="auto"/>
                                        <w:right w:val="none" w:sz="0" w:space="0" w:color="auto"/>
                                      </w:divBdr>
                                      <w:divsChild>
                                        <w:div w:id="645401277">
                                          <w:marLeft w:val="0"/>
                                          <w:marRight w:val="0"/>
                                          <w:marTop w:val="0"/>
                                          <w:marBottom w:val="0"/>
                                          <w:divBdr>
                                            <w:top w:val="none" w:sz="0" w:space="0" w:color="auto"/>
                                            <w:left w:val="none" w:sz="0" w:space="0" w:color="auto"/>
                                            <w:bottom w:val="none" w:sz="0" w:space="0" w:color="auto"/>
                                            <w:right w:val="none" w:sz="0" w:space="0" w:color="auto"/>
                                          </w:divBdr>
                                          <w:divsChild>
                                            <w:div w:id="717315122">
                                              <w:marLeft w:val="0"/>
                                              <w:marRight w:val="0"/>
                                              <w:marTop w:val="0"/>
                                              <w:marBottom w:val="0"/>
                                              <w:divBdr>
                                                <w:top w:val="none" w:sz="0" w:space="0" w:color="auto"/>
                                                <w:left w:val="none" w:sz="0" w:space="0" w:color="auto"/>
                                                <w:bottom w:val="none" w:sz="0" w:space="0" w:color="auto"/>
                                                <w:right w:val="none" w:sz="0" w:space="0" w:color="auto"/>
                                              </w:divBdr>
                                              <w:divsChild>
                                                <w:div w:id="265120827">
                                                  <w:marLeft w:val="0"/>
                                                  <w:marRight w:val="0"/>
                                                  <w:marTop w:val="0"/>
                                                  <w:marBottom w:val="0"/>
                                                  <w:divBdr>
                                                    <w:top w:val="none" w:sz="0" w:space="0" w:color="auto"/>
                                                    <w:left w:val="none" w:sz="0" w:space="0" w:color="auto"/>
                                                    <w:bottom w:val="none" w:sz="0" w:space="0" w:color="auto"/>
                                                    <w:right w:val="none" w:sz="0" w:space="0" w:color="auto"/>
                                                  </w:divBdr>
                                                  <w:divsChild>
                                                    <w:div w:id="1036156093">
                                                      <w:marLeft w:val="0"/>
                                                      <w:marRight w:val="0"/>
                                                      <w:marTop w:val="0"/>
                                                      <w:marBottom w:val="0"/>
                                                      <w:divBdr>
                                                        <w:top w:val="none" w:sz="0" w:space="0" w:color="auto"/>
                                                        <w:left w:val="none" w:sz="0" w:space="0" w:color="auto"/>
                                                        <w:bottom w:val="none" w:sz="0" w:space="0" w:color="auto"/>
                                                        <w:right w:val="none" w:sz="0" w:space="0" w:color="auto"/>
                                                      </w:divBdr>
                                                      <w:divsChild>
                                                        <w:div w:id="196162749">
                                                          <w:marLeft w:val="0"/>
                                                          <w:marRight w:val="0"/>
                                                          <w:marTop w:val="0"/>
                                                          <w:marBottom w:val="0"/>
                                                          <w:divBdr>
                                                            <w:top w:val="none" w:sz="0" w:space="0" w:color="auto"/>
                                                            <w:left w:val="none" w:sz="0" w:space="0" w:color="auto"/>
                                                            <w:bottom w:val="none" w:sz="0" w:space="0" w:color="auto"/>
                                                            <w:right w:val="none" w:sz="0" w:space="0" w:color="auto"/>
                                                          </w:divBdr>
                                                          <w:divsChild>
                                                            <w:div w:id="758259740">
                                                              <w:marLeft w:val="0"/>
                                                              <w:marRight w:val="0"/>
                                                              <w:marTop w:val="0"/>
                                                              <w:marBottom w:val="0"/>
                                                              <w:divBdr>
                                                                <w:top w:val="none" w:sz="0" w:space="0" w:color="auto"/>
                                                                <w:left w:val="none" w:sz="0" w:space="0" w:color="auto"/>
                                                                <w:bottom w:val="none" w:sz="0" w:space="0" w:color="auto"/>
                                                                <w:right w:val="none" w:sz="0" w:space="0" w:color="auto"/>
                                                              </w:divBdr>
                                                              <w:divsChild>
                                                                <w:div w:id="1771077177">
                                                                  <w:marLeft w:val="0"/>
                                                                  <w:marRight w:val="0"/>
                                                                  <w:marTop w:val="0"/>
                                                                  <w:marBottom w:val="0"/>
                                                                  <w:divBdr>
                                                                    <w:top w:val="none" w:sz="0" w:space="0" w:color="auto"/>
                                                                    <w:left w:val="none" w:sz="0" w:space="0" w:color="auto"/>
                                                                    <w:bottom w:val="none" w:sz="0" w:space="0" w:color="auto"/>
                                                                    <w:right w:val="none" w:sz="0" w:space="0" w:color="auto"/>
                                                                  </w:divBdr>
                                                                  <w:divsChild>
                                                                    <w:div w:id="80539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9658544">
      <w:bodyDiv w:val="1"/>
      <w:marLeft w:val="0"/>
      <w:marRight w:val="0"/>
      <w:marTop w:val="0"/>
      <w:marBottom w:val="0"/>
      <w:divBdr>
        <w:top w:val="none" w:sz="0" w:space="0" w:color="auto"/>
        <w:left w:val="none" w:sz="0" w:space="0" w:color="auto"/>
        <w:bottom w:val="none" w:sz="0" w:space="0" w:color="auto"/>
        <w:right w:val="none" w:sz="0" w:space="0" w:color="auto"/>
      </w:divBdr>
    </w:div>
    <w:div w:id="741103274">
      <w:bodyDiv w:val="1"/>
      <w:marLeft w:val="0"/>
      <w:marRight w:val="0"/>
      <w:marTop w:val="0"/>
      <w:marBottom w:val="0"/>
      <w:divBdr>
        <w:top w:val="none" w:sz="0" w:space="0" w:color="auto"/>
        <w:left w:val="none" w:sz="0" w:space="0" w:color="auto"/>
        <w:bottom w:val="none" w:sz="0" w:space="0" w:color="auto"/>
        <w:right w:val="none" w:sz="0" w:space="0" w:color="auto"/>
      </w:divBdr>
    </w:div>
    <w:div w:id="1375496711">
      <w:bodyDiv w:val="1"/>
      <w:marLeft w:val="0"/>
      <w:marRight w:val="0"/>
      <w:marTop w:val="0"/>
      <w:marBottom w:val="0"/>
      <w:divBdr>
        <w:top w:val="none" w:sz="0" w:space="0" w:color="auto"/>
        <w:left w:val="none" w:sz="0" w:space="0" w:color="auto"/>
        <w:bottom w:val="none" w:sz="0" w:space="0" w:color="auto"/>
        <w:right w:val="none" w:sz="0" w:space="0" w:color="auto"/>
      </w:divBdr>
    </w:div>
    <w:div w:id="1381590288">
      <w:bodyDiv w:val="1"/>
      <w:marLeft w:val="0"/>
      <w:marRight w:val="0"/>
      <w:marTop w:val="0"/>
      <w:marBottom w:val="0"/>
      <w:divBdr>
        <w:top w:val="none" w:sz="0" w:space="0" w:color="auto"/>
        <w:left w:val="none" w:sz="0" w:space="0" w:color="auto"/>
        <w:bottom w:val="none" w:sz="0" w:space="0" w:color="auto"/>
        <w:right w:val="none" w:sz="0" w:space="0" w:color="auto"/>
      </w:divBdr>
    </w:div>
    <w:div w:id="1827551521">
      <w:bodyDiv w:val="1"/>
      <w:marLeft w:val="0"/>
      <w:marRight w:val="0"/>
      <w:marTop w:val="0"/>
      <w:marBottom w:val="0"/>
      <w:divBdr>
        <w:top w:val="none" w:sz="0" w:space="0" w:color="auto"/>
        <w:left w:val="none" w:sz="0" w:space="0" w:color="auto"/>
        <w:bottom w:val="none" w:sz="0" w:space="0" w:color="auto"/>
        <w:right w:val="none" w:sz="0" w:space="0" w:color="auto"/>
      </w:divBdr>
      <w:divsChild>
        <w:div w:id="2077433661">
          <w:marLeft w:val="446"/>
          <w:marRight w:val="0"/>
          <w:marTop w:val="168"/>
          <w:marBottom w:val="0"/>
          <w:divBdr>
            <w:top w:val="none" w:sz="0" w:space="0" w:color="auto"/>
            <w:left w:val="none" w:sz="0" w:space="0" w:color="auto"/>
            <w:bottom w:val="none" w:sz="0" w:space="0" w:color="auto"/>
            <w:right w:val="none" w:sz="0" w:space="0" w:color="auto"/>
          </w:divBdr>
        </w:div>
      </w:divsChild>
    </w:div>
    <w:div w:id="212180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oleObject" Target="embeddings/oleObject18.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16F33-C894-4332-9016-E25DFAEC4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1921</Words>
  <Characters>10955</Characters>
  <Application>Microsoft Office Word</Application>
  <DocSecurity>0</DocSecurity>
  <Lines>91</Lines>
  <Paragraphs>25</Paragraphs>
  <ScaleCrop>false</ScaleCrop>
  <HeadingPairs>
    <vt:vector size="6" baseType="variant">
      <vt:variant>
        <vt:lpstr>Titel</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JKU</Company>
  <LinksUpToDate>false</LinksUpToDate>
  <CharactersWithSpaces>12851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LIOS</dc:creator>
  <cp:lastModifiedBy>mcs</cp:lastModifiedBy>
  <cp:revision>6</cp:revision>
  <cp:lastPrinted>2017-07-11T13:01:00Z</cp:lastPrinted>
  <dcterms:created xsi:type="dcterms:W3CDTF">2018-05-17T07:40:00Z</dcterms:created>
  <dcterms:modified xsi:type="dcterms:W3CDTF">2018-05-17T12:34:00Z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mhv@email.cz@www.mendeley.com</vt:lpwstr>
  </property>
  <property fmtid="{D5CDD505-2E9C-101B-9397-08002B2CF9AE}" pid="4" name="Mendeley Citation Style_1">
    <vt:lpwstr>http://www.zotero.org/styles/nature</vt:lpwstr>
  </property>
  <property fmtid="{D5CDD505-2E9C-101B-9397-08002B2CF9AE}" pid="5" name="Mendeley Recent Style Id 0_1">
    <vt:lpwstr>http://www.zotero.org/styles/advanced-materials</vt:lpwstr>
  </property>
  <property fmtid="{D5CDD505-2E9C-101B-9397-08002B2CF9AE}" pid="6" name="Mendeley Recent Style Name 0_1">
    <vt:lpwstr>Advanced Materials</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