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A2E3" w14:textId="77777777" w:rsidR="00BF09AB" w:rsidRPr="00106379" w:rsidRDefault="00BF09AB" w:rsidP="00BF09AB">
      <w:pPr>
        <w:spacing w:after="0" w:line="360" w:lineRule="auto"/>
        <w:jc w:val="center"/>
      </w:pPr>
      <w:r>
        <w:t>Supplementary material</w:t>
      </w:r>
      <w:r w:rsidRPr="00106379">
        <w:t xml:space="preserve"> to accompany:</w:t>
      </w:r>
    </w:p>
    <w:p w14:paraId="75E32508" w14:textId="47E42C35" w:rsidR="00CE6951" w:rsidRDefault="00CE6951" w:rsidP="00BF09AB">
      <w:pPr>
        <w:spacing w:line="480" w:lineRule="auto"/>
        <w:contextualSpacing/>
        <w:jc w:val="center"/>
        <w:rPr>
          <w:b/>
          <w:color w:val="000000"/>
          <w:shd w:val="clear" w:color="auto" w:fill="FFFFFF"/>
        </w:rPr>
      </w:pPr>
      <w:r w:rsidRPr="00CE6951">
        <w:rPr>
          <w:b/>
          <w:color w:val="000000"/>
          <w:shd w:val="clear" w:color="auto" w:fill="FFFFFF"/>
        </w:rPr>
        <w:t xml:space="preserve">New mechanochemical effects in the </w:t>
      </w:r>
      <w:proofErr w:type="gramStart"/>
      <w:r w:rsidRPr="00CE6951">
        <w:rPr>
          <w:b/>
          <w:color w:val="000000"/>
          <w:shd w:val="clear" w:color="auto" w:fill="FFFFFF"/>
        </w:rPr>
        <w:t>poly(</w:t>
      </w:r>
      <w:proofErr w:type="gramEnd"/>
      <w:r w:rsidRPr="00CE6951">
        <w:rPr>
          <w:b/>
          <w:color w:val="000000"/>
          <w:shd w:val="clear" w:color="auto" w:fill="FFFFFF"/>
        </w:rPr>
        <w:t xml:space="preserve">N-vinylcaprolactam) </w:t>
      </w:r>
      <w:r>
        <w:rPr>
          <w:b/>
          <w:color w:val="000000"/>
          <w:shd w:val="clear" w:color="auto" w:fill="FFFFFF"/>
        </w:rPr>
        <w:t>–</w:t>
      </w:r>
      <w:r w:rsidRPr="00CE6951">
        <w:rPr>
          <w:b/>
          <w:color w:val="000000"/>
          <w:shd w:val="clear" w:color="auto" w:fill="FFFFFF"/>
        </w:rPr>
        <w:t xml:space="preserve"> </w:t>
      </w:r>
    </w:p>
    <w:p w14:paraId="1780CD3D" w14:textId="77777777" w:rsidR="00CE6951" w:rsidRDefault="00CE6951" w:rsidP="00BF09AB">
      <w:pPr>
        <w:spacing w:line="480" w:lineRule="auto"/>
        <w:contextualSpacing/>
        <w:jc w:val="center"/>
      </w:pPr>
      <w:proofErr w:type="gramStart"/>
      <w:r w:rsidRPr="00CE6951">
        <w:rPr>
          <w:b/>
          <w:color w:val="000000"/>
          <w:shd w:val="clear" w:color="auto" w:fill="FFFFFF"/>
        </w:rPr>
        <w:t>nano</w:t>
      </w:r>
      <w:proofErr w:type="gramEnd"/>
      <w:r w:rsidRPr="00CE6951">
        <w:rPr>
          <w:b/>
          <w:color w:val="000000"/>
          <w:shd w:val="clear" w:color="auto" w:fill="FFFFFF"/>
        </w:rPr>
        <w:t>-titanium oxides (IV) system</w:t>
      </w:r>
      <w:r w:rsidRPr="00106379">
        <w:t xml:space="preserve"> </w:t>
      </w:r>
      <w:bookmarkStart w:id="0" w:name="_GoBack"/>
      <w:bookmarkEnd w:id="0"/>
    </w:p>
    <w:p w14:paraId="237738A5" w14:textId="434E6AC9" w:rsidR="00BF09AB" w:rsidRPr="00106379" w:rsidRDefault="00BF09AB" w:rsidP="00BF09AB">
      <w:pPr>
        <w:spacing w:line="480" w:lineRule="auto"/>
        <w:contextualSpacing/>
        <w:jc w:val="center"/>
      </w:pPr>
      <w:proofErr w:type="spellStart"/>
      <w:r w:rsidRPr="00106379">
        <w:t>Olesya</w:t>
      </w:r>
      <w:proofErr w:type="spellEnd"/>
      <w:r w:rsidRPr="00106379">
        <w:t xml:space="preserve"> </w:t>
      </w:r>
      <w:proofErr w:type="spellStart"/>
      <w:r w:rsidRPr="00106379">
        <w:t>Timaeva</w:t>
      </w:r>
      <w:proofErr w:type="spellEnd"/>
      <w:r w:rsidRPr="00106379">
        <w:t>*</w:t>
      </w:r>
      <w:r w:rsidRPr="00106379">
        <w:rPr>
          <w:vertAlign w:val="superscript"/>
        </w:rPr>
        <w:t>1</w:t>
      </w:r>
      <w:r w:rsidRPr="00106379">
        <w:t>, Irina Chihacheva</w:t>
      </w:r>
      <w:r w:rsidRPr="00106379">
        <w:rPr>
          <w:vertAlign w:val="superscript"/>
        </w:rPr>
        <w:t>1</w:t>
      </w:r>
      <w:r w:rsidRPr="00106379">
        <w:t>, Galina Kuzmicheva</w:t>
      </w:r>
      <w:r w:rsidRPr="00106379">
        <w:rPr>
          <w:vertAlign w:val="superscript"/>
        </w:rPr>
        <w:t>1</w:t>
      </w:r>
      <w:r w:rsidRPr="00106379">
        <w:t>, Natalia Ivanovskaya</w:t>
      </w:r>
      <w:r w:rsidRPr="00106379">
        <w:rPr>
          <w:vertAlign w:val="superscript"/>
        </w:rPr>
        <w:t>2</w:t>
      </w:r>
      <w:r w:rsidRPr="00106379">
        <w:t xml:space="preserve">, </w:t>
      </w:r>
      <w:proofErr w:type="spellStart"/>
      <w:r w:rsidRPr="00106379">
        <w:t>Andrey</w:t>
      </w:r>
      <w:proofErr w:type="spellEnd"/>
      <w:r w:rsidRPr="00106379">
        <w:t xml:space="preserve"> Dorohov</w:t>
      </w:r>
      <w:r w:rsidRPr="00106379">
        <w:rPr>
          <w:vertAlign w:val="superscript"/>
        </w:rPr>
        <w:t>1</w:t>
      </w:r>
    </w:p>
    <w:p w14:paraId="2FC4C45F" w14:textId="77777777" w:rsidR="00BF09AB" w:rsidRPr="00106379" w:rsidRDefault="00BF09AB" w:rsidP="00BF09AB">
      <w:pPr>
        <w:spacing w:line="480" w:lineRule="auto"/>
        <w:contextualSpacing/>
        <w:jc w:val="center"/>
      </w:pPr>
      <w:r w:rsidRPr="00106379">
        <w:rPr>
          <w:vertAlign w:val="superscript"/>
        </w:rPr>
        <w:t>1</w:t>
      </w:r>
      <w:r w:rsidRPr="00106379">
        <w:t xml:space="preserve"> Moscow Technological University, Institute of Fine Chemical Technologies, 86 </w:t>
      </w:r>
      <w:proofErr w:type="spellStart"/>
      <w:r w:rsidRPr="00106379">
        <w:t>Vernadskogo</w:t>
      </w:r>
      <w:proofErr w:type="spellEnd"/>
      <w:r w:rsidRPr="00106379">
        <w:t xml:space="preserve"> prospect, Moscow 119571, Russia</w:t>
      </w:r>
    </w:p>
    <w:p w14:paraId="2AAE2D5B" w14:textId="77777777" w:rsidR="00BF09AB" w:rsidRPr="00106379" w:rsidRDefault="00BF09AB" w:rsidP="00BF09AB">
      <w:pPr>
        <w:spacing w:line="480" w:lineRule="auto"/>
        <w:contextualSpacing/>
        <w:jc w:val="center"/>
      </w:pPr>
      <w:r w:rsidRPr="00106379">
        <w:rPr>
          <w:vertAlign w:val="superscript"/>
        </w:rPr>
        <w:t>2</w:t>
      </w:r>
      <w:r w:rsidRPr="00106379">
        <w:t xml:space="preserve"> FSRC «Crystallography and Photonics» RAS, 59 </w:t>
      </w:r>
      <w:proofErr w:type="spellStart"/>
      <w:r w:rsidRPr="00106379">
        <w:t>Leninsky</w:t>
      </w:r>
      <w:proofErr w:type="spellEnd"/>
      <w:r w:rsidRPr="00106379">
        <w:t xml:space="preserve"> prospect, Moscow 119333, </w:t>
      </w:r>
      <w:proofErr w:type="spellStart"/>
      <w:r w:rsidRPr="00106379">
        <w:t>Russsia</w:t>
      </w:r>
      <w:proofErr w:type="spellEnd"/>
    </w:p>
    <w:p w14:paraId="770EC26A" w14:textId="77777777" w:rsidR="00BF09AB" w:rsidRPr="00106379" w:rsidRDefault="00BF09AB" w:rsidP="00BF09AB">
      <w:pPr>
        <w:spacing w:line="480" w:lineRule="auto"/>
        <w:contextualSpacing/>
        <w:jc w:val="center"/>
      </w:pPr>
      <w:r w:rsidRPr="00106379">
        <w:t xml:space="preserve">* Corresponding Author E-mail address: </w:t>
      </w:r>
      <w:r w:rsidR="00597731">
        <w:t>timaeva@mirea.ru</w:t>
      </w:r>
    </w:p>
    <w:p w14:paraId="0C454BDB" w14:textId="0CA781D4" w:rsidR="00BF09AB" w:rsidRPr="00106379" w:rsidRDefault="00576D8E" w:rsidP="00BF09AB">
      <w:pPr>
        <w:spacing w:after="0"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  <w:lang w:eastAsia="ru-RU"/>
        </w:rPr>
        <w:lastRenderedPageBreak/>
        <w:drawing>
          <wp:inline distT="0" distB="0" distL="0" distR="0" wp14:anchorId="740128F7" wp14:editId="168A06A3">
            <wp:extent cx="5486400" cy="8311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67" cy="83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C109" w14:textId="77777777" w:rsidR="00BF09AB" w:rsidRPr="00106379" w:rsidRDefault="00BF09AB" w:rsidP="00BF09AB">
      <w:pPr>
        <w:spacing w:after="0" w:line="360" w:lineRule="auto"/>
        <w:jc w:val="center"/>
      </w:pPr>
      <w:r w:rsidRPr="00106379">
        <w:t>FIG. S1. XRD patterns of the starting samples with PVCL and TNP: (a) PVCL25 and PVCL40, (b) reference anatase (JCPDS 89-4921), (c) A, (d) HF, (e) HK, (f) EP1, (g) EP2.</w:t>
      </w:r>
    </w:p>
    <w:p w14:paraId="7BA9641C" w14:textId="229177BE" w:rsidR="00BF09AB" w:rsidRPr="00106379" w:rsidRDefault="00576D8E" w:rsidP="00BF09A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CCD5E41" wp14:editId="70198A0E">
            <wp:extent cx="6476365" cy="7355881"/>
            <wp:effectExtent l="0" t="0" r="63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73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9151" w14:textId="77777777" w:rsidR="00BF09AB" w:rsidRPr="00106379" w:rsidRDefault="00BF09AB" w:rsidP="00BF09AB">
      <w:pPr>
        <w:spacing w:after="0" w:line="360" w:lineRule="auto"/>
        <w:jc w:val="center"/>
      </w:pPr>
      <w:r w:rsidRPr="00106379">
        <w:t>FIG. S2. XRD patterns of nanocomposites (</w:t>
      </w:r>
      <w:r w:rsidRPr="00106379">
        <w:rPr>
          <w:i/>
        </w:rPr>
        <w:t>method 1</w:t>
      </w:r>
      <w:r w:rsidRPr="00106379">
        <w:t>): (a) PVCL25/A, (b) PVCL25/HK, (c) PVCL40/HK, (d) PVCL25/EP1, (e) PVCL25/EP2, (f) PVCL40/EP2.</w:t>
      </w:r>
    </w:p>
    <w:p w14:paraId="423D8FBE" w14:textId="77777777" w:rsidR="00BF09AB" w:rsidRPr="00106379" w:rsidRDefault="00BF09AB" w:rsidP="00BF09AB">
      <w:pPr>
        <w:spacing w:after="0" w:line="360" w:lineRule="auto"/>
        <w:jc w:val="center"/>
      </w:pPr>
    </w:p>
    <w:p w14:paraId="4EC03228" w14:textId="75596490" w:rsidR="00BF09AB" w:rsidRPr="00106379" w:rsidRDefault="00576D8E" w:rsidP="00BF09AB">
      <w:pPr>
        <w:spacing w:line="48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244964B" wp14:editId="5D972E30">
            <wp:extent cx="6476365" cy="2585027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02F8" w14:textId="77777777" w:rsidR="00BF09AB" w:rsidRPr="00106379" w:rsidRDefault="00BF09AB" w:rsidP="00BF09AB">
      <w:pPr>
        <w:spacing w:line="480" w:lineRule="auto"/>
        <w:contextualSpacing/>
        <w:jc w:val="center"/>
      </w:pPr>
      <w:r w:rsidRPr="00106379">
        <w:t xml:space="preserve">FIG. S3. </w:t>
      </w:r>
      <w:proofErr w:type="gramStart"/>
      <w:r w:rsidRPr="00106379">
        <w:t>IR spectra of the starting samples and the nanocomposites (a) HF and PVCL40/HF and (b) HK and PVCL40/HK.</w:t>
      </w:r>
      <w:proofErr w:type="gramEnd"/>
    </w:p>
    <w:p w14:paraId="44EBC726" w14:textId="4514401A" w:rsidR="00BF09AB" w:rsidRPr="00106379" w:rsidRDefault="00576D8E" w:rsidP="00BF09A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939E99" wp14:editId="10E46066">
            <wp:extent cx="6476365" cy="7259911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725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DB97" w14:textId="77777777" w:rsidR="00BF09AB" w:rsidRPr="00106379" w:rsidRDefault="00BF09AB" w:rsidP="00BF09AB">
      <w:pPr>
        <w:spacing w:after="0" w:line="360" w:lineRule="auto"/>
        <w:jc w:val="center"/>
      </w:pPr>
      <w:r w:rsidRPr="00106379">
        <w:t>FIG. S4. XRD patterns (</w:t>
      </w:r>
      <w:r w:rsidRPr="00106379">
        <w:rPr>
          <w:i/>
        </w:rPr>
        <w:t>method 2</w:t>
      </w:r>
      <w:r w:rsidRPr="00106379">
        <w:t xml:space="preserve">) of (a) HF (200 rpm, 15 min, </w:t>
      </w:r>
      <w:proofErr w:type="spellStart"/>
      <w:r w:rsidRPr="00106379">
        <w:t>Ar</w:t>
      </w:r>
      <w:proofErr w:type="spellEnd"/>
      <w:r w:rsidRPr="00106379">
        <w:t xml:space="preserve">), (b) А (400 rpm, 25 min, air), </w:t>
      </w:r>
    </w:p>
    <w:p w14:paraId="5A4C0114" w14:textId="77777777" w:rsidR="00BF09AB" w:rsidRPr="00106379" w:rsidRDefault="00BF09AB" w:rsidP="00BF09AB">
      <w:pPr>
        <w:spacing w:after="0" w:line="360" w:lineRule="auto"/>
        <w:jc w:val="center"/>
      </w:pPr>
      <w:r w:rsidRPr="00106379">
        <w:t>(c) PVCL25/HF (</w:t>
      </w:r>
      <w:proofErr w:type="gramStart"/>
      <w:r w:rsidRPr="00106379">
        <w:t>1 :</w:t>
      </w:r>
      <w:proofErr w:type="gramEnd"/>
      <w:r w:rsidRPr="00106379">
        <w:t xml:space="preserve"> 1) (400 rpm, 20 min, </w:t>
      </w:r>
      <w:proofErr w:type="spellStart"/>
      <w:r w:rsidRPr="00106379">
        <w:t>Ar</w:t>
      </w:r>
      <w:proofErr w:type="spellEnd"/>
      <w:r w:rsidRPr="00106379">
        <w:t xml:space="preserve">), (d) PVCL40/HF (1 : 1) (400 rpm, 20 min, </w:t>
      </w:r>
      <w:proofErr w:type="spellStart"/>
      <w:r w:rsidRPr="00106379">
        <w:t>Ar</w:t>
      </w:r>
      <w:proofErr w:type="spellEnd"/>
      <w:r w:rsidRPr="00106379">
        <w:t xml:space="preserve">), </w:t>
      </w:r>
    </w:p>
    <w:p w14:paraId="30D23236" w14:textId="77777777" w:rsidR="00BF09AB" w:rsidRDefault="00BF09AB" w:rsidP="00BF09AB">
      <w:pPr>
        <w:spacing w:after="0" w:line="360" w:lineRule="auto"/>
        <w:jc w:val="center"/>
      </w:pPr>
      <w:r w:rsidRPr="00106379">
        <w:t>(e) EP2 (400 rpm, 25 min, air), (f) PVCL25/HF (</w:t>
      </w:r>
      <w:proofErr w:type="gramStart"/>
      <w:r w:rsidRPr="00106379">
        <w:t>2 :</w:t>
      </w:r>
      <w:proofErr w:type="gramEnd"/>
      <w:r w:rsidRPr="00106379">
        <w:t xml:space="preserve"> 1) (400 rpm, 20 min, </w:t>
      </w:r>
      <w:proofErr w:type="spellStart"/>
      <w:r w:rsidRPr="00106379">
        <w:t>Ar</w:t>
      </w:r>
      <w:proofErr w:type="spellEnd"/>
      <w:r w:rsidRPr="00106379">
        <w:t>).</w:t>
      </w:r>
    </w:p>
    <w:p w14:paraId="0ADD0235" w14:textId="77777777" w:rsidR="00BF09AB" w:rsidRPr="00661733" w:rsidRDefault="00BF09AB" w:rsidP="00BF09AB">
      <w:pPr>
        <w:spacing w:line="480" w:lineRule="auto"/>
        <w:contextualSpacing/>
        <w:jc w:val="center"/>
      </w:pPr>
    </w:p>
    <w:p w14:paraId="5BAA74C2" w14:textId="77777777" w:rsidR="00BF09AB" w:rsidRDefault="00BF09AB" w:rsidP="00BF09AB"/>
    <w:p w14:paraId="0FEB988E" w14:textId="77777777" w:rsidR="001C3058" w:rsidRDefault="001C3058"/>
    <w:sectPr w:rsidR="001C3058" w:rsidSect="00DE3024">
      <w:pgSz w:w="11901" w:h="16840"/>
      <w:pgMar w:top="1134" w:right="851" w:bottom="1134" w:left="851" w:header="709" w:footer="709" w:gutter="0"/>
      <w:pgNumType w:start="1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AB"/>
    <w:rsid w:val="001C3058"/>
    <w:rsid w:val="00576D8E"/>
    <w:rsid w:val="00597731"/>
    <w:rsid w:val="0063716B"/>
    <w:rsid w:val="00735690"/>
    <w:rsid w:val="00BF09AB"/>
    <w:rsid w:val="00C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68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AB"/>
    <w:pPr>
      <w:spacing w:after="200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AB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AB"/>
    <w:rPr>
      <w:rFonts w:ascii="Lucida Grande CY" w:eastAsiaTheme="minorHAnsi" w:hAnsi="Lucida Grande CY" w:cs="Lucida Grande CY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AB"/>
    <w:pPr>
      <w:spacing w:after="200"/>
    </w:pPr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AB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AB"/>
    <w:rPr>
      <w:rFonts w:ascii="Lucida Grande CY" w:eastAsiaTheme="minorHAnsi" w:hAnsi="Lucida Grande CY" w:cs="Lucida Grande CY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Тимаева</dc:creator>
  <cp:keywords/>
  <dc:description/>
  <cp:lastModifiedBy>Олеся Тимаева</cp:lastModifiedBy>
  <cp:revision>5</cp:revision>
  <dcterms:created xsi:type="dcterms:W3CDTF">2017-10-29T12:52:00Z</dcterms:created>
  <dcterms:modified xsi:type="dcterms:W3CDTF">2018-01-29T21:08:00Z</dcterms:modified>
</cp:coreProperties>
</file>