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0AC2" w14:textId="77777777" w:rsidR="00C70E16" w:rsidRPr="0030043B" w:rsidRDefault="00C70E16" w:rsidP="00C70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3B">
        <w:rPr>
          <w:rFonts w:ascii="Times New Roman" w:hAnsi="Times New Roman" w:cs="Times New Roman"/>
          <w:b/>
          <w:bCs/>
          <w:sz w:val="24"/>
          <w:szCs w:val="24"/>
        </w:rPr>
        <w:t>Appendix A</w:t>
      </w:r>
    </w:p>
    <w:p w14:paraId="408979DC" w14:textId="77777777" w:rsidR="00C70E16" w:rsidRDefault="00C70E16" w:rsidP="00C70E1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future researchers are interested in estimating required sample sizes for intervention trials based upon the effect sizes of changes in the subscales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these results are presented below.</w:t>
      </w:r>
    </w:p>
    <w:p w14:paraId="7514CE67" w14:textId="77777777" w:rsidR="00C70E16" w:rsidRPr="00A85418" w:rsidRDefault="00C70E16" w:rsidP="00C70E1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significant decreases in: Nonacceptance from a mean of 3.97 (</w:t>
      </w:r>
      <w:r w:rsidRPr="00405648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0.95) to 3.22 (</w:t>
      </w:r>
      <w:r w:rsidRPr="00405648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0.86),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809DE">
        <w:rPr>
          <w:rFonts w:ascii="Times New Roman" w:hAnsi="Times New Roman" w:cs="Times New Roman"/>
          <w:sz w:val="24"/>
          <w:szCs w:val="24"/>
          <w:vertAlign w:val="subscript"/>
        </w:rPr>
        <w:t>(23)</w:t>
      </w:r>
      <w:r>
        <w:rPr>
          <w:rFonts w:ascii="Times New Roman" w:hAnsi="Times New Roman" w:cs="Times New Roman"/>
          <w:sz w:val="24"/>
          <w:szCs w:val="24"/>
        </w:rPr>
        <w:t xml:space="preserve"> = -3.32,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 </w:t>
      </w:r>
      <w:r>
        <w:rPr>
          <w:rFonts w:ascii="Times New Roman" w:hAnsi="Times New Roman" w:cs="Times New Roman"/>
          <w:sz w:val="24"/>
          <w:szCs w:val="24"/>
        </w:rPr>
        <w:t>= .003</w:t>
      </w:r>
      <w:r w:rsidRPr="00A854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Goals from a mean of 4.05 (</w:t>
      </w:r>
      <w:r w:rsidRPr="00405648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0.88) to 3.47 (</w:t>
      </w:r>
      <w:r w:rsidRPr="00405648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0.84),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809DE">
        <w:rPr>
          <w:rFonts w:ascii="Times New Roman" w:hAnsi="Times New Roman" w:cs="Times New Roman"/>
          <w:sz w:val="24"/>
          <w:szCs w:val="24"/>
          <w:vertAlign w:val="subscript"/>
        </w:rPr>
        <w:t>(23)</w:t>
      </w:r>
      <w:r>
        <w:rPr>
          <w:rFonts w:ascii="Times New Roman" w:hAnsi="Times New Roman" w:cs="Times New Roman"/>
          <w:sz w:val="24"/>
          <w:szCs w:val="24"/>
        </w:rPr>
        <w:t xml:space="preserve"> = -3.00,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 </w:t>
      </w:r>
      <w:r>
        <w:rPr>
          <w:rFonts w:ascii="Times New Roman" w:hAnsi="Times New Roman" w:cs="Times New Roman"/>
          <w:sz w:val="24"/>
          <w:szCs w:val="24"/>
        </w:rPr>
        <w:t>= .007</w:t>
      </w:r>
      <w:r w:rsidRPr="00A854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Strategies from a mean of 3.83 (</w:t>
      </w:r>
      <w:r w:rsidRPr="00405648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0.66) to 3.19 (</w:t>
      </w:r>
      <w:r w:rsidRPr="00405648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0.94),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809DE">
        <w:rPr>
          <w:rFonts w:ascii="Times New Roman" w:hAnsi="Times New Roman" w:cs="Times New Roman"/>
          <w:sz w:val="24"/>
          <w:szCs w:val="24"/>
          <w:vertAlign w:val="subscript"/>
        </w:rPr>
        <w:t>(23)</w:t>
      </w:r>
      <w:r>
        <w:rPr>
          <w:rFonts w:ascii="Times New Roman" w:hAnsi="Times New Roman" w:cs="Times New Roman"/>
          <w:sz w:val="24"/>
          <w:szCs w:val="24"/>
        </w:rPr>
        <w:t xml:space="preserve"> = -3.60,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 </w:t>
      </w:r>
      <w:r>
        <w:rPr>
          <w:rFonts w:ascii="Times New Roman" w:hAnsi="Times New Roman" w:cs="Times New Roman"/>
          <w:sz w:val="24"/>
          <w:szCs w:val="24"/>
        </w:rPr>
        <w:t xml:space="preserve">= .002, with medium effect sizes,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 = </w:t>
      </w:r>
      <w:r>
        <w:rPr>
          <w:rFonts w:ascii="Times New Roman" w:hAnsi="Times New Roman" w:cs="Times New Roman"/>
          <w:sz w:val="24"/>
          <w:szCs w:val="24"/>
        </w:rPr>
        <w:t xml:space="preserve">-0.68, -0.61, and -0.73, respectively. </w:t>
      </w:r>
      <w:r w:rsidRPr="00A85418">
        <w:rPr>
          <w:rFonts w:ascii="Times New Roman" w:hAnsi="Times New Roman" w:cs="Times New Roman"/>
          <w:sz w:val="24"/>
          <w:szCs w:val="24"/>
        </w:rPr>
        <w:t>There was also a significant decrease in Impulse from baseline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5648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3.60, </w:t>
      </w:r>
      <w:r w:rsidRPr="00405648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0.76)</w:t>
      </w:r>
      <w:r w:rsidRPr="00A85418">
        <w:rPr>
          <w:rFonts w:ascii="Times New Roman" w:hAnsi="Times New Roman" w:cs="Times New Roman"/>
          <w:sz w:val="24"/>
          <w:szCs w:val="24"/>
        </w:rPr>
        <w:t xml:space="preserve"> to six months of treatment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5648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2.95, </w:t>
      </w:r>
      <w:r w:rsidRPr="00405648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0.85)</w:t>
      </w:r>
      <w:r w:rsidRPr="00A854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809D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B809DE">
        <w:rPr>
          <w:rFonts w:ascii="Times New Roman" w:hAnsi="Times New Roman" w:cs="Times New Roman"/>
          <w:sz w:val="24"/>
          <w:szCs w:val="24"/>
          <w:vertAlign w:val="subscript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= -4.03,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 </w:t>
      </w:r>
      <w:r>
        <w:rPr>
          <w:rFonts w:ascii="Times New Roman" w:hAnsi="Times New Roman" w:cs="Times New Roman"/>
          <w:sz w:val="24"/>
          <w:szCs w:val="24"/>
        </w:rPr>
        <w:t>&lt; .001</w:t>
      </w:r>
      <w:r w:rsidRPr="00A85418">
        <w:rPr>
          <w:rFonts w:ascii="Times New Roman" w:hAnsi="Times New Roman" w:cs="Times New Roman"/>
          <w:sz w:val="24"/>
          <w:szCs w:val="24"/>
        </w:rPr>
        <w:t>,  with a large effect size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 = </w:t>
      </w:r>
      <w:r>
        <w:rPr>
          <w:rFonts w:ascii="Times New Roman" w:hAnsi="Times New Roman" w:cs="Times New Roman"/>
          <w:sz w:val="24"/>
          <w:szCs w:val="24"/>
        </w:rPr>
        <w:t>-0.82</w:t>
      </w:r>
      <w:r w:rsidRPr="00A85418">
        <w:rPr>
          <w:rFonts w:ascii="Times New Roman" w:hAnsi="Times New Roman" w:cs="Times New Roman"/>
          <w:sz w:val="24"/>
          <w:szCs w:val="24"/>
        </w:rPr>
        <w:t>. The significant decrease in Clarity from baseline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17E2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3.58, </w:t>
      </w:r>
      <w:r w:rsidRPr="009917E2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0.68)</w:t>
      </w:r>
      <w:r w:rsidRPr="00A85418">
        <w:rPr>
          <w:rFonts w:ascii="Times New Roman" w:hAnsi="Times New Roman" w:cs="Times New Roman"/>
          <w:sz w:val="24"/>
          <w:szCs w:val="24"/>
        </w:rPr>
        <w:t xml:space="preserve"> to six months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17E2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3.28, </w:t>
      </w:r>
      <w:r w:rsidRPr="009917E2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0.65),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809D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B809DE">
        <w:rPr>
          <w:rFonts w:ascii="Times New Roman" w:hAnsi="Times New Roman" w:cs="Times New Roman"/>
          <w:sz w:val="24"/>
          <w:szCs w:val="24"/>
          <w:vertAlign w:val="subscript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= -2.11,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 </w:t>
      </w:r>
      <w:r>
        <w:rPr>
          <w:rFonts w:ascii="Times New Roman" w:hAnsi="Times New Roman" w:cs="Times New Roman"/>
          <w:sz w:val="24"/>
          <w:szCs w:val="24"/>
        </w:rPr>
        <w:t>= .05</w:t>
      </w:r>
      <w:r w:rsidRPr="00A85418">
        <w:rPr>
          <w:rFonts w:ascii="Times New Roman" w:hAnsi="Times New Roman" w:cs="Times New Roman"/>
          <w:sz w:val="24"/>
          <w:szCs w:val="24"/>
        </w:rPr>
        <w:t>, of treatment was associated with a small effect size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 -0.43</w:t>
      </w:r>
      <w:r w:rsidRPr="00A854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decrease in Awareness was not significant. </w:t>
      </w:r>
    </w:p>
    <w:p w14:paraId="3A3F2B52" w14:textId="77777777" w:rsidR="00C70E16" w:rsidRDefault="00C70E16" w:rsidP="00C70E16"/>
    <w:p w14:paraId="246DC3D4" w14:textId="77777777" w:rsidR="00C70E16" w:rsidRDefault="00C70E16" w:rsidP="00C70E16"/>
    <w:p w14:paraId="21FE6A18" w14:textId="77777777" w:rsidR="00C70E16" w:rsidRDefault="00C70E16" w:rsidP="00C70E16">
      <w:r>
        <w:fldChar w:fldCharType="begin"/>
      </w:r>
      <w:r>
        <w:instrText xml:space="preserve"> ADDIN EN.REFLIST </w:instrText>
      </w:r>
      <w:r>
        <w:fldChar w:fldCharType="end"/>
      </w:r>
    </w:p>
    <w:p w14:paraId="72D46EBF" w14:textId="77777777" w:rsidR="00C52B04" w:rsidRDefault="00C52B04"/>
    <w:sectPr w:rsidR="00C5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16"/>
    <w:rsid w:val="00C52B04"/>
    <w:rsid w:val="00C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2BEB"/>
  <w15:chartTrackingRefBased/>
  <w15:docId w15:val="{40DA18EF-0532-4122-9156-E720D89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Strodl</dc:creator>
  <cp:keywords/>
  <dc:description/>
  <cp:lastModifiedBy>Esben Strodl</cp:lastModifiedBy>
  <cp:revision>1</cp:revision>
  <dcterms:created xsi:type="dcterms:W3CDTF">2022-12-22T09:22:00Z</dcterms:created>
  <dcterms:modified xsi:type="dcterms:W3CDTF">2022-12-22T09:22:00Z</dcterms:modified>
</cp:coreProperties>
</file>