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B0" w:rsidRPr="003839B0" w:rsidRDefault="003839B0" w:rsidP="003839B0">
      <w:pPr>
        <w:jc w:val="center"/>
        <w:rPr>
          <w:rFonts w:ascii="Times New Roman" w:hAnsi="Times New Roman" w:cs="Times New Roman"/>
          <w:b/>
          <w:sz w:val="24"/>
          <w:szCs w:val="24"/>
        </w:rPr>
      </w:pPr>
      <w:r w:rsidRPr="003839B0">
        <w:rPr>
          <w:rFonts w:ascii="Times New Roman" w:hAnsi="Times New Roman" w:cs="Times New Roman"/>
          <w:b/>
          <w:sz w:val="24"/>
          <w:szCs w:val="24"/>
        </w:rPr>
        <w:t>Additional File 1: TREC Facility Inclusion and Exclusion Criteria</w:t>
      </w:r>
    </w:p>
    <w:tbl>
      <w:tblPr>
        <w:tblW w:w="5000" w:type="pct"/>
        <w:tblCellSpacing w:w="15" w:type="dxa"/>
        <w:shd w:val="clear" w:color="auto" w:fill="FFFFFF"/>
        <w:tblCellMar>
          <w:top w:w="15" w:type="dxa"/>
          <w:left w:w="15" w:type="dxa"/>
          <w:bottom w:w="15" w:type="dxa"/>
          <w:right w:w="15" w:type="dxa"/>
        </w:tblCellMar>
        <w:tblLook w:val="04A0"/>
      </w:tblPr>
      <w:tblGrid>
        <w:gridCol w:w="1515"/>
        <w:gridCol w:w="8175"/>
      </w:tblGrid>
      <w:tr w:rsidR="003839B0" w:rsidRPr="003839B0" w:rsidTr="003839B0">
        <w:trPr>
          <w:trHeight w:val="385"/>
          <w:tblHeade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b/>
                <w:bCs/>
              </w:rPr>
            </w:pPr>
          </w:p>
        </w:tc>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3839B0" w:rsidRPr="003839B0" w:rsidRDefault="003839B0" w:rsidP="003839B0">
            <w:pPr>
              <w:spacing w:line="240" w:lineRule="auto"/>
              <w:jc w:val="center"/>
              <w:rPr>
                <w:rFonts w:ascii="Times New Roman" w:hAnsi="Times New Roman" w:cs="Times New Roman"/>
                <w:b/>
                <w:bCs/>
              </w:rPr>
            </w:pPr>
            <w:r w:rsidRPr="003839B0">
              <w:rPr>
                <w:rFonts w:ascii="Times New Roman" w:hAnsi="Times New Roman" w:cs="Times New Roman"/>
                <w:b/>
                <w:bCs/>
              </w:rPr>
              <w:t>Criteria</w:t>
            </w:r>
          </w:p>
        </w:tc>
      </w:tr>
      <w:tr w:rsidR="003839B0" w:rsidRPr="003839B0" w:rsidTr="003839B0">
        <w:trPr>
          <w:trHeight w:val="614"/>
          <w:tblHeade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b/>
                <w:bCs/>
              </w:rPr>
            </w:pPr>
            <w:r w:rsidRPr="003839B0">
              <w:rPr>
                <w:rFonts w:ascii="Times New Roman" w:hAnsi="Times New Roman" w:cs="Times New Roman"/>
                <w:b/>
                <w:bCs/>
              </w:rPr>
              <w:t>Inclusion Criteria</w:t>
            </w:r>
          </w:p>
        </w:tc>
        <w:tc>
          <w:tcPr>
            <w:tcW w:w="0" w:type="auto"/>
            <w:tcBorders>
              <w:top w:val="single" w:sz="6" w:space="0" w:color="DCDCDC"/>
              <w:left w:val="single" w:sz="6" w:space="0" w:color="DCDCDC"/>
              <w:bottom w:val="single" w:sz="6" w:space="0" w:color="DCDCDC"/>
              <w:right w:val="single" w:sz="6" w:space="0" w:color="DCDCDC"/>
            </w:tcBorders>
            <w:shd w:val="clear" w:color="auto" w:fill="auto"/>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bCs/>
              </w:rPr>
            </w:pPr>
            <w:r w:rsidRPr="003839B0">
              <w:rPr>
                <w:rFonts w:ascii="Times New Roman" w:hAnsi="Times New Roman" w:cs="Times New Roman"/>
                <w:bCs/>
              </w:rPr>
              <w:t>1. Registered by the provincial government</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2. 90% of residents over 65</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3. Conduct RAI-MDS 2.0 assessment since September 2007</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4. Facility operation conducted in the English language</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5. Rural sites greater than 100 km (but less than 200 km) radius of Regina or Saskatoon, and with populations of 10,000 people or less</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6. Urban facilities must be within designated health regions (i.e., Alberta – Edmonton, Calgary, or East Central; Manitoba – Winnipeg; Saskatchewan – Regina-Qu'Appelle or Saskatoon)</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7. Stable or minimal level of organizational flux</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b/>
                <w:bCs/>
              </w:rPr>
              <w:t>Exclusion Criteria</w:t>
            </w:r>
            <w:r w:rsidRPr="003839B0">
              <w:rPr>
                <w:rFonts w:ascii="Times New Roman" w:hAnsi="Times New Roman" w:cs="Times New Roman"/>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1. Facilities integrated with acute care</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2. Facilities with a sub-acute service</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3. Rural facilities within the Capital Health Region (Edmonton, AB), Calgary Health Region (Calgary, AB), and Winnipeg Regional Health Authority (Winnipeg, MB) that reside in places with populations of 10,000 people or less</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4. Rural facilities less than 100 km or greater than 200 km of Regina or Saskatoon (SK)</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5. Facilities with less than 35 long-term care beds</w:t>
            </w:r>
          </w:p>
        </w:tc>
      </w:tr>
      <w:tr w:rsidR="003839B0" w:rsidRPr="003839B0" w:rsidTr="00B4501C">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6. Dementia special needs facilities</w:t>
            </w:r>
          </w:p>
        </w:tc>
      </w:tr>
      <w:tr w:rsidR="003839B0" w:rsidRPr="003839B0" w:rsidTr="003839B0">
        <w:trPr>
          <w:trHeight w:val="576"/>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3839B0" w:rsidRPr="003839B0" w:rsidRDefault="003839B0" w:rsidP="003839B0">
            <w:pPr>
              <w:spacing w:line="240" w:lineRule="auto"/>
              <w:rPr>
                <w:rFonts w:ascii="Times New Roman" w:hAnsi="Times New Roman" w:cs="Times New Roman"/>
              </w:rPr>
            </w:pPr>
            <w:r w:rsidRPr="003839B0">
              <w:rPr>
                <w:rFonts w:ascii="Times New Roman" w:hAnsi="Times New Roman" w:cs="Times New Roman"/>
              </w:rPr>
              <w:t>7. Facilities undergoing (or expected to undergo) a degree of organizational flux within the proposed five-year lifespan of the TREC program</w:t>
            </w:r>
          </w:p>
        </w:tc>
      </w:tr>
    </w:tbl>
    <w:p w:rsidR="003839B0" w:rsidRDefault="003839B0" w:rsidP="003839B0"/>
    <w:sectPr w:rsidR="003839B0" w:rsidSect="003A2C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4216"/>
    <w:rsid w:val="003839B0"/>
    <w:rsid w:val="003A2C7B"/>
    <w:rsid w:val="004A4216"/>
    <w:rsid w:val="005D0D57"/>
    <w:rsid w:val="00874CBD"/>
    <w:rsid w:val="00C147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7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705024">
      <w:bodyDiv w:val="1"/>
      <w:marLeft w:val="0"/>
      <w:marRight w:val="0"/>
      <w:marTop w:val="0"/>
      <w:marBottom w:val="0"/>
      <w:divBdr>
        <w:top w:val="none" w:sz="0" w:space="0" w:color="auto"/>
        <w:left w:val="none" w:sz="0" w:space="0" w:color="auto"/>
        <w:bottom w:val="none" w:sz="0" w:space="0" w:color="auto"/>
        <w:right w:val="none" w:sz="0" w:space="0" w:color="auto"/>
      </w:divBdr>
      <w:divsChild>
        <w:div w:id="1758550400">
          <w:marLeft w:val="0"/>
          <w:marRight w:val="0"/>
          <w:marTop w:val="0"/>
          <w:marBottom w:val="0"/>
          <w:divBdr>
            <w:top w:val="none" w:sz="0" w:space="0" w:color="auto"/>
            <w:left w:val="none" w:sz="0" w:space="0" w:color="auto"/>
            <w:bottom w:val="none" w:sz="0" w:space="0" w:color="auto"/>
            <w:right w:val="none" w:sz="0" w:space="0" w:color="auto"/>
          </w:divBdr>
          <w:divsChild>
            <w:div w:id="1481265601">
              <w:marLeft w:val="0"/>
              <w:marRight w:val="0"/>
              <w:marTop w:val="100"/>
              <w:marBottom w:val="100"/>
              <w:divBdr>
                <w:top w:val="none" w:sz="0" w:space="0" w:color="auto"/>
                <w:left w:val="none" w:sz="0" w:space="0" w:color="auto"/>
                <w:bottom w:val="none" w:sz="0" w:space="0" w:color="auto"/>
                <w:right w:val="none" w:sz="0" w:space="0" w:color="auto"/>
              </w:divBdr>
              <w:divsChild>
                <w:div w:id="1908415282">
                  <w:marLeft w:val="0"/>
                  <w:marRight w:val="0"/>
                  <w:marTop w:val="0"/>
                  <w:marBottom w:val="0"/>
                  <w:divBdr>
                    <w:top w:val="none" w:sz="0" w:space="0" w:color="auto"/>
                    <w:left w:val="none" w:sz="0" w:space="0" w:color="auto"/>
                    <w:bottom w:val="none" w:sz="0" w:space="0" w:color="auto"/>
                    <w:right w:val="none" w:sz="0" w:space="0" w:color="auto"/>
                  </w:divBdr>
                  <w:divsChild>
                    <w:div w:id="1039547222">
                      <w:marLeft w:val="0"/>
                      <w:marRight w:val="0"/>
                      <w:marTop w:val="0"/>
                      <w:marBottom w:val="0"/>
                      <w:divBdr>
                        <w:top w:val="none" w:sz="0" w:space="0" w:color="auto"/>
                        <w:left w:val="none" w:sz="0" w:space="0" w:color="auto"/>
                        <w:bottom w:val="none" w:sz="0" w:space="0" w:color="auto"/>
                        <w:right w:val="none" w:sz="0" w:space="0" w:color="auto"/>
                      </w:divBdr>
                      <w:divsChild>
                        <w:div w:id="251596873">
                          <w:marLeft w:val="0"/>
                          <w:marRight w:val="0"/>
                          <w:marTop w:val="0"/>
                          <w:marBottom w:val="540"/>
                          <w:divBdr>
                            <w:top w:val="none" w:sz="0" w:space="0" w:color="auto"/>
                            <w:left w:val="none" w:sz="0" w:space="0" w:color="auto"/>
                            <w:bottom w:val="none" w:sz="0" w:space="0" w:color="auto"/>
                            <w:right w:val="none" w:sz="0" w:space="0" w:color="auto"/>
                          </w:divBdr>
                          <w:divsChild>
                            <w:div w:id="452753997">
                              <w:marLeft w:val="0"/>
                              <w:marRight w:val="0"/>
                              <w:marTop w:val="0"/>
                              <w:marBottom w:val="0"/>
                              <w:divBdr>
                                <w:top w:val="none" w:sz="0" w:space="0" w:color="auto"/>
                                <w:left w:val="none" w:sz="0" w:space="0" w:color="auto"/>
                                <w:bottom w:val="none" w:sz="0" w:space="0" w:color="auto"/>
                                <w:right w:val="none" w:sz="0" w:space="0" w:color="auto"/>
                              </w:divBdr>
                              <w:divsChild>
                                <w:div w:id="368457129">
                                  <w:marLeft w:val="0"/>
                                  <w:marRight w:val="0"/>
                                  <w:marTop w:val="0"/>
                                  <w:marBottom w:val="0"/>
                                  <w:divBdr>
                                    <w:top w:val="none" w:sz="0" w:space="0" w:color="auto"/>
                                    <w:left w:val="none" w:sz="0" w:space="0" w:color="auto"/>
                                    <w:bottom w:val="none" w:sz="0" w:space="0" w:color="auto"/>
                                    <w:right w:val="none" w:sz="0" w:space="0" w:color="auto"/>
                                  </w:divBdr>
                                  <w:divsChild>
                                    <w:div w:id="63266373">
                                      <w:marLeft w:val="0"/>
                                      <w:marRight w:val="0"/>
                                      <w:marTop w:val="0"/>
                                      <w:marBottom w:val="360"/>
                                      <w:divBdr>
                                        <w:top w:val="none" w:sz="0" w:space="0" w:color="auto"/>
                                        <w:left w:val="none" w:sz="0" w:space="0" w:color="auto"/>
                                        <w:bottom w:val="none" w:sz="0" w:space="0" w:color="auto"/>
                                        <w:right w:val="none" w:sz="0" w:space="0" w:color="auto"/>
                                      </w:divBdr>
                                      <w:divsChild>
                                        <w:div w:id="4950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414140">
      <w:bodyDiv w:val="1"/>
      <w:marLeft w:val="0"/>
      <w:marRight w:val="0"/>
      <w:marTop w:val="0"/>
      <w:marBottom w:val="0"/>
      <w:divBdr>
        <w:top w:val="none" w:sz="0" w:space="0" w:color="auto"/>
        <w:left w:val="none" w:sz="0" w:space="0" w:color="auto"/>
        <w:bottom w:val="none" w:sz="0" w:space="0" w:color="auto"/>
        <w:right w:val="none" w:sz="0" w:space="0" w:color="auto"/>
      </w:divBdr>
      <w:divsChild>
        <w:div w:id="1532915297">
          <w:marLeft w:val="0"/>
          <w:marRight w:val="0"/>
          <w:marTop w:val="0"/>
          <w:marBottom w:val="0"/>
          <w:divBdr>
            <w:top w:val="none" w:sz="0" w:space="0" w:color="auto"/>
            <w:left w:val="none" w:sz="0" w:space="0" w:color="auto"/>
            <w:bottom w:val="none" w:sz="0" w:space="0" w:color="auto"/>
            <w:right w:val="none" w:sz="0" w:space="0" w:color="auto"/>
          </w:divBdr>
          <w:divsChild>
            <w:div w:id="1693920241">
              <w:marLeft w:val="0"/>
              <w:marRight w:val="0"/>
              <w:marTop w:val="100"/>
              <w:marBottom w:val="100"/>
              <w:divBdr>
                <w:top w:val="none" w:sz="0" w:space="0" w:color="auto"/>
                <w:left w:val="none" w:sz="0" w:space="0" w:color="auto"/>
                <w:bottom w:val="none" w:sz="0" w:space="0" w:color="auto"/>
                <w:right w:val="none" w:sz="0" w:space="0" w:color="auto"/>
              </w:divBdr>
              <w:divsChild>
                <w:div w:id="1131284453">
                  <w:marLeft w:val="0"/>
                  <w:marRight w:val="0"/>
                  <w:marTop w:val="0"/>
                  <w:marBottom w:val="0"/>
                  <w:divBdr>
                    <w:top w:val="none" w:sz="0" w:space="0" w:color="auto"/>
                    <w:left w:val="none" w:sz="0" w:space="0" w:color="auto"/>
                    <w:bottom w:val="none" w:sz="0" w:space="0" w:color="auto"/>
                    <w:right w:val="none" w:sz="0" w:space="0" w:color="auto"/>
                  </w:divBdr>
                  <w:divsChild>
                    <w:div w:id="1396929923">
                      <w:marLeft w:val="0"/>
                      <w:marRight w:val="0"/>
                      <w:marTop w:val="0"/>
                      <w:marBottom w:val="0"/>
                      <w:divBdr>
                        <w:top w:val="none" w:sz="0" w:space="0" w:color="auto"/>
                        <w:left w:val="none" w:sz="0" w:space="0" w:color="auto"/>
                        <w:bottom w:val="none" w:sz="0" w:space="0" w:color="auto"/>
                        <w:right w:val="none" w:sz="0" w:space="0" w:color="auto"/>
                      </w:divBdr>
                      <w:divsChild>
                        <w:div w:id="1721514354">
                          <w:marLeft w:val="0"/>
                          <w:marRight w:val="0"/>
                          <w:marTop w:val="0"/>
                          <w:marBottom w:val="476"/>
                          <w:divBdr>
                            <w:top w:val="none" w:sz="0" w:space="0" w:color="auto"/>
                            <w:left w:val="none" w:sz="0" w:space="0" w:color="auto"/>
                            <w:bottom w:val="none" w:sz="0" w:space="0" w:color="auto"/>
                            <w:right w:val="none" w:sz="0" w:space="0" w:color="auto"/>
                          </w:divBdr>
                          <w:divsChild>
                            <w:div w:id="1065179385">
                              <w:marLeft w:val="0"/>
                              <w:marRight w:val="0"/>
                              <w:marTop w:val="0"/>
                              <w:marBottom w:val="0"/>
                              <w:divBdr>
                                <w:top w:val="none" w:sz="0" w:space="0" w:color="auto"/>
                                <w:left w:val="none" w:sz="0" w:space="0" w:color="auto"/>
                                <w:bottom w:val="none" w:sz="0" w:space="0" w:color="auto"/>
                                <w:right w:val="none" w:sz="0" w:space="0" w:color="auto"/>
                              </w:divBdr>
                              <w:divsChild>
                                <w:div w:id="1725981047">
                                  <w:marLeft w:val="0"/>
                                  <w:marRight w:val="0"/>
                                  <w:marTop w:val="0"/>
                                  <w:marBottom w:val="0"/>
                                  <w:divBdr>
                                    <w:top w:val="none" w:sz="0" w:space="0" w:color="auto"/>
                                    <w:left w:val="none" w:sz="0" w:space="0" w:color="auto"/>
                                    <w:bottom w:val="none" w:sz="0" w:space="0" w:color="auto"/>
                                    <w:right w:val="none" w:sz="0" w:space="0" w:color="auto"/>
                                  </w:divBdr>
                                  <w:divsChild>
                                    <w:div w:id="2070028253">
                                      <w:marLeft w:val="0"/>
                                      <w:marRight w:val="0"/>
                                      <w:marTop w:val="0"/>
                                      <w:marBottom w:val="317"/>
                                      <w:divBdr>
                                        <w:top w:val="none" w:sz="0" w:space="0" w:color="auto"/>
                                        <w:left w:val="none" w:sz="0" w:space="0" w:color="auto"/>
                                        <w:bottom w:val="none" w:sz="0" w:space="0" w:color="auto"/>
                                        <w:right w:val="none" w:sz="0" w:space="0" w:color="auto"/>
                                      </w:divBdr>
                                      <w:divsChild>
                                        <w:div w:id="1014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Toshiba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jasquires</dc:creator>
  <cp:lastModifiedBy>jasquires</cp:lastModifiedBy>
  <cp:revision>2</cp:revision>
  <dcterms:created xsi:type="dcterms:W3CDTF">2017-10-20T13:45:00Z</dcterms:created>
  <dcterms:modified xsi:type="dcterms:W3CDTF">2017-10-20T13:45:00Z</dcterms:modified>
</cp:coreProperties>
</file>