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AC52" w14:textId="77777777" w:rsidR="002D71C5" w:rsidRPr="005F59D5" w:rsidRDefault="002D71C5" w:rsidP="002D71C5">
      <w:pPr>
        <w:widowControl w:val="0"/>
        <w:spacing w:after="120" w:line="480" w:lineRule="auto"/>
        <w:rPr>
          <w:sz w:val="24"/>
          <w:szCs w:val="24"/>
        </w:rPr>
      </w:pPr>
      <w:r w:rsidRPr="005F59D5">
        <w:rPr>
          <w:b/>
          <w:sz w:val="24"/>
          <w:szCs w:val="24"/>
        </w:rPr>
        <w:t>Appendix 1</w:t>
      </w:r>
      <w:r>
        <w:rPr>
          <w:b/>
          <w:sz w:val="24"/>
          <w:szCs w:val="24"/>
        </w:rPr>
        <w:t xml:space="preserve">. </w:t>
      </w:r>
      <w:r w:rsidRPr="005F59D5">
        <w:rPr>
          <w:sz w:val="24"/>
          <w:szCs w:val="24"/>
        </w:rPr>
        <w:t>List of keywords used to search</w:t>
      </w:r>
      <w:r>
        <w:rPr>
          <w:sz w:val="24"/>
          <w:szCs w:val="24"/>
        </w:rPr>
        <w:t xml:space="preserve"> for</w:t>
      </w:r>
      <w:r w:rsidRPr="005F59D5">
        <w:rPr>
          <w:sz w:val="24"/>
          <w:szCs w:val="24"/>
        </w:rPr>
        <w:t xml:space="preserve"> legislation regarding invasive alien species in Brazil</w:t>
      </w:r>
      <w:r>
        <w:rPr>
          <w:sz w:val="24"/>
          <w:szCs w:val="24"/>
        </w:rPr>
        <w:t>.</w:t>
      </w:r>
    </w:p>
    <w:p w14:paraId="0C6E9B36" w14:textId="77777777" w:rsidR="002D71C5" w:rsidRPr="005F59D5" w:rsidRDefault="002D71C5" w:rsidP="002D71C5">
      <w:pPr>
        <w:widowControl w:val="0"/>
        <w:spacing w:after="120" w:line="480" w:lineRule="auto"/>
        <w:rPr>
          <w:sz w:val="24"/>
          <w:szCs w:val="24"/>
        </w:rPr>
      </w:pPr>
      <w:proofErr w:type="spellStart"/>
      <w:r w:rsidRPr="005F59D5">
        <w:rPr>
          <w:sz w:val="24"/>
          <w:szCs w:val="24"/>
        </w:rPr>
        <w:t>Água</w:t>
      </w:r>
      <w:proofErr w:type="spellEnd"/>
      <w:r w:rsidRPr="005F59D5">
        <w:rPr>
          <w:sz w:val="24"/>
          <w:szCs w:val="24"/>
        </w:rPr>
        <w:t xml:space="preserve"> de </w:t>
      </w:r>
      <w:proofErr w:type="spellStart"/>
      <w:r w:rsidRPr="005F59D5">
        <w:rPr>
          <w:sz w:val="24"/>
          <w:szCs w:val="24"/>
        </w:rPr>
        <w:t>lastro</w:t>
      </w:r>
      <w:proofErr w:type="spellEnd"/>
    </w:p>
    <w:p w14:paraId="0A451CCB" w14:textId="77777777" w:rsidR="002D71C5" w:rsidRPr="005F59D5" w:rsidRDefault="002D71C5" w:rsidP="002D71C5">
      <w:pPr>
        <w:widowControl w:val="0"/>
        <w:spacing w:after="120" w:line="480" w:lineRule="auto"/>
        <w:rPr>
          <w:sz w:val="24"/>
          <w:szCs w:val="24"/>
        </w:rPr>
      </w:pPr>
      <w:proofErr w:type="spellStart"/>
      <w:r w:rsidRPr="005F59D5">
        <w:rPr>
          <w:sz w:val="24"/>
          <w:szCs w:val="24"/>
        </w:rPr>
        <w:t>Alóctone</w:t>
      </w:r>
      <w:proofErr w:type="spellEnd"/>
    </w:p>
    <w:p w14:paraId="186E57BD" w14:textId="77777777" w:rsidR="002D71C5" w:rsidRPr="005F59D5" w:rsidRDefault="002D71C5" w:rsidP="002D71C5">
      <w:pPr>
        <w:widowControl w:val="0"/>
        <w:spacing w:after="120" w:line="480" w:lineRule="auto"/>
        <w:rPr>
          <w:sz w:val="24"/>
          <w:szCs w:val="24"/>
        </w:rPr>
      </w:pPr>
      <w:proofErr w:type="spellStart"/>
      <w:r w:rsidRPr="005F59D5">
        <w:rPr>
          <w:sz w:val="24"/>
          <w:szCs w:val="24"/>
        </w:rPr>
        <w:t>Alóctones</w:t>
      </w:r>
      <w:proofErr w:type="spellEnd"/>
    </w:p>
    <w:p w14:paraId="5C28A5C8" w14:textId="77777777" w:rsidR="002D71C5" w:rsidRPr="005F59D5" w:rsidRDefault="002D71C5" w:rsidP="002D71C5">
      <w:pPr>
        <w:widowControl w:val="0"/>
        <w:spacing w:after="120" w:line="480" w:lineRule="auto"/>
        <w:rPr>
          <w:sz w:val="24"/>
          <w:szCs w:val="24"/>
        </w:rPr>
      </w:pPr>
      <w:proofErr w:type="spellStart"/>
      <w:r w:rsidRPr="005F59D5">
        <w:rPr>
          <w:sz w:val="24"/>
          <w:szCs w:val="24"/>
        </w:rPr>
        <w:t>Exótica</w:t>
      </w:r>
      <w:proofErr w:type="spellEnd"/>
    </w:p>
    <w:p w14:paraId="1E6CC55F" w14:textId="77777777" w:rsidR="002D71C5" w:rsidRPr="005F59D5" w:rsidRDefault="002D71C5" w:rsidP="002D71C5">
      <w:pPr>
        <w:widowControl w:val="0"/>
        <w:spacing w:after="120" w:line="480" w:lineRule="auto"/>
        <w:rPr>
          <w:sz w:val="24"/>
          <w:szCs w:val="24"/>
        </w:rPr>
      </w:pPr>
      <w:proofErr w:type="spellStart"/>
      <w:r w:rsidRPr="005F59D5">
        <w:rPr>
          <w:sz w:val="24"/>
          <w:szCs w:val="24"/>
        </w:rPr>
        <w:t>Exóticas</w:t>
      </w:r>
      <w:proofErr w:type="spellEnd"/>
    </w:p>
    <w:p w14:paraId="4DDC8D93" w14:textId="77777777" w:rsidR="002D71C5" w:rsidRPr="005F59D5" w:rsidRDefault="002D71C5" w:rsidP="002D71C5">
      <w:pPr>
        <w:widowControl w:val="0"/>
        <w:spacing w:after="120" w:line="480" w:lineRule="auto"/>
        <w:rPr>
          <w:sz w:val="24"/>
          <w:szCs w:val="24"/>
        </w:rPr>
      </w:pPr>
      <w:proofErr w:type="spellStart"/>
      <w:r w:rsidRPr="005F59D5">
        <w:rPr>
          <w:sz w:val="24"/>
          <w:szCs w:val="24"/>
        </w:rPr>
        <w:t>Exótico</w:t>
      </w:r>
      <w:proofErr w:type="spellEnd"/>
    </w:p>
    <w:p w14:paraId="213025DC" w14:textId="77777777" w:rsidR="002D71C5" w:rsidRPr="005F59D5" w:rsidRDefault="002D71C5" w:rsidP="002D71C5">
      <w:pPr>
        <w:widowControl w:val="0"/>
        <w:spacing w:after="120" w:line="480" w:lineRule="auto"/>
        <w:rPr>
          <w:sz w:val="24"/>
          <w:szCs w:val="24"/>
        </w:rPr>
      </w:pPr>
      <w:proofErr w:type="spellStart"/>
      <w:r w:rsidRPr="005F59D5">
        <w:rPr>
          <w:sz w:val="24"/>
          <w:szCs w:val="24"/>
        </w:rPr>
        <w:t>Exóticos</w:t>
      </w:r>
      <w:proofErr w:type="spellEnd"/>
    </w:p>
    <w:p w14:paraId="4F291A26" w14:textId="77777777" w:rsidR="002D71C5" w:rsidRPr="005F59D5" w:rsidRDefault="002D71C5" w:rsidP="002D71C5">
      <w:pPr>
        <w:widowControl w:val="0"/>
        <w:spacing w:after="120" w:line="480" w:lineRule="auto"/>
        <w:rPr>
          <w:sz w:val="24"/>
          <w:szCs w:val="24"/>
        </w:rPr>
      </w:pPr>
      <w:proofErr w:type="spellStart"/>
      <w:r w:rsidRPr="005F59D5">
        <w:rPr>
          <w:sz w:val="24"/>
          <w:szCs w:val="24"/>
        </w:rPr>
        <w:t>Introdução</w:t>
      </w:r>
      <w:proofErr w:type="spellEnd"/>
    </w:p>
    <w:p w14:paraId="76DD0A9A" w14:textId="77777777" w:rsidR="002D71C5" w:rsidRPr="005F59D5" w:rsidRDefault="002D71C5" w:rsidP="002D71C5">
      <w:pPr>
        <w:widowControl w:val="0"/>
        <w:spacing w:after="120" w:line="480" w:lineRule="auto"/>
        <w:rPr>
          <w:sz w:val="24"/>
          <w:szCs w:val="24"/>
        </w:rPr>
      </w:pPr>
      <w:proofErr w:type="spellStart"/>
      <w:r w:rsidRPr="005F59D5">
        <w:rPr>
          <w:sz w:val="24"/>
          <w:szCs w:val="24"/>
        </w:rPr>
        <w:t>Introduzida</w:t>
      </w:r>
      <w:proofErr w:type="spellEnd"/>
    </w:p>
    <w:p w14:paraId="18ECBE3E" w14:textId="77777777" w:rsidR="002D71C5" w:rsidRPr="005F59D5" w:rsidRDefault="002D71C5" w:rsidP="002D71C5">
      <w:pPr>
        <w:widowControl w:val="0"/>
        <w:spacing w:after="120" w:line="480" w:lineRule="auto"/>
        <w:rPr>
          <w:sz w:val="24"/>
          <w:szCs w:val="24"/>
        </w:rPr>
      </w:pPr>
      <w:proofErr w:type="spellStart"/>
      <w:r w:rsidRPr="005F59D5">
        <w:rPr>
          <w:sz w:val="24"/>
          <w:szCs w:val="24"/>
        </w:rPr>
        <w:t>Introduzidas</w:t>
      </w:r>
      <w:proofErr w:type="spellEnd"/>
    </w:p>
    <w:p w14:paraId="4D4B1395" w14:textId="77777777" w:rsidR="002D71C5" w:rsidRPr="005F59D5" w:rsidRDefault="002D71C5" w:rsidP="002D71C5">
      <w:pPr>
        <w:widowControl w:val="0"/>
        <w:spacing w:after="120" w:line="480" w:lineRule="auto"/>
        <w:rPr>
          <w:sz w:val="24"/>
          <w:szCs w:val="24"/>
        </w:rPr>
      </w:pPr>
      <w:proofErr w:type="spellStart"/>
      <w:r w:rsidRPr="005F59D5">
        <w:rPr>
          <w:sz w:val="24"/>
          <w:szCs w:val="24"/>
        </w:rPr>
        <w:t>Introduzido</w:t>
      </w:r>
      <w:proofErr w:type="spellEnd"/>
    </w:p>
    <w:p w14:paraId="543B2AC5" w14:textId="77777777" w:rsidR="002D71C5" w:rsidRPr="005F59D5" w:rsidRDefault="002D71C5" w:rsidP="002D71C5">
      <w:pPr>
        <w:widowControl w:val="0"/>
        <w:spacing w:after="120" w:line="480" w:lineRule="auto"/>
        <w:rPr>
          <w:sz w:val="24"/>
          <w:szCs w:val="24"/>
        </w:rPr>
      </w:pPr>
      <w:proofErr w:type="spellStart"/>
      <w:r w:rsidRPr="005F59D5">
        <w:rPr>
          <w:sz w:val="24"/>
          <w:szCs w:val="24"/>
        </w:rPr>
        <w:t>Introduzidos</w:t>
      </w:r>
      <w:proofErr w:type="spellEnd"/>
    </w:p>
    <w:p w14:paraId="7CE4BA21" w14:textId="77777777" w:rsidR="002D71C5" w:rsidRPr="005F59D5" w:rsidRDefault="002D71C5" w:rsidP="002D71C5">
      <w:pPr>
        <w:widowControl w:val="0"/>
        <w:spacing w:after="120" w:line="480" w:lineRule="auto"/>
        <w:rPr>
          <w:sz w:val="24"/>
          <w:szCs w:val="24"/>
        </w:rPr>
      </w:pPr>
      <w:proofErr w:type="spellStart"/>
      <w:r w:rsidRPr="005F59D5">
        <w:rPr>
          <w:sz w:val="24"/>
          <w:szCs w:val="24"/>
        </w:rPr>
        <w:t>Introduzir</w:t>
      </w:r>
      <w:proofErr w:type="spellEnd"/>
    </w:p>
    <w:p w14:paraId="6DC579C6" w14:textId="77777777" w:rsidR="002D71C5" w:rsidRPr="005F59D5" w:rsidRDefault="002D71C5" w:rsidP="002D71C5">
      <w:pPr>
        <w:widowControl w:val="0"/>
        <w:spacing w:after="120" w:line="480" w:lineRule="auto"/>
        <w:rPr>
          <w:sz w:val="24"/>
          <w:szCs w:val="24"/>
        </w:rPr>
      </w:pPr>
      <w:proofErr w:type="spellStart"/>
      <w:r w:rsidRPr="005F59D5">
        <w:rPr>
          <w:sz w:val="24"/>
          <w:szCs w:val="24"/>
        </w:rPr>
        <w:t>Invasor</w:t>
      </w:r>
      <w:proofErr w:type="spellEnd"/>
    </w:p>
    <w:p w14:paraId="4BDD8F73" w14:textId="77777777" w:rsidR="002D71C5" w:rsidRPr="005F59D5" w:rsidRDefault="002D71C5" w:rsidP="002D71C5">
      <w:pPr>
        <w:widowControl w:val="0"/>
        <w:spacing w:after="120" w:line="480" w:lineRule="auto"/>
        <w:rPr>
          <w:sz w:val="24"/>
          <w:szCs w:val="24"/>
        </w:rPr>
      </w:pPr>
      <w:proofErr w:type="spellStart"/>
      <w:r w:rsidRPr="005F59D5">
        <w:rPr>
          <w:sz w:val="24"/>
          <w:szCs w:val="24"/>
        </w:rPr>
        <w:t>Invasora</w:t>
      </w:r>
      <w:proofErr w:type="spellEnd"/>
    </w:p>
    <w:p w14:paraId="0DD5059F" w14:textId="77777777" w:rsidR="002D71C5" w:rsidRPr="005F59D5" w:rsidRDefault="002D71C5" w:rsidP="002D71C5">
      <w:pPr>
        <w:widowControl w:val="0"/>
        <w:spacing w:after="120" w:line="480" w:lineRule="auto"/>
        <w:rPr>
          <w:sz w:val="24"/>
          <w:szCs w:val="24"/>
        </w:rPr>
      </w:pPr>
      <w:proofErr w:type="spellStart"/>
      <w:r w:rsidRPr="005F59D5">
        <w:rPr>
          <w:sz w:val="24"/>
          <w:szCs w:val="24"/>
        </w:rPr>
        <w:t>Invasoras</w:t>
      </w:r>
      <w:proofErr w:type="spellEnd"/>
    </w:p>
    <w:p w14:paraId="40456C3E" w14:textId="77777777" w:rsidR="002D71C5" w:rsidRPr="005F59D5" w:rsidRDefault="002D71C5" w:rsidP="002D71C5">
      <w:pPr>
        <w:widowControl w:val="0"/>
        <w:spacing w:after="120" w:line="480" w:lineRule="auto"/>
        <w:rPr>
          <w:sz w:val="24"/>
          <w:szCs w:val="24"/>
        </w:rPr>
      </w:pPr>
      <w:proofErr w:type="spellStart"/>
      <w:r w:rsidRPr="005F59D5">
        <w:rPr>
          <w:sz w:val="24"/>
          <w:szCs w:val="24"/>
        </w:rPr>
        <w:t>Invasores</w:t>
      </w:r>
      <w:proofErr w:type="spellEnd"/>
    </w:p>
    <w:p w14:paraId="42566B4D" w14:textId="77777777" w:rsidR="002D71C5" w:rsidRPr="005F59D5" w:rsidRDefault="002D71C5" w:rsidP="002D71C5">
      <w:pPr>
        <w:widowControl w:val="0"/>
        <w:spacing w:after="120" w:line="480" w:lineRule="auto"/>
        <w:rPr>
          <w:sz w:val="24"/>
          <w:szCs w:val="24"/>
        </w:rPr>
      </w:pPr>
      <w:proofErr w:type="spellStart"/>
      <w:r w:rsidRPr="005F59D5">
        <w:rPr>
          <w:sz w:val="24"/>
          <w:szCs w:val="24"/>
        </w:rPr>
        <w:t>Não</w:t>
      </w:r>
      <w:proofErr w:type="spellEnd"/>
      <w:r w:rsidRPr="005F59D5">
        <w:rPr>
          <w:sz w:val="24"/>
          <w:szCs w:val="24"/>
        </w:rPr>
        <w:t xml:space="preserve"> </w:t>
      </w:r>
      <w:proofErr w:type="spellStart"/>
      <w:r w:rsidRPr="005F59D5">
        <w:rPr>
          <w:sz w:val="24"/>
          <w:szCs w:val="24"/>
        </w:rPr>
        <w:t>autóctone</w:t>
      </w:r>
      <w:proofErr w:type="spellEnd"/>
    </w:p>
    <w:p w14:paraId="085F4E94" w14:textId="77777777" w:rsidR="002D71C5" w:rsidRPr="005F59D5" w:rsidRDefault="002D71C5" w:rsidP="002D71C5">
      <w:pPr>
        <w:widowControl w:val="0"/>
        <w:spacing w:after="120" w:line="480" w:lineRule="auto"/>
        <w:rPr>
          <w:sz w:val="24"/>
          <w:szCs w:val="24"/>
          <w:highlight w:val="yellow"/>
        </w:rPr>
      </w:pPr>
      <w:proofErr w:type="spellStart"/>
      <w:r w:rsidRPr="005F59D5">
        <w:rPr>
          <w:sz w:val="24"/>
          <w:szCs w:val="24"/>
        </w:rPr>
        <w:t>Não</w:t>
      </w:r>
      <w:proofErr w:type="spellEnd"/>
      <w:r w:rsidRPr="005F59D5">
        <w:rPr>
          <w:sz w:val="24"/>
          <w:szCs w:val="24"/>
        </w:rPr>
        <w:t xml:space="preserve"> </w:t>
      </w:r>
      <w:proofErr w:type="spellStart"/>
      <w:r w:rsidRPr="005F59D5">
        <w:rPr>
          <w:sz w:val="24"/>
          <w:szCs w:val="24"/>
        </w:rPr>
        <w:t>autóctones</w:t>
      </w:r>
      <w:proofErr w:type="spellEnd"/>
    </w:p>
    <w:p w14:paraId="4B5642EE" w14:textId="77777777" w:rsidR="002D71C5" w:rsidRPr="005F59D5" w:rsidRDefault="002D71C5" w:rsidP="002D71C5">
      <w:pPr>
        <w:widowControl w:val="0"/>
        <w:spacing w:after="120" w:line="480" w:lineRule="auto"/>
        <w:rPr>
          <w:sz w:val="24"/>
          <w:szCs w:val="24"/>
          <w:highlight w:val="white"/>
        </w:rPr>
      </w:pPr>
      <w:r w:rsidRPr="005F59D5">
        <w:rPr>
          <w:b/>
          <w:sz w:val="24"/>
          <w:szCs w:val="24"/>
          <w:highlight w:val="white"/>
        </w:rPr>
        <w:lastRenderedPageBreak/>
        <w:t>Appendix 2</w:t>
      </w:r>
      <w:r>
        <w:rPr>
          <w:b/>
          <w:sz w:val="24"/>
          <w:szCs w:val="24"/>
          <w:highlight w:val="white"/>
        </w:rPr>
        <w:t xml:space="preserve">. </w:t>
      </w:r>
      <w:r w:rsidRPr="005F59D5">
        <w:rPr>
          <w:sz w:val="24"/>
          <w:szCs w:val="24"/>
          <w:highlight w:val="white"/>
        </w:rPr>
        <w:t>Historical analysis of Brazilian legislation related to invasive alien species</w:t>
      </w:r>
      <w:r>
        <w:rPr>
          <w:sz w:val="24"/>
          <w:szCs w:val="24"/>
          <w:highlight w:val="white"/>
        </w:rPr>
        <w:t xml:space="preserve"> (IAS)</w:t>
      </w:r>
      <w:r w:rsidRPr="005F59D5">
        <w:rPr>
          <w:sz w:val="24"/>
          <w:szCs w:val="24"/>
          <w:highlight w:val="white"/>
        </w:rPr>
        <w:t>.</w:t>
      </w:r>
    </w:p>
    <w:p w14:paraId="47528305" w14:textId="77777777" w:rsidR="002D71C5" w:rsidRPr="005F59D5" w:rsidRDefault="002D71C5" w:rsidP="002D71C5">
      <w:pPr>
        <w:spacing w:after="120" w:line="480" w:lineRule="auto"/>
        <w:jc w:val="both"/>
        <w:rPr>
          <w:sz w:val="24"/>
          <w:szCs w:val="24"/>
          <w:highlight w:val="white"/>
        </w:rPr>
      </w:pPr>
      <w:r w:rsidRPr="005F59D5">
        <w:rPr>
          <w:sz w:val="24"/>
          <w:szCs w:val="24"/>
          <w:highlight w:val="white"/>
        </w:rPr>
        <w:t xml:space="preserve">The first decree referring to IAS dates from the 1930s. The decrees nº 24,114 and nº 24,548, both from 1934, </w:t>
      </w:r>
      <w:r>
        <w:rPr>
          <w:sz w:val="24"/>
          <w:szCs w:val="24"/>
          <w:highlight w:val="white"/>
        </w:rPr>
        <w:t>imposes</w:t>
      </w:r>
      <w:r w:rsidRPr="005F59D5">
        <w:rPr>
          <w:sz w:val="24"/>
          <w:szCs w:val="24"/>
          <w:highlight w:val="white"/>
        </w:rPr>
        <w:t xml:space="preserve"> fines </w:t>
      </w:r>
      <w:r>
        <w:rPr>
          <w:sz w:val="24"/>
          <w:szCs w:val="24"/>
          <w:highlight w:val="white"/>
        </w:rPr>
        <w:t xml:space="preserve">on </w:t>
      </w:r>
      <w:r w:rsidRPr="005F59D5">
        <w:rPr>
          <w:sz w:val="24"/>
          <w:szCs w:val="24"/>
          <w:highlight w:val="white"/>
        </w:rPr>
        <w:t>whom</w:t>
      </w:r>
      <w:r>
        <w:rPr>
          <w:sz w:val="24"/>
          <w:szCs w:val="24"/>
          <w:highlight w:val="white"/>
        </w:rPr>
        <w:t>ever</w:t>
      </w:r>
      <w:r w:rsidRPr="005F59D5">
        <w:rPr>
          <w:sz w:val="24"/>
          <w:szCs w:val="24"/>
          <w:highlight w:val="white"/>
        </w:rPr>
        <w:t xml:space="preserve"> introduces imported plant species and prophylaxis measures to preserve the country from alien zoonosis invasions, respectively. In the 1950s, only one law (nº 1,184) related to IAS was published, regulating the rubber trade from native or alien plant species. In the 1960s</w:t>
      </w:r>
      <w:r>
        <w:rPr>
          <w:sz w:val="24"/>
          <w:szCs w:val="24"/>
          <w:highlight w:val="white"/>
        </w:rPr>
        <w:t>,</w:t>
      </w:r>
      <w:r w:rsidRPr="005F59D5">
        <w:rPr>
          <w:sz w:val="24"/>
          <w:szCs w:val="24"/>
          <w:highlight w:val="white"/>
        </w:rPr>
        <w:t xml:space="preserve"> there was the publication of the Fauna Protection Law nº 5,197 in 1967 (</w:t>
      </w:r>
      <w:r w:rsidRPr="005F59D5">
        <w:rPr>
          <w:sz w:val="24"/>
          <w:szCs w:val="24"/>
        </w:rPr>
        <w:t>Fig. 2</w:t>
      </w:r>
      <w:r w:rsidRPr="005F59D5">
        <w:rPr>
          <w:sz w:val="24"/>
          <w:szCs w:val="24"/>
          <w:highlight w:val="white"/>
        </w:rPr>
        <w:t>). This law authorizes the eradication of wild animals considered harmful to agriculture or public health</w:t>
      </w:r>
      <w:r>
        <w:rPr>
          <w:sz w:val="24"/>
          <w:szCs w:val="24"/>
          <w:highlight w:val="white"/>
        </w:rPr>
        <w:t xml:space="preserve"> </w:t>
      </w:r>
      <w:proofErr w:type="gramStart"/>
      <w:r>
        <w:rPr>
          <w:sz w:val="24"/>
          <w:szCs w:val="24"/>
          <w:highlight w:val="white"/>
        </w:rPr>
        <w:t>and also</w:t>
      </w:r>
      <w:proofErr w:type="gramEnd"/>
      <w:r w:rsidRPr="005F59D5">
        <w:rPr>
          <w:sz w:val="24"/>
          <w:szCs w:val="24"/>
          <w:highlight w:val="white"/>
        </w:rPr>
        <w:t xml:space="preserve"> prohibit</w:t>
      </w:r>
      <w:r>
        <w:rPr>
          <w:sz w:val="24"/>
          <w:szCs w:val="24"/>
          <w:highlight w:val="white"/>
        </w:rPr>
        <w:t>s</w:t>
      </w:r>
      <w:r w:rsidRPr="005F59D5">
        <w:rPr>
          <w:sz w:val="24"/>
          <w:szCs w:val="24"/>
          <w:highlight w:val="white"/>
        </w:rPr>
        <w:t xml:space="preserve"> the introduction of any species without a license. The term</w:t>
      </w:r>
      <w:r>
        <w:rPr>
          <w:sz w:val="24"/>
          <w:szCs w:val="24"/>
          <w:highlight w:val="white"/>
        </w:rPr>
        <w:t xml:space="preserve"> ‘invasive alien species’,</w:t>
      </w:r>
      <w:r w:rsidRPr="005F59D5">
        <w:rPr>
          <w:sz w:val="24"/>
          <w:szCs w:val="24"/>
          <w:highlight w:val="white"/>
        </w:rPr>
        <w:t xml:space="preserve"> however, was still not used to refer to alien species. In 1979, decree nº 84,017 regulate</w:t>
      </w:r>
      <w:r>
        <w:rPr>
          <w:sz w:val="24"/>
          <w:szCs w:val="24"/>
          <w:highlight w:val="white"/>
        </w:rPr>
        <w:t>d</w:t>
      </w:r>
      <w:r w:rsidRPr="005F59D5">
        <w:rPr>
          <w:sz w:val="24"/>
          <w:szCs w:val="24"/>
          <w:highlight w:val="white"/>
        </w:rPr>
        <w:t xml:space="preserve"> the Brazilian </w:t>
      </w:r>
      <w:r>
        <w:rPr>
          <w:sz w:val="24"/>
          <w:szCs w:val="24"/>
          <w:highlight w:val="white"/>
        </w:rPr>
        <w:t>n</w:t>
      </w:r>
      <w:r w:rsidRPr="005F59D5">
        <w:rPr>
          <w:sz w:val="24"/>
          <w:szCs w:val="24"/>
          <w:highlight w:val="white"/>
        </w:rPr>
        <w:t xml:space="preserve">ational </w:t>
      </w:r>
      <w:r>
        <w:rPr>
          <w:sz w:val="24"/>
          <w:szCs w:val="24"/>
          <w:highlight w:val="white"/>
        </w:rPr>
        <w:t>p</w:t>
      </w:r>
      <w:r w:rsidRPr="005F59D5">
        <w:rPr>
          <w:sz w:val="24"/>
          <w:szCs w:val="24"/>
          <w:highlight w:val="white"/>
        </w:rPr>
        <w:t>arks, stating that alien plant species should be removed from recovering areas. The National Policy of Environment was instituted in the 1980s through Law nº 6,938</w:t>
      </w:r>
      <w:r>
        <w:rPr>
          <w:sz w:val="24"/>
          <w:szCs w:val="24"/>
          <w:highlight w:val="white"/>
        </w:rPr>
        <w:t>;</w:t>
      </w:r>
      <w:r w:rsidRPr="005F59D5">
        <w:rPr>
          <w:sz w:val="24"/>
          <w:szCs w:val="24"/>
          <w:highlight w:val="white"/>
        </w:rPr>
        <w:t xml:space="preserve"> however, only in 2000</w:t>
      </w:r>
      <w:r>
        <w:rPr>
          <w:sz w:val="24"/>
          <w:szCs w:val="24"/>
          <w:highlight w:val="white"/>
        </w:rPr>
        <w:t xml:space="preserve"> were</w:t>
      </w:r>
      <w:r w:rsidRPr="005F59D5">
        <w:rPr>
          <w:sz w:val="24"/>
          <w:szCs w:val="24"/>
          <w:highlight w:val="white"/>
        </w:rPr>
        <w:t xml:space="preserve"> appendices mentioning IAS included in the text by Law nº 10,165. </w:t>
      </w:r>
    </w:p>
    <w:p w14:paraId="4379397F" w14:textId="77777777" w:rsidR="002D71C5" w:rsidRPr="005F59D5" w:rsidRDefault="002D71C5" w:rsidP="002D71C5">
      <w:pPr>
        <w:spacing w:after="120" w:line="480" w:lineRule="auto"/>
        <w:ind w:firstLine="720"/>
        <w:jc w:val="both"/>
        <w:rPr>
          <w:sz w:val="24"/>
          <w:szCs w:val="24"/>
          <w:highlight w:val="white"/>
        </w:rPr>
      </w:pPr>
      <w:r w:rsidRPr="005F59D5">
        <w:rPr>
          <w:sz w:val="24"/>
          <w:szCs w:val="24"/>
          <w:highlight w:val="white"/>
        </w:rPr>
        <w:t>In 1994, the first IBAMA Ordinance (nº 22) was published, prohibiting the introduction of specific alien fish species</w:t>
      </w:r>
      <w:r>
        <w:rPr>
          <w:sz w:val="24"/>
          <w:szCs w:val="24"/>
          <w:highlight w:val="white"/>
        </w:rPr>
        <w:t xml:space="preserve"> –</w:t>
      </w:r>
      <w:r w:rsidRPr="005F59D5">
        <w:rPr>
          <w:sz w:val="24"/>
          <w:szCs w:val="24"/>
          <w:highlight w:val="white"/>
        </w:rPr>
        <w:t xml:space="preserve"> the </w:t>
      </w:r>
      <w:proofErr w:type="spellStart"/>
      <w:r w:rsidRPr="005F59D5">
        <w:rPr>
          <w:sz w:val="24"/>
          <w:szCs w:val="24"/>
          <w:highlight w:val="white"/>
        </w:rPr>
        <w:t>sharptooth</w:t>
      </w:r>
      <w:proofErr w:type="spellEnd"/>
      <w:r w:rsidRPr="005F59D5">
        <w:rPr>
          <w:sz w:val="24"/>
          <w:szCs w:val="24"/>
          <w:highlight w:val="white"/>
        </w:rPr>
        <w:t xml:space="preserve"> catfish </w:t>
      </w:r>
      <w:proofErr w:type="spellStart"/>
      <w:r w:rsidRPr="005F59D5">
        <w:rPr>
          <w:i/>
          <w:sz w:val="24"/>
          <w:szCs w:val="24"/>
          <w:highlight w:val="white"/>
        </w:rPr>
        <w:t>Clarias</w:t>
      </w:r>
      <w:proofErr w:type="spellEnd"/>
      <w:r w:rsidRPr="005F59D5">
        <w:rPr>
          <w:i/>
          <w:sz w:val="24"/>
          <w:szCs w:val="24"/>
          <w:highlight w:val="white"/>
        </w:rPr>
        <w:t xml:space="preserve"> </w:t>
      </w:r>
      <w:proofErr w:type="spellStart"/>
      <w:r w:rsidRPr="005F59D5">
        <w:rPr>
          <w:i/>
          <w:sz w:val="24"/>
          <w:szCs w:val="24"/>
          <w:highlight w:val="white"/>
        </w:rPr>
        <w:t>gariepinus</w:t>
      </w:r>
      <w:proofErr w:type="spellEnd"/>
      <w:r w:rsidRPr="005F59D5">
        <w:rPr>
          <w:sz w:val="24"/>
          <w:szCs w:val="24"/>
          <w:highlight w:val="white"/>
        </w:rPr>
        <w:t xml:space="preserve"> and the channel catfish </w:t>
      </w:r>
      <w:proofErr w:type="spellStart"/>
      <w:r w:rsidRPr="005F59D5">
        <w:rPr>
          <w:i/>
          <w:sz w:val="24"/>
          <w:szCs w:val="24"/>
          <w:highlight w:val="white"/>
        </w:rPr>
        <w:t>Ictalurus</w:t>
      </w:r>
      <w:proofErr w:type="spellEnd"/>
      <w:r w:rsidRPr="005F59D5">
        <w:rPr>
          <w:i/>
          <w:sz w:val="24"/>
          <w:szCs w:val="24"/>
          <w:highlight w:val="white"/>
        </w:rPr>
        <w:t xml:space="preserve"> punctatus</w:t>
      </w:r>
      <w:r w:rsidRPr="005F59D5">
        <w:rPr>
          <w:sz w:val="24"/>
          <w:szCs w:val="24"/>
          <w:highlight w:val="white"/>
        </w:rPr>
        <w:t xml:space="preserve"> </w:t>
      </w:r>
      <w:r>
        <w:rPr>
          <w:sz w:val="24"/>
          <w:szCs w:val="24"/>
          <w:highlight w:val="white"/>
        </w:rPr>
        <w:t xml:space="preserve">– </w:t>
      </w:r>
      <w:r w:rsidRPr="005F59D5">
        <w:rPr>
          <w:sz w:val="24"/>
          <w:szCs w:val="24"/>
          <w:highlight w:val="white"/>
        </w:rPr>
        <w:t>in the Amazon and Paraguay river basins. In 1998, the law of Environmental Crimes nº 9,605 was published</w:t>
      </w:r>
      <w:r>
        <w:rPr>
          <w:sz w:val="24"/>
          <w:szCs w:val="24"/>
          <w:highlight w:val="white"/>
        </w:rPr>
        <w:t>,</w:t>
      </w:r>
      <w:r w:rsidRPr="005F59D5">
        <w:rPr>
          <w:sz w:val="24"/>
          <w:szCs w:val="24"/>
          <w:highlight w:val="white"/>
        </w:rPr>
        <w:t xml:space="preserve"> widening the prohibition of species introduction</w:t>
      </w:r>
      <w:r>
        <w:rPr>
          <w:sz w:val="24"/>
          <w:szCs w:val="24"/>
          <w:highlight w:val="white"/>
        </w:rPr>
        <w:t>s</w:t>
      </w:r>
      <w:r w:rsidRPr="005F59D5">
        <w:rPr>
          <w:sz w:val="24"/>
          <w:szCs w:val="24"/>
          <w:highlight w:val="white"/>
        </w:rPr>
        <w:t xml:space="preserve"> without a license to any animal species and setting a sanction of </w:t>
      </w:r>
      <w:r>
        <w:rPr>
          <w:sz w:val="24"/>
          <w:szCs w:val="24"/>
          <w:highlight w:val="white"/>
        </w:rPr>
        <w:t>3</w:t>
      </w:r>
      <w:r w:rsidRPr="005F59D5">
        <w:rPr>
          <w:sz w:val="24"/>
          <w:szCs w:val="24"/>
          <w:highlight w:val="white"/>
        </w:rPr>
        <w:t xml:space="preserve"> months</w:t>
      </w:r>
      <w:r>
        <w:rPr>
          <w:sz w:val="24"/>
          <w:szCs w:val="24"/>
          <w:highlight w:val="white"/>
        </w:rPr>
        <w:t>–1</w:t>
      </w:r>
      <w:r w:rsidRPr="005F59D5">
        <w:rPr>
          <w:sz w:val="24"/>
          <w:szCs w:val="24"/>
          <w:highlight w:val="white"/>
        </w:rPr>
        <w:t xml:space="preserve"> year of detention and mulct. </w:t>
      </w:r>
      <w:r w:rsidRPr="00663574">
        <w:rPr>
          <w:sz w:val="24"/>
          <w:szCs w:val="24"/>
          <w:highlight w:val="white"/>
        </w:rPr>
        <w:t>Nevertheless, in this law, there are sanctions for disease or pest dissemination, as well as the authorization for killing animals that are considered harmful by the competent authority</w:t>
      </w:r>
      <w:r w:rsidRPr="005F59D5">
        <w:rPr>
          <w:sz w:val="24"/>
          <w:szCs w:val="24"/>
          <w:highlight w:val="white"/>
        </w:rPr>
        <w:t>. In the same year</w:t>
      </w:r>
      <w:r>
        <w:rPr>
          <w:sz w:val="24"/>
          <w:szCs w:val="24"/>
          <w:highlight w:val="white"/>
        </w:rPr>
        <w:t>,</w:t>
      </w:r>
      <w:r w:rsidRPr="005F59D5">
        <w:rPr>
          <w:sz w:val="24"/>
          <w:szCs w:val="24"/>
          <w:highlight w:val="white"/>
        </w:rPr>
        <w:t xml:space="preserve"> the </w:t>
      </w:r>
      <w:r>
        <w:rPr>
          <w:sz w:val="24"/>
          <w:szCs w:val="24"/>
          <w:highlight w:val="white"/>
        </w:rPr>
        <w:t>Convention on Biological Diversity (</w:t>
      </w:r>
      <w:r w:rsidRPr="005F59D5">
        <w:rPr>
          <w:sz w:val="24"/>
          <w:szCs w:val="24"/>
          <w:highlight w:val="white"/>
        </w:rPr>
        <w:t>CBD</w:t>
      </w:r>
      <w:r>
        <w:rPr>
          <w:sz w:val="24"/>
          <w:szCs w:val="24"/>
          <w:highlight w:val="white"/>
        </w:rPr>
        <w:t>)</w:t>
      </w:r>
      <w:r w:rsidRPr="005F59D5">
        <w:rPr>
          <w:sz w:val="24"/>
          <w:szCs w:val="24"/>
          <w:highlight w:val="white"/>
        </w:rPr>
        <w:t xml:space="preserve"> text</w:t>
      </w:r>
      <w:r>
        <w:rPr>
          <w:sz w:val="24"/>
          <w:szCs w:val="24"/>
          <w:highlight w:val="white"/>
        </w:rPr>
        <w:t xml:space="preserve"> was promulgated</w:t>
      </w:r>
      <w:r w:rsidRPr="005F59D5">
        <w:rPr>
          <w:sz w:val="24"/>
          <w:szCs w:val="24"/>
          <w:highlight w:val="white"/>
        </w:rPr>
        <w:t xml:space="preserve">, which was signed in Rio de Janeiro in 1992. Also in 1998, IBAMA Ordinance nº 145 was </w:t>
      </w:r>
      <w:r w:rsidRPr="005F59D5">
        <w:rPr>
          <w:sz w:val="24"/>
          <w:szCs w:val="24"/>
          <w:highlight w:val="white"/>
        </w:rPr>
        <w:lastRenderedPageBreak/>
        <w:t>published, establishing</w:t>
      </w:r>
      <w:r>
        <w:rPr>
          <w:sz w:val="24"/>
          <w:szCs w:val="24"/>
          <w:highlight w:val="white"/>
        </w:rPr>
        <w:t xml:space="preserve"> the</w:t>
      </w:r>
      <w:r w:rsidRPr="005F59D5">
        <w:rPr>
          <w:sz w:val="24"/>
          <w:szCs w:val="24"/>
          <w:highlight w:val="white"/>
        </w:rPr>
        <w:t xml:space="preserve"> rules for the introduction, reintroduction and transfer of aquatic species for aquaculture</w:t>
      </w:r>
      <w:r>
        <w:rPr>
          <w:sz w:val="24"/>
          <w:szCs w:val="24"/>
          <w:highlight w:val="white"/>
        </w:rPr>
        <w:t xml:space="preserve"> and</w:t>
      </w:r>
      <w:r w:rsidRPr="005F59D5">
        <w:rPr>
          <w:sz w:val="24"/>
          <w:szCs w:val="24"/>
          <w:highlight w:val="white"/>
        </w:rPr>
        <w:t xml:space="preserve"> prohibiting the introduction of macrophytes and freshwater fishes. This ordinance also is the first to distinguish alien species (species from other countries) from allochthonous species (species from other Brazilian river basins).</w:t>
      </w:r>
    </w:p>
    <w:p w14:paraId="1C9F9F72" w14:textId="77777777" w:rsidR="002D71C5" w:rsidRPr="005F59D5" w:rsidRDefault="002D71C5" w:rsidP="002D71C5">
      <w:pPr>
        <w:spacing w:after="120" w:line="480" w:lineRule="auto"/>
        <w:ind w:firstLine="720"/>
        <w:jc w:val="both"/>
        <w:rPr>
          <w:i/>
          <w:sz w:val="24"/>
          <w:szCs w:val="24"/>
        </w:rPr>
      </w:pPr>
      <w:r w:rsidRPr="005F59D5">
        <w:rPr>
          <w:sz w:val="24"/>
          <w:szCs w:val="24"/>
        </w:rPr>
        <w:t xml:space="preserve">Since 2000, there </w:t>
      </w:r>
      <w:r>
        <w:rPr>
          <w:sz w:val="24"/>
          <w:szCs w:val="24"/>
        </w:rPr>
        <w:t>has been</w:t>
      </w:r>
      <w:r w:rsidRPr="005F59D5">
        <w:rPr>
          <w:sz w:val="24"/>
          <w:szCs w:val="24"/>
        </w:rPr>
        <w:t xml:space="preserve"> an increase in the number of legal instruments referring to IAS. Law nº 9,985, published in 2000, institutes the National System of Protected Areas and prohibits the introduction of non-autochthonous species in protected areas of the country. Another important legislation is Decree nº 4,339/2002, which regulates</w:t>
      </w:r>
      <w:r>
        <w:rPr>
          <w:sz w:val="24"/>
          <w:szCs w:val="24"/>
        </w:rPr>
        <w:t xml:space="preserve"> the</w:t>
      </w:r>
      <w:r w:rsidRPr="005F59D5">
        <w:rPr>
          <w:sz w:val="24"/>
          <w:szCs w:val="24"/>
        </w:rPr>
        <w:t xml:space="preserve"> principles and guidelines for the implementation of the National Policy of Biodiversity. This decree establishes several actions related to IAS, such as mapping, research and control. In 2005, Normative Instruction nº 73 was published, prohibiting the cultivation and trade of the giant African snail </w:t>
      </w:r>
      <w:r w:rsidRPr="005F59D5">
        <w:rPr>
          <w:i/>
          <w:sz w:val="24"/>
          <w:szCs w:val="24"/>
        </w:rPr>
        <w:t xml:space="preserve">Achatina </w:t>
      </w:r>
      <w:proofErr w:type="spellStart"/>
      <w:r w:rsidRPr="005F59D5">
        <w:rPr>
          <w:i/>
          <w:sz w:val="24"/>
          <w:szCs w:val="24"/>
        </w:rPr>
        <w:t>fulica</w:t>
      </w:r>
      <w:proofErr w:type="spellEnd"/>
      <w:r w:rsidRPr="005F59D5">
        <w:rPr>
          <w:i/>
          <w:sz w:val="24"/>
          <w:szCs w:val="24"/>
        </w:rPr>
        <w:t xml:space="preserve"> </w:t>
      </w:r>
      <w:r>
        <w:rPr>
          <w:sz w:val="24"/>
          <w:szCs w:val="24"/>
        </w:rPr>
        <w:t>across</w:t>
      </w:r>
      <w:r w:rsidRPr="005F59D5">
        <w:rPr>
          <w:sz w:val="24"/>
          <w:szCs w:val="24"/>
        </w:rPr>
        <w:t xml:space="preserve"> the entire national territory. The same was enforced </w:t>
      </w:r>
      <w:r>
        <w:rPr>
          <w:sz w:val="24"/>
          <w:szCs w:val="24"/>
        </w:rPr>
        <w:t>for</w:t>
      </w:r>
      <w:r w:rsidRPr="005F59D5">
        <w:rPr>
          <w:sz w:val="24"/>
          <w:szCs w:val="24"/>
        </w:rPr>
        <w:t xml:space="preserve"> the red swamp crayfish </w:t>
      </w:r>
      <w:proofErr w:type="spellStart"/>
      <w:r w:rsidRPr="005F59D5">
        <w:rPr>
          <w:i/>
          <w:sz w:val="24"/>
          <w:szCs w:val="24"/>
        </w:rPr>
        <w:t>Procambarus</w:t>
      </w:r>
      <w:proofErr w:type="spellEnd"/>
      <w:r w:rsidRPr="005F59D5">
        <w:rPr>
          <w:i/>
          <w:sz w:val="24"/>
          <w:szCs w:val="24"/>
        </w:rPr>
        <w:t xml:space="preserve"> </w:t>
      </w:r>
      <w:proofErr w:type="spellStart"/>
      <w:r w:rsidRPr="005F59D5">
        <w:rPr>
          <w:i/>
          <w:sz w:val="24"/>
          <w:szCs w:val="24"/>
        </w:rPr>
        <w:t>clarkii</w:t>
      </w:r>
      <w:proofErr w:type="spellEnd"/>
      <w:r w:rsidRPr="005F59D5">
        <w:rPr>
          <w:sz w:val="24"/>
          <w:szCs w:val="24"/>
        </w:rPr>
        <w:t xml:space="preserve"> through IBAMA ordinance nº 5 in 2008.</w:t>
      </w:r>
      <w:r w:rsidRPr="005F59D5">
        <w:rPr>
          <w:i/>
          <w:sz w:val="24"/>
          <w:szCs w:val="24"/>
        </w:rPr>
        <w:t xml:space="preserve"> </w:t>
      </w:r>
    </w:p>
    <w:p w14:paraId="32B497E1" w14:textId="77777777" w:rsidR="002D71C5" w:rsidRPr="005F59D5" w:rsidRDefault="002D71C5" w:rsidP="002D71C5">
      <w:pPr>
        <w:spacing w:after="120" w:line="480" w:lineRule="auto"/>
        <w:ind w:firstLine="720"/>
        <w:jc w:val="both"/>
        <w:rPr>
          <w:sz w:val="24"/>
          <w:szCs w:val="24"/>
        </w:rPr>
      </w:pPr>
      <w:r w:rsidRPr="005F59D5">
        <w:rPr>
          <w:sz w:val="24"/>
          <w:szCs w:val="24"/>
        </w:rPr>
        <w:t>There are two legal instruments related specifically to aquaculture: CONAMA Regulation nº 413 and Law nº 11,959, both published in 2009. The law concerns the environmental licensing of aquaculture</w:t>
      </w:r>
      <w:r w:rsidRPr="005F59D5" w:rsidDel="00214E8B">
        <w:rPr>
          <w:sz w:val="24"/>
          <w:szCs w:val="24"/>
        </w:rPr>
        <w:t xml:space="preserve"> </w:t>
      </w:r>
      <w:r w:rsidRPr="005F59D5">
        <w:rPr>
          <w:sz w:val="24"/>
          <w:szCs w:val="24"/>
        </w:rPr>
        <w:t xml:space="preserve">activity and allows the use of native species only. In the case of using alien species, there must exist another legislation authorizing its use. The CONAMA regulation states that the </w:t>
      </w:r>
      <w:proofErr w:type="spellStart"/>
      <w:r w:rsidRPr="005F59D5">
        <w:rPr>
          <w:sz w:val="24"/>
          <w:szCs w:val="24"/>
        </w:rPr>
        <w:t>aquaculturist</w:t>
      </w:r>
      <w:proofErr w:type="spellEnd"/>
      <w:r w:rsidRPr="005F59D5">
        <w:rPr>
          <w:sz w:val="24"/>
          <w:szCs w:val="24"/>
        </w:rPr>
        <w:t xml:space="preserve"> is responsible for the containment of IAS when they are used in farming</w:t>
      </w:r>
      <w:r>
        <w:rPr>
          <w:sz w:val="24"/>
          <w:szCs w:val="24"/>
        </w:rPr>
        <w:t xml:space="preserve"> and the</w:t>
      </w:r>
      <w:r w:rsidRPr="005F59D5">
        <w:rPr>
          <w:sz w:val="24"/>
          <w:szCs w:val="24"/>
        </w:rPr>
        <w:t xml:space="preserve"> preventi</w:t>
      </w:r>
      <w:r>
        <w:rPr>
          <w:sz w:val="24"/>
          <w:szCs w:val="24"/>
        </w:rPr>
        <w:t>on of</w:t>
      </w:r>
      <w:r w:rsidRPr="005F59D5">
        <w:rPr>
          <w:sz w:val="24"/>
          <w:szCs w:val="24"/>
        </w:rPr>
        <w:t xml:space="preserve"> their access to Brazilian hydrographic basins. Also in 2009, the first version of the National Strategy to Invasive Alien Species (NSIAS) was published </w:t>
      </w:r>
      <w:r>
        <w:rPr>
          <w:sz w:val="24"/>
          <w:szCs w:val="24"/>
        </w:rPr>
        <w:t>in</w:t>
      </w:r>
      <w:r w:rsidRPr="005F59D5">
        <w:rPr>
          <w:sz w:val="24"/>
          <w:szCs w:val="24"/>
        </w:rPr>
        <w:t xml:space="preserve"> CONABIO Regulation nº 5</w:t>
      </w:r>
      <w:r>
        <w:rPr>
          <w:sz w:val="24"/>
          <w:szCs w:val="24"/>
        </w:rPr>
        <w:t>;</w:t>
      </w:r>
      <w:r w:rsidRPr="005F59D5">
        <w:rPr>
          <w:sz w:val="24"/>
          <w:szCs w:val="24"/>
        </w:rPr>
        <w:t xml:space="preserve"> however, its text was fully revoked and updated in 2018.</w:t>
      </w:r>
    </w:p>
    <w:p w14:paraId="553366CF" w14:textId="77777777" w:rsidR="002D71C5" w:rsidRPr="005F59D5" w:rsidRDefault="002D71C5" w:rsidP="002D71C5">
      <w:pPr>
        <w:spacing w:after="120" w:line="480" w:lineRule="auto"/>
        <w:ind w:firstLine="720"/>
        <w:jc w:val="both"/>
        <w:rPr>
          <w:sz w:val="24"/>
          <w:szCs w:val="24"/>
        </w:rPr>
      </w:pPr>
      <w:r w:rsidRPr="005F59D5">
        <w:rPr>
          <w:sz w:val="24"/>
          <w:szCs w:val="24"/>
        </w:rPr>
        <w:lastRenderedPageBreak/>
        <w:t xml:space="preserve">From 2010, there </w:t>
      </w:r>
      <w:r>
        <w:rPr>
          <w:sz w:val="24"/>
          <w:szCs w:val="24"/>
        </w:rPr>
        <w:t>has</w:t>
      </w:r>
      <w:r w:rsidRPr="005F59D5">
        <w:rPr>
          <w:sz w:val="24"/>
          <w:szCs w:val="24"/>
        </w:rPr>
        <w:t xml:space="preserve"> also </w:t>
      </w:r>
      <w:r>
        <w:rPr>
          <w:sz w:val="24"/>
          <w:szCs w:val="24"/>
        </w:rPr>
        <w:t xml:space="preserve">been </w:t>
      </w:r>
      <w:r w:rsidRPr="005F59D5">
        <w:rPr>
          <w:sz w:val="24"/>
          <w:szCs w:val="24"/>
        </w:rPr>
        <w:t xml:space="preserve">a great number of legislations dealing with IAS. The Forest Code (laws nº 12,651 and nº 12,727) from 2012 allows the use of alien plant species to recompose Legal Reserves or Permanent Preservation Areas, to a limit of 50% of the total area. </w:t>
      </w:r>
      <w:r w:rsidRPr="00776025">
        <w:rPr>
          <w:sz w:val="24"/>
          <w:szCs w:val="24"/>
        </w:rPr>
        <w:t xml:space="preserve">In the same period, the legislation regarding the wild boar </w:t>
      </w:r>
      <w:r w:rsidRPr="00776025">
        <w:rPr>
          <w:i/>
          <w:iCs/>
          <w:sz w:val="24"/>
          <w:szCs w:val="24"/>
        </w:rPr>
        <w:t xml:space="preserve">Sus scrofa </w:t>
      </w:r>
      <w:r w:rsidRPr="00776025">
        <w:rPr>
          <w:sz w:val="24"/>
          <w:szCs w:val="24"/>
        </w:rPr>
        <w:t xml:space="preserve">and the golden mussel </w:t>
      </w:r>
      <w:proofErr w:type="spellStart"/>
      <w:r w:rsidRPr="00776025">
        <w:rPr>
          <w:i/>
          <w:iCs/>
          <w:sz w:val="24"/>
          <w:szCs w:val="24"/>
        </w:rPr>
        <w:t>Limnoperna</w:t>
      </w:r>
      <w:proofErr w:type="spellEnd"/>
      <w:r w:rsidRPr="00776025">
        <w:rPr>
          <w:i/>
          <w:iCs/>
          <w:sz w:val="24"/>
          <w:szCs w:val="24"/>
        </w:rPr>
        <w:t xml:space="preserve"> </w:t>
      </w:r>
      <w:proofErr w:type="spellStart"/>
      <w:r w:rsidRPr="00776025">
        <w:rPr>
          <w:i/>
          <w:iCs/>
          <w:sz w:val="24"/>
          <w:szCs w:val="24"/>
        </w:rPr>
        <w:t>fortunei</w:t>
      </w:r>
      <w:proofErr w:type="spellEnd"/>
      <w:r w:rsidRPr="00776025">
        <w:rPr>
          <w:i/>
          <w:iCs/>
          <w:sz w:val="24"/>
          <w:szCs w:val="24"/>
        </w:rPr>
        <w:t xml:space="preserve"> </w:t>
      </w:r>
      <w:r w:rsidRPr="00776025">
        <w:rPr>
          <w:sz w:val="24"/>
          <w:szCs w:val="24"/>
        </w:rPr>
        <w:t>stands up, as these species have the greatest number of legal instruments specifically targeting them (four documents each)</w:t>
      </w:r>
      <w:r w:rsidRPr="005F59D5">
        <w:rPr>
          <w:sz w:val="24"/>
          <w:szCs w:val="24"/>
        </w:rPr>
        <w:t xml:space="preserve">. </w:t>
      </w:r>
      <w:r>
        <w:rPr>
          <w:sz w:val="24"/>
          <w:szCs w:val="24"/>
        </w:rPr>
        <w:t>In fact</w:t>
      </w:r>
      <w:r w:rsidRPr="005F59D5">
        <w:rPr>
          <w:sz w:val="24"/>
          <w:szCs w:val="24"/>
        </w:rPr>
        <w:t>, these species</w:t>
      </w:r>
      <w:r>
        <w:rPr>
          <w:sz w:val="24"/>
          <w:szCs w:val="24"/>
        </w:rPr>
        <w:t>,</w:t>
      </w:r>
      <w:r w:rsidRPr="005F59D5">
        <w:rPr>
          <w:sz w:val="24"/>
          <w:szCs w:val="24"/>
        </w:rPr>
        <w:t xml:space="preserve"> along with sun coral</w:t>
      </w:r>
      <w:r>
        <w:rPr>
          <w:sz w:val="24"/>
          <w:szCs w:val="24"/>
        </w:rPr>
        <w:t>s</w:t>
      </w:r>
      <w:r w:rsidRPr="005F59D5">
        <w:rPr>
          <w:sz w:val="24"/>
          <w:szCs w:val="24"/>
        </w:rPr>
        <w:t xml:space="preserve"> (</w:t>
      </w:r>
      <w:proofErr w:type="spellStart"/>
      <w:r w:rsidRPr="005F59D5">
        <w:rPr>
          <w:i/>
          <w:sz w:val="24"/>
          <w:szCs w:val="24"/>
        </w:rPr>
        <w:t>Tubastraea</w:t>
      </w:r>
      <w:proofErr w:type="spellEnd"/>
      <w:r w:rsidRPr="005F59D5">
        <w:rPr>
          <w:i/>
          <w:sz w:val="24"/>
          <w:szCs w:val="24"/>
        </w:rPr>
        <w:t xml:space="preserve"> coccinea</w:t>
      </w:r>
      <w:r w:rsidRPr="005F59D5">
        <w:rPr>
          <w:sz w:val="24"/>
          <w:szCs w:val="24"/>
        </w:rPr>
        <w:t xml:space="preserve"> and </w:t>
      </w:r>
      <w:proofErr w:type="spellStart"/>
      <w:r w:rsidRPr="005F59D5">
        <w:rPr>
          <w:i/>
          <w:sz w:val="24"/>
          <w:szCs w:val="24"/>
        </w:rPr>
        <w:t>Tubastraea</w:t>
      </w:r>
      <w:proofErr w:type="spellEnd"/>
      <w:r w:rsidRPr="005F59D5">
        <w:rPr>
          <w:i/>
          <w:sz w:val="24"/>
          <w:szCs w:val="24"/>
        </w:rPr>
        <w:t xml:space="preserve"> </w:t>
      </w:r>
      <w:proofErr w:type="spellStart"/>
      <w:r w:rsidRPr="005F59D5">
        <w:rPr>
          <w:i/>
          <w:sz w:val="24"/>
          <w:szCs w:val="24"/>
        </w:rPr>
        <w:t>tagusensis</w:t>
      </w:r>
      <w:proofErr w:type="spellEnd"/>
      <w:r w:rsidRPr="005F59D5">
        <w:rPr>
          <w:sz w:val="24"/>
          <w:szCs w:val="24"/>
        </w:rPr>
        <w:t xml:space="preserve">), were selected </w:t>
      </w:r>
      <w:r>
        <w:rPr>
          <w:sz w:val="24"/>
          <w:szCs w:val="24"/>
        </w:rPr>
        <w:t>for meeting</w:t>
      </w:r>
      <w:r w:rsidRPr="005F59D5">
        <w:rPr>
          <w:sz w:val="24"/>
          <w:szCs w:val="24"/>
        </w:rPr>
        <w:t xml:space="preserve"> the target of eradicating three IAS by 2019 according to the Multiannual Plan established by Law nº 13,249 of 2016. In 2018, a normative instruction of the Ministry of Agriculture and Livestock was published </w:t>
      </w:r>
      <w:r>
        <w:rPr>
          <w:sz w:val="24"/>
          <w:szCs w:val="24"/>
        </w:rPr>
        <w:t>containing</w:t>
      </w:r>
      <w:r w:rsidRPr="005F59D5">
        <w:rPr>
          <w:sz w:val="24"/>
          <w:szCs w:val="24"/>
        </w:rPr>
        <w:t xml:space="preserve"> the first list of animal IAS present in the country in the terrestrial environment (nº 19). This list was later updated to include aquatic species (normative instruction nº 16/2019). There are also two normative instructions that list alien plant species introduced for farming (nº 03/2019) or ornamental purposes (nº 64/2020). Finally, the most important legal instruments regarding IAS are those related to the NSIAS, published in 2018. CONABIO Regulation nº 7 approves the new NSIAS, while the Ministry of Environment </w:t>
      </w:r>
      <w:r>
        <w:rPr>
          <w:sz w:val="24"/>
          <w:szCs w:val="24"/>
        </w:rPr>
        <w:t>o</w:t>
      </w:r>
      <w:r w:rsidRPr="005F59D5">
        <w:rPr>
          <w:sz w:val="24"/>
          <w:szCs w:val="24"/>
        </w:rPr>
        <w:t>rdinances nº 3 and nº 4 institute the NSIAS Implementation Plan and its Technical Assistance Group, respectively.</w:t>
      </w:r>
    </w:p>
    <w:p w14:paraId="0262618A" w14:textId="77777777" w:rsidR="00E060EA" w:rsidRDefault="00E060EA"/>
    <w:sectPr w:rsidR="00E060EA" w:rsidSect="00297AA7">
      <w:footerReference w:type="default" r:id="rId4"/>
      <w:pgSz w:w="11909" w:h="16834"/>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566" w14:textId="77777777" w:rsidR="00B42A00" w:rsidRDefault="002D71C5">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6D9C377E" w14:textId="77777777" w:rsidR="00B42A00" w:rsidRDefault="002D71C5">
    <w:pPr>
      <w:pBdr>
        <w:top w:val="nil"/>
        <w:left w:val="nil"/>
        <w:bottom w:val="nil"/>
        <w:right w:val="nil"/>
        <w:between w:val="nil"/>
      </w:pBdr>
      <w:tabs>
        <w:tab w:val="center" w:pos="4252"/>
        <w:tab w:val="right" w:pos="8504"/>
      </w:tabs>
      <w:spacing w:line="240" w:lineRule="auto"/>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C5"/>
    <w:rsid w:val="002D71C5"/>
    <w:rsid w:val="003B6DC6"/>
    <w:rsid w:val="00591EBE"/>
    <w:rsid w:val="00C05AC6"/>
    <w:rsid w:val="00E0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0B6A"/>
  <w15:chartTrackingRefBased/>
  <w15:docId w15:val="{BF100D21-25C5-4DAC-ABA4-7102918B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C5"/>
    <w:pPr>
      <w:spacing w:line="276" w:lineRule="auto"/>
    </w:pPr>
    <w:rPr>
      <w:rFonts w:ascii="Arial" w:eastAsia="Arial" w:hAnsi="Arial" w:cs="Arial"/>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1</cp:revision>
  <dcterms:created xsi:type="dcterms:W3CDTF">2022-11-10T09:00:00Z</dcterms:created>
  <dcterms:modified xsi:type="dcterms:W3CDTF">2022-11-10T09:00:00Z</dcterms:modified>
</cp:coreProperties>
</file>