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7B77" w14:textId="77777777" w:rsidR="00763F42" w:rsidRPr="001E4CFF" w:rsidRDefault="00763F42" w:rsidP="000E4B1D">
      <w:pPr>
        <w:rPr>
          <w:rFonts w:ascii="Arial" w:hAnsi="Arial" w:cs="Arial"/>
          <w:b/>
          <w:bCs/>
          <w:sz w:val="20"/>
          <w:szCs w:val="20"/>
        </w:rPr>
      </w:pPr>
    </w:p>
    <w:p w14:paraId="77D89AFC" w14:textId="75FBAEC2" w:rsidR="0081056C" w:rsidRPr="001E4CFF" w:rsidRDefault="003C6BAC" w:rsidP="00B61341">
      <w:pPr>
        <w:jc w:val="center"/>
        <w:rPr>
          <w:rFonts w:ascii="Arial" w:hAnsi="Arial" w:cs="Arial"/>
          <w:b/>
          <w:bCs/>
          <w:sz w:val="20"/>
          <w:szCs w:val="20"/>
        </w:rPr>
      </w:pPr>
      <w:r w:rsidRPr="001E4CFF">
        <w:rPr>
          <w:rFonts w:ascii="Arial" w:hAnsi="Arial" w:cs="Arial"/>
          <w:b/>
          <w:bCs/>
          <w:sz w:val="20"/>
          <w:szCs w:val="20"/>
        </w:rPr>
        <w:t xml:space="preserve">Appendix S1: </w:t>
      </w:r>
      <w:r w:rsidR="00763F42" w:rsidRPr="001E4CFF">
        <w:rPr>
          <w:rFonts w:ascii="Arial" w:hAnsi="Arial" w:cs="Arial"/>
          <w:b/>
          <w:bCs/>
          <w:sz w:val="20"/>
          <w:szCs w:val="20"/>
        </w:rPr>
        <w:t>Scoping</w:t>
      </w:r>
      <w:r w:rsidR="00DF3002" w:rsidRPr="001E4CFF">
        <w:rPr>
          <w:rFonts w:ascii="Arial" w:hAnsi="Arial" w:cs="Arial"/>
          <w:b/>
          <w:bCs/>
          <w:sz w:val="20"/>
          <w:szCs w:val="20"/>
        </w:rPr>
        <w:t xml:space="preserve"> review protocol</w:t>
      </w:r>
    </w:p>
    <w:p w14:paraId="72A5A1FD" w14:textId="57446384" w:rsidR="00A25D79" w:rsidRPr="001E4CFF" w:rsidRDefault="00A25D79" w:rsidP="00A25D79">
      <w:pPr>
        <w:rPr>
          <w:rFonts w:ascii="Arial" w:hAnsi="Arial" w:cs="Arial"/>
          <w:b/>
          <w:bCs/>
          <w:sz w:val="20"/>
          <w:szCs w:val="20"/>
        </w:rPr>
      </w:pPr>
    </w:p>
    <w:p w14:paraId="75AA9B7D" w14:textId="2D1BF0C4" w:rsidR="00A25D79" w:rsidRPr="001E4CFF" w:rsidRDefault="00A25D79" w:rsidP="00A25D79">
      <w:pPr>
        <w:rPr>
          <w:rFonts w:ascii="Arial" w:hAnsi="Arial" w:cs="Arial"/>
          <w:b/>
          <w:bCs/>
          <w:sz w:val="20"/>
          <w:szCs w:val="20"/>
        </w:rPr>
      </w:pPr>
    </w:p>
    <w:p w14:paraId="23F0477A" w14:textId="53F2D69B" w:rsidR="00A25D79" w:rsidRPr="001E4CFF" w:rsidRDefault="00A25D79" w:rsidP="00A25D79">
      <w:pPr>
        <w:rPr>
          <w:rFonts w:ascii="Arial" w:hAnsi="Arial" w:cs="Arial"/>
          <w:b/>
          <w:bCs/>
          <w:sz w:val="20"/>
          <w:szCs w:val="20"/>
        </w:rPr>
      </w:pPr>
    </w:p>
    <w:p w14:paraId="005DBE6F" w14:textId="7DBBD10F" w:rsidR="00644B5B" w:rsidRPr="001E4CFF" w:rsidRDefault="00644B5B" w:rsidP="00644B5B">
      <w:pPr>
        <w:pStyle w:val="Caption"/>
        <w:keepNext/>
        <w:rPr>
          <w:rFonts w:ascii="Arial" w:hAnsi="Arial" w:cs="Arial"/>
          <w:b/>
          <w:bCs/>
          <w:i w:val="0"/>
          <w:iCs w:val="0"/>
          <w:color w:val="auto"/>
          <w:sz w:val="20"/>
          <w:szCs w:val="20"/>
        </w:rPr>
      </w:pPr>
      <w:r w:rsidRPr="001E4CFF">
        <w:rPr>
          <w:rFonts w:ascii="Arial" w:hAnsi="Arial" w:cs="Arial"/>
          <w:b/>
          <w:bCs/>
          <w:i w:val="0"/>
          <w:iCs w:val="0"/>
          <w:color w:val="auto"/>
          <w:sz w:val="20"/>
          <w:szCs w:val="20"/>
        </w:rPr>
        <w:t xml:space="preserve">Table </w:t>
      </w:r>
      <w:r w:rsidRPr="001E4CFF">
        <w:rPr>
          <w:rFonts w:ascii="Arial" w:hAnsi="Arial" w:cs="Arial"/>
          <w:b/>
          <w:bCs/>
          <w:i w:val="0"/>
          <w:iCs w:val="0"/>
          <w:color w:val="auto"/>
          <w:sz w:val="20"/>
          <w:szCs w:val="20"/>
        </w:rPr>
        <w:fldChar w:fldCharType="begin"/>
      </w:r>
      <w:r w:rsidRPr="001E4CFF">
        <w:rPr>
          <w:rFonts w:ascii="Arial" w:hAnsi="Arial" w:cs="Arial"/>
          <w:b/>
          <w:bCs/>
          <w:i w:val="0"/>
          <w:iCs w:val="0"/>
          <w:color w:val="auto"/>
          <w:sz w:val="20"/>
          <w:szCs w:val="20"/>
        </w:rPr>
        <w:instrText xml:space="preserve"> SEQ Table \* ARABIC </w:instrText>
      </w:r>
      <w:r w:rsidRPr="001E4CFF">
        <w:rPr>
          <w:rFonts w:ascii="Arial" w:hAnsi="Arial" w:cs="Arial"/>
          <w:b/>
          <w:bCs/>
          <w:i w:val="0"/>
          <w:iCs w:val="0"/>
          <w:color w:val="auto"/>
          <w:sz w:val="20"/>
          <w:szCs w:val="20"/>
        </w:rPr>
        <w:fldChar w:fldCharType="separate"/>
      </w:r>
      <w:r w:rsidRPr="001E4CFF">
        <w:rPr>
          <w:rFonts w:ascii="Arial" w:hAnsi="Arial" w:cs="Arial"/>
          <w:b/>
          <w:bCs/>
          <w:i w:val="0"/>
          <w:iCs w:val="0"/>
          <w:noProof/>
          <w:color w:val="auto"/>
          <w:sz w:val="20"/>
          <w:szCs w:val="20"/>
        </w:rPr>
        <w:t>1</w:t>
      </w:r>
      <w:r w:rsidRPr="001E4CFF">
        <w:rPr>
          <w:rFonts w:ascii="Arial" w:hAnsi="Arial" w:cs="Arial"/>
          <w:b/>
          <w:bCs/>
          <w:i w:val="0"/>
          <w:iCs w:val="0"/>
          <w:color w:val="auto"/>
          <w:sz w:val="20"/>
          <w:szCs w:val="20"/>
        </w:rPr>
        <w:fldChar w:fldCharType="end"/>
      </w:r>
      <w:r w:rsidRPr="001E4CFF">
        <w:rPr>
          <w:rFonts w:ascii="Arial" w:hAnsi="Arial" w:cs="Arial"/>
          <w:b/>
          <w:bCs/>
          <w:i w:val="0"/>
          <w:iCs w:val="0"/>
          <w:color w:val="auto"/>
          <w:sz w:val="20"/>
          <w:szCs w:val="20"/>
        </w:rPr>
        <w:t>: Background of the scoping review</w:t>
      </w:r>
    </w:p>
    <w:tbl>
      <w:tblPr>
        <w:tblStyle w:val="TableGrid"/>
        <w:tblW w:w="0" w:type="auto"/>
        <w:tblLook w:val="04A0" w:firstRow="1" w:lastRow="0" w:firstColumn="1" w:lastColumn="0" w:noHBand="0" w:noVBand="1"/>
      </w:tblPr>
      <w:tblGrid>
        <w:gridCol w:w="2972"/>
        <w:gridCol w:w="6044"/>
      </w:tblGrid>
      <w:tr w:rsidR="00A25D79" w:rsidRPr="001E4CFF" w14:paraId="6A2492C1" w14:textId="77777777" w:rsidTr="000F7810">
        <w:tc>
          <w:tcPr>
            <w:tcW w:w="2972" w:type="dxa"/>
          </w:tcPr>
          <w:p w14:paraId="2D96321B" w14:textId="150886BC" w:rsidR="00A25D79" w:rsidRPr="001E4CFF" w:rsidRDefault="00A25D79" w:rsidP="00644B5B">
            <w:pPr>
              <w:rPr>
                <w:rFonts w:ascii="Arial" w:hAnsi="Arial" w:cs="Arial"/>
                <w:b/>
                <w:bCs/>
                <w:sz w:val="20"/>
                <w:szCs w:val="20"/>
              </w:rPr>
            </w:pPr>
            <w:r w:rsidRPr="001E4CFF">
              <w:rPr>
                <w:rFonts w:ascii="Arial" w:hAnsi="Arial" w:cs="Arial"/>
                <w:b/>
                <w:bCs/>
                <w:sz w:val="20"/>
                <w:szCs w:val="20"/>
              </w:rPr>
              <w:t>Title of the review</w:t>
            </w:r>
          </w:p>
        </w:tc>
        <w:tc>
          <w:tcPr>
            <w:tcW w:w="6044" w:type="dxa"/>
          </w:tcPr>
          <w:p w14:paraId="78A0019D" w14:textId="77777777" w:rsidR="00A25D79" w:rsidRPr="001E4CFF" w:rsidRDefault="00A25D79" w:rsidP="00644B5B">
            <w:pPr>
              <w:rPr>
                <w:rFonts w:ascii="Arial" w:hAnsi="Arial" w:cs="Arial"/>
                <w:sz w:val="20"/>
                <w:szCs w:val="20"/>
              </w:rPr>
            </w:pPr>
            <w:r w:rsidRPr="001E4CFF">
              <w:rPr>
                <w:rFonts w:ascii="Arial" w:hAnsi="Arial" w:cs="Arial"/>
                <w:sz w:val="20"/>
                <w:szCs w:val="20"/>
              </w:rPr>
              <w:t>A scoping review of environmental governance challenges in Southern Africa from 2010 to 2020</w:t>
            </w:r>
          </w:p>
          <w:p w14:paraId="760CF51F" w14:textId="77777777" w:rsidR="00A25D79" w:rsidRPr="001E4CFF" w:rsidRDefault="00A25D79" w:rsidP="00644B5B">
            <w:pPr>
              <w:rPr>
                <w:rFonts w:ascii="Arial" w:hAnsi="Arial" w:cs="Arial"/>
                <w:sz w:val="20"/>
                <w:szCs w:val="20"/>
              </w:rPr>
            </w:pPr>
          </w:p>
        </w:tc>
      </w:tr>
      <w:tr w:rsidR="00A25D79" w:rsidRPr="001E4CFF" w14:paraId="6FA00E98" w14:textId="77777777" w:rsidTr="000F7810">
        <w:tc>
          <w:tcPr>
            <w:tcW w:w="2972" w:type="dxa"/>
          </w:tcPr>
          <w:p w14:paraId="181EF6EB" w14:textId="038E30A2" w:rsidR="00A25D79" w:rsidRPr="001E4CFF" w:rsidRDefault="00A25D79" w:rsidP="00644B5B">
            <w:pPr>
              <w:rPr>
                <w:rFonts w:ascii="Arial" w:hAnsi="Arial" w:cs="Arial"/>
                <w:b/>
                <w:bCs/>
                <w:sz w:val="20"/>
                <w:szCs w:val="20"/>
              </w:rPr>
            </w:pPr>
            <w:r w:rsidRPr="001E4CFF">
              <w:rPr>
                <w:rFonts w:ascii="Arial" w:hAnsi="Arial" w:cs="Arial"/>
                <w:b/>
                <w:bCs/>
                <w:sz w:val="20"/>
                <w:szCs w:val="20"/>
              </w:rPr>
              <w:t>Data extraction</w:t>
            </w:r>
          </w:p>
        </w:tc>
        <w:tc>
          <w:tcPr>
            <w:tcW w:w="6044" w:type="dxa"/>
          </w:tcPr>
          <w:p w14:paraId="76F3520F" w14:textId="4C5450E6" w:rsidR="00A25D79" w:rsidRPr="001E4CFF" w:rsidRDefault="00A25D79" w:rsidP="00644B5B">
            <w:pPr>
              <w:rPr>
                <w:rFonts w:ascii="Arial" w:hAnsi="Arial" w:cs="Arial"/>
                <w:sz w:val="20"/>
                <w:szCs w:val="20"/>
              </w:rPr>
            </w:pPr>
            <w:r w:rsidRPr="001E4CFF">
              <w:rPr>
                <w:rFonts w:ascii="Arial" w:hAnsi="Arial" w:cs="Arial"/>
                <w:sz w:val="20"/>
                <w:szCs w:val="20"/>
              </w:rPr>
              <w:t>August 2018</w:t>
            </w:r>
          </w:p>
        </w:tc>
      </w:tr>
      <w:tr w:rsidR="00A25D79" w:rsidRPr="001E4CFF" w14:paraId="1C72DB02" w14:textId="77777777" w:rsidTr="000F7810">
        <w:tc>
          <w:tcPr>
            <w:tcW w:w="2972" w:type="dxa"/>
          </w:tcPr>
          <w:p w14:paraId="6A5CD4E1" w14:textId="2A327AC8" w:rsidR="00A25D79" w:rsidRPr="001E4CFF" w:rsidRDefault="00A25D79" w:rsidP="00644B5B">
            <w:pPr>
              <w:rPr>
                <w:rFonts w:ascii="Arial" w:hAnsi="Arial" w:cs="Arial"/>
                <w:b/>
                <w:bCs/>
                <w:sz w:val="20"/>
                <w:szCs w:val="20"/>
              </w:rPr>
            </w:pPr>
            <w:r w:rsidRPr="001E4CFF">
              <w:rPr>
                <w:rFonts w:ascii="Arial" w:hAnsi="Arial" w:cs="Arial"/>
                <w:b/>
                <w:bCs/>
                <w:sz w:val="20"/>
                <w:szCs w:val="20"/>
              </w:rPr>
              <w:t>Data of write up</w:t>
            </w:r>
          </w:p>
        </w:tc>
        <w:tc>
          <w:tcPr>
            <w:tcW w:w="6044" w:type="dxa"/>
          </w:tcPr>
          <w:p w14:paraId="065F98BA" w14:textId="460764ED" w:rsidR="00A25D79" w:rsidRPr="001E4CFF" w:rsidRDefault="00A25D79" w:rsidP="00644B5B">
            <w:pPr>
              <w:rPr>
                <w:rFonts w:ascii="Arial" w:hAnsi="Arial" w:cs="Arial"/>
                <w:sz w:val="20"/>
                <w:szCs w:val="20"/>
              </w:rPr>
            </w:pPr>
            <w:r w:rsidRPr="001E4CFF">
              <w:rPr>
                <w:rFonts w:ascii="Arial" w:hAnsi="Arial" w:cs="Arial"/>
                <w:sz w:val="20"/>
                <w:szCs w:val="20"/>
              </w:rPr>
              <w:t>March 2021</w:t>
            </w:r>
          </w:p>
        </w:tc>
      </w:tr>
      <w:tr w:rsidR="00A25D79" w:rsidRPr="001E4CFF" w14:paraId="3C6F4E2D" w14:textId="77777777" w:rsidTr="000F7810">
        <w:tc>
          <w:tcPr>
            <w:tcW w:w="2972" w:type="dxa"/>
          </w:tcPr>
          <w:p w14:paraId="7D48A17B" w14:textId="4D441F39" w:rsidR="00A25D79" w:rsidRPr="001E4CFF" w:rsidRDefault="00A25D79" w:rsidP="00644B5B">
            <w:pPr>
              <w:rPr>
                <w:rFonts w:ascii="Arial" w:hAnsi="Arial" w:cs="Arial"/>
                <w:b/>
                <w:bCs/>
                <w:sz w:val="20"/>
                <w:szCs w:val="20"/>
              </w:rPr>
            </w:pPr>
            <w:r w:rsidRPr="001E4CFF">
              <w:rPr>
                <w:rFonts w:ascii="Arial" w:hAnsi="Arial" w:cs="Arial"/>
                <w:b/>
                <w:bCs/>
                <w:sz w:val="20"/>
                <w:szCs w:val="20"/>
              </w:rPr>
              <w:t>Objective</w:t>
            </w:r>
          </w:p>
        </w:tc>
        <w:tc>
          <w:tcPr>
            <w:tcW w:w="6044" w:type="dxa"/>
          </w:tcPr>
          <w:p w14:paraId="37A2054E" w14:textId="77777777" w:rsidR="00A25D79" w:rsidRPr="001E4CFF" w:rsidRDefault="00A25D79" w:rsidP="00644B5B">
            <w:pPr>
              <w:rPr>
                <w:rFonts w:ascii="Arial" w:hAnsi="Arial" w:cs="Arial"/>
                <w:sz w:val="20"/>
                <w:szCs w:val="20"/>
              </w:rPr>
            </w:pPr>
            <w:r w:rsidRPr="001E4CFF">
              <w:rPr>
                <w:rFonts w:ascii="Arial" w:hAnsi="Arial" w:cs="Arial"/>
                <w:color w:val="000000" w:themeColor="text1"/>
                <w:sz w:val="20"/>
                <w:szCs w:val="20"/>
              </w:rPr>
              <w:t xml:space="preserve">How have </w:t>
            </w:r>
            <w:r w:rsidRPr="001E4CFF">
              <w:rPr>
                <w:rFonts w:ascii="Arial" w:hAnsi="Arial" w:cs="Arial"/>
                <w:color w:val="000000" w:themeColor="text1"/>
                <w:sz w:val="20"/>
                <w:szCs w:val="20"/>
                <w:shd w:val="clear" w:color="auto" w:fill="FFFFFF"/>
              </w:rPr>
              <w:t>governance challenges manifested in natural resource management between 2010-2020 in southern Africa?</w:t>
            </w:r>
          </w:p>
          <w:p w14:paraId="6667F001" w14:textId="77777777" w:rsidR="00A25D79" w:rsidRPr="001E4CFF" w:rsidRDefault="00A25D79" w:rsidP="00644B5B">
            <w:pPr>
              <w:rPr>
                <w:rFonts w:ascii="Arial" w:hAnsi="Arial" w:cs="Arial"/>
                <w:sz w:val="20"/>
                <w:szCs w:val="20"/>
              </w:rPr>
            </w:pPr>
          </w:p>
        </w:tc>
      </w:tr>
      <w:tr w:rsidR="00A25D79" w:rsidRPr="001E4CFF" w14:paraId="2B0C6D8A" w14:textId="77777777" w:rsidTr="000F7810">
        <w:tc>
          <w:tcPr>
            <w:tcW w:w="2972" w:type="dxa"/>
          </w:tcPr>
          <w:p w14:paraId="24ACF3CB" w14:textId="142124D9" w:rsidR="00A25D79" w:rsidRPr="001E4CFF" w:rsidRDefault="00644B5B" w:rsidP="00644B5B">
            <w:pPr>
              <w:rPr>
                <w:rFonts w:ascii="Arial" w:hAnsi="Arial" w:cs="Arial"/>
                <w:b/>
                <w:bCs/>
                <w:sz w:val="20"/>
                <w:szCs w:val="20"/>
              </w:rPr>
            </w:pPr>
            <w:r w:rsidRPr="001E4CFF">
              <w:rPr>
                <w:rFonts w:ascii="Arial" w:hAnsi="Arial" w:cs="Arial"/>
                <w:b/>
                <w:bCs/>
                <w:sz w:val="20"/>
                <w:szCs w:val="20"/>
              </w:rPr>
              <w:t>Research questions</w:t>
            </w:r>
          </w:p>
        </w:tc>
        <w:tc>
          <w:tcPr>
            <w:tcW w:w="6044" w:type="dxa"/>
          </w:tcPr>
          <w:p w14:paraId="67CFF684" w14:textId="77777777" w:rsidR="00644B5B" w:rsidRPr="001E4CFF" w:rsidRDefault="00644B5B" w:rsidP="00644B5B">
            <w:pPr>
              <w:rPr>
                <w:rFonts w:ascii="Arial" w:hAnsi="Arial" w:cs="Arial"/>
                <w:sz w:val="20"/>
                <w:szCs w:val="20"/>
              </w:rPr>
            </w:pPr>
            <w:r w:rsidRPr="001E4CFF">
              <w:rPr>
                <w:rFonts w:ascii="Arial" w:hAnsi="Arial" w:cs="Arial"/>
                <w:sz w:val="20"/>
                <w:szCs w:val="20"/>
              </w:rPr>
              <w:t xml:space="preserve">What is the broad characterisation of the studies selected? </w:t>
            </w:r>
          </w:p>
          <w:p w14:paraId="30310CD5" w14:textId="77777777" w:rsidR="00644B5B" w:rsidRPr="001E4CFF" w:rsidRDefault="00644B5B" w:rsidP="00644B5B">
            <w:pPr>
              <w:rPr>
                <w:rFonts w:ascii="Arial" w:hAnsi="Arial" w:cs="Arial"/>
                <w:sz w:val="20"/>
                <w:szCs w:val="20"/>
              </w:rPr>
            </w:pPr>
            <w:r w:rsidRPr="001E4CFF">
              <w:rPr>
                <w:rFonts w:ascii="Arial" w:hAnsi="Arial" w:cs="Arial"/>
                <w:sz w:val="20"/>
                <w:szCs w:val="20"/>
              </w:rPr>
              <w:t>What are the dominant concepts identified?</w:t>
            </w:r>
          </w:p>
          <w:p w14:paraId="64C609EA" w14:textId="77777777" w:rsidR="00644B5B" w:rsidRPr="001E4CFF" w:rsidRDefault="00644B5B" w:rsidP="00644B5B">
            <w:pPr>
              <w:rPr>
                <w:rFonts w:ascii="Arial" w:hAnsi="Arial" w:cs="Arial"/>
                <w:sz w:val="20"/>
                <w:szCs w:val="20"/>
              </w:rPr>
            </w:pPr>
            <w:r w:rsidRPr="001E4CFF">
              <w:rPr>
                <w:rFonts w:ascii="Arial" w:hAnsi="Arial" w:cs="Arial"/>
                <w:sz w:val="20"/>
                <w:szCs w:val="20"/>
              </w:rPr>
              <w:t>What are the challenges identified?</w:t>
            </w:r>
          </w:p>
          <w:p w14:paraId="1A1176EF" w14:textId="77777777" w:rsidR="00A25D79" w:rsidRPr="001E4CFF" w:rsidRDefault="00A25D79" w:rsidP="00644B5B">
            <w:pPr>
              <w:rPr>
                <w:rFonts w:ascii="Arial" w:hAnsi="Arial" w:cs="Arial"/>
                <w:bCs/>
                <w:color w:val="000000" w:themeColor="text1"/>
                <w:sz w:val="20"/>
                <w:szCs w:val="20"/>
              </w:rPr>
            </w:pPr>
          </w:p>
        </w:tc>
      </w:tr>
      <w:tr w:rsidR="00A25D79" w:rsidRPr="001E4CFF" w14:paraId="341B1DB9" w14:textId="77777777" w:rsidTr="000F7810">
        <w:tc>
          <w:tcPr>
            <w:tcW w:w="2972" w:type="dxa"/>
          </w:tcPr>
          <w:p w14:paraId="1516D8D6" w14:textId="73D06313" w:rsidR="00A25D79" w:rsidRPr="001E4CFF" w:rsidRDefault="00644B5B" w:rsidP="00644B5B">
            <w:pPr>
              <w:rPr>
                <w:rFonts w:ascii="Arial" w:hAnsi="Arial" w:cs="Arial"/>
                <w:b/>
                <w:bCs/>
                <w:sz w:val="20"/>
                <w:szCs w:val="20"/>
              </w:rPr>
            </w:pPr>
            <w:r w:rsidRPr="001E4CFF">
              <w:rPr>
                <w:rFonts w:ascii="Arial" w:hAnsi="Arial" w:cs="Arial"/>
                <w:b/>
                <w:bCs/>
                <w:sz w:val="20"/>
                <w:szCs w:val="20"/>
              </w:rPr>
              <w:t>Eligibility criteria</w:t>
            </w:r>
          </w:p>
        </w:tc>
        <w:tc>
          <w:tcPr>
            <w:tcW w:w="6044" w:type="dxa"/>
          </w:tcPr>
          <w:p w14:paraId="5AC21CF7" w14:textId="77777777" w:rsidR="00644B5B" w:rsidRPr="001E4CFF" w:rsidRDefault="00644B5B" w:rsidP="00644B5B">
            <w:pPr>
              <w:spacing w:after="200"/>
              <w:rPr>
                <w:rFonts w:ascii="Arial" w:hAnsi="Arial" w:cs="Arial"/>
                <w:sz w:val="20"/>
                <w:szCs w:val="20"/>
              </w:rPr>
            </w:pPr>
            <w:r w:rsidRPr="001E4CFF">
              <w:rPr>
                <w:rFonts w:ascii="Arial" w:hAnsi="Arial" w:cs="Arial"/>
                <w:bCs/>
                <w:sz w:val="20"/>
                <w:szCs w:val="20"/>
              </w:rPr>
              <w:t xml:space="preserve">The articles should focus on the governance of natural resources in southern Africa. Here </w:t>
            </w:r>
            <w:r w:rsidRPr="001E4CFF">
              <w:rPr>
                <w:rFonts w:ascii="Arial" w:hAnsi="Arial" w:cs="Arial"/>
                <w:color w:val="1C1D1E"/>
                <w:sz w:val="20"/>
                <w:szCs w:val="20"/>
                <w:shd w:val="clear" w:color="auto" w:fill="FFFFFF"/>
              </w:rPr>
              <w:t>southern Africa encompasses the sixteen countries that make up the SADC</w:t>
            </w:r>
            <w:r w:rsidRPr="001E4CFF">
              <w:rPr>
                <w:rFonts w:ascii="Arial" w:hAnsi="Arial" w:cs="Arial"/>
                <w:sz w:val="20"/>
                <w:szCs w:val="20"/>
              </w:rPr>
              <w:t>: Angola, Botswana, Comoros, Democratic Republic of the Congo (DRC), Eswatini (Swaziland), Lesotho, Madagascar, Malawi, Mauritius, Mozambique, Namibia, Seychelles, South Africa, Tanzania, Zambia, and Zimbabwe.</w:t>
            </w:r>
          </w:p>
          <w:p w14:paraId="63DE2272" w14:textId="77777777" w:rsidR="00644B5B" w:rsidRPr="001E4CFF" w:rsidRDefault="00644B5B" w:rsidP="00644B5B">
            <w:pPr>
              <w:spacing w:after="200"/>
              <w:rPr>
                <w:rFonts w:ascii="Arial" w:hAnsi="Arial" w:cs="Arial"/>
                <w:sz w:val="20"/>
                <w:szCs w:val="20"/>
              </w:rPr>
            </w:pPr>
            <w:r w:rsidRPr="001E4CFF">
              <w:rPr>
                <w:rFonts w:ascii="Arial" w:hAnsi="Arial" w:cs="Arial"/>
                <w:sz w:val="20"/>
                <w:szCs w:val="20"/>
              </w:rPr>
              <w:t xml:space="preserve">Articles should refer to at least one challenge that is affecting the governance and management of natural resources. </w:t>
            </w:r>
          </w:p>
          <w:p w14:paraId="5BDC4CC6" w14:textId="77777777" w:rsidR="00644B5B" w:rsidRPr="001E4CFF" w:rsidRDefault="00644B5B" w:rsidP="00644B5B">
            <w:pPr>
              <w:spacing w:after="200"/>
              <w:rPr>
                <w:rFonts w:ascii="Arial" w:hAnsi="Arial" w:cs="Arial"/>
                <w:sz w:val="20"/>
                <w:szCs w:val="20"/>
              </w:rPr>
            </w:pPr>
            <w:r w:rsidRPr="001E4CFF">
              <w:rPr>
                <w:rFonts w:ascii="Arial" w:hAnsi="Arial" w:cs="Arial"/>
                <w:bCs/>
                <w:sz w:val="20"/>
                <w:szCs w:val="20"/>
              </w:rPr>
              <w:t>The articles included are in English.</w:t>
            </w:r>
          </w:p>
          <w:p w14:paraId="28893DF8" w14:textId="77777777" w:rsidR="00A25D79" w:rsidRPr="001E4CFF" w:rsidRDefault="00A25D79" w:rsidP="00644B5B">
            <w:pPr>
              <w:rPr>
                <w:rFonts w:ascii="Arial" w:hAnsi="Arial" w:cs="Arial"/>
                <w:b/>
                <w:bCs/>
                <w:sz w:val="20"/>
                <w:szCs w:val="20"/>
              </w:rPr>
            </w:pPr>
          </w:p>
        </w:tc>
      </w:tr>
      <w:tr w:rsidR="00A25D79" w:rsidRPr="001E4CFF" w14:paraId="35493B1C" w14:textId="77777777" w:rsidTr="000F7810">
        <w:tc>
          <w:tcPr>
            <w:tcW w:w="2972" w:type="dxa"/>
          </w:tcPr>
          <w:p w14:paraId="0F5018C1" w14:textId="5C0BCAF7" w:rsidR="00A25D79" w:rsidRPr="001E4CFF" w:rsidRDefault="00A25D79" w:rsidP="00644B5B">
            <w:pPr>
              <w:rPr>
                <w:rFonts w:ascii="Arial" w:hAnsi="Arial" w:cs="Arial"/>
                <w:b/>
                <w:bCs/>
                <w:sz w:val="20"/>
                <w:szCs w:val="20"/>
              </w:rPr>
            </w:pPr>
            <w:r w:rsidRPr="001E4CFF">
              <w:rPr>
                <w:rFonts w:ascii="Arial" w:hAnsi="Arial" w:cs="Arial"/>
                <w:b/>
                <w:bCs/>
                <w:sz w:val="20"/>
                <w:szCs w:val="20"/>
              </w:rPr>
              <w:t>Electronic database</w:t>
            </w:r>
          </w:p>
        </w:tc>
        <w:tc>
          <w:tcPr>
            <w:tcW w:w="6044" w:type="dxa"/>
          </w:tcPr>
          <w:p w14:paraId="6CDD0C06" w14:textId="5062ABA9" w:rsidR="00A25D79" w:rsidRPr="001E4CFF" w:rsidRDefault="00644B5B" w:rsidP="00644B5B">
            <w:pPr>
              <w:rPr>
                <w:rFonts w:ascii="Arial" w:hAnsi="Arial" w:cs="Arial"/>
                <w:sz w:val="20"/>
                <w:szCs w:val="20"/>
              </w:rPr>
            </w:pPr>
            <w:r w:rsidRPr="001E4CFF">
              <w:rPr>
                <w:rFonts w:ascii="Arial" w:hAnsi="Arial" w:cs="Arial"/>
                <w:sz w:val="20"/>
                <w:szCs w:val="20"/>
              </w:rPr>
              <w:t>Web of science</w:t>
            </w:r>
          </w:p>
          <w:p w14:paraId="7460426A" w14:textId="3116E463" w:rsidR="00644B5B" w:rsidRPr="001E4CFF" w:rsidRDefault="00644B5B" w:rsidP="00644B5B">
            <w:pPr>
              <w:rPr>
                <w:rFonts w:ascii="Arial" w:hAnsi="Arial" w:cs="Arial"/>
                <w:sz w:val="20"/>
                <w:szCs w:val="20"/>
              </w:rPr>
            </w:pPr>
            <w:r w:rsidRPr="001E4CFF">
              <w:rPr>
                <w:rFonts w:ascii="Arial" w:hAnsi="Arial" w:cs="Arial"/>
                <w:sz w:val="20"/>
                <w:szCs w:val="20"/>
              </w:rPr>
              <w:t>Scopus</w:t>
            </w:r>
          </w:p>
          <w:p w14:paraId="0ED24FBA" w14:textId="19E69106" w:rsidR="00644B5B" w:rsidRPr="001E4CFF" w:rsidRDefault="00644B5B" w:rsidP="00644B5B">
            <w:pPr>
              <w:rPr>
                <w:rFonts w:ascii="Arial" w:hAnsi="Arial" w:cs="Arial"/>
                <w:b/>
                <w:bCs/>
                <w:sz w:val="20"/>
                <w:szCs w:val="20"/>
              </w:rPr>
            </w:pPr>
            <w:r w:rsidRPr="001E4CFF">
              <w:rPr>
                <w:rFonts w:ascii="Arial" w:hAnsi="Arial" w:cs="Arial"/>
                <w:bCs/>
                <w:sz w:val="20"/>
                <w:szCs w:val="20"/>
              </w:rPr>
              <w:t>EBSCOhost (Academic Search Premier)</w:t>
            </w:r>
          </w:p>
        </w:tc>
      </w:tr>
      <w:tr w:rsidR="00A25D79" w:rsidRPr="001E4CFF" w14:paraId="09B33C3C" w14:textId="77777777" w:rsidTr="000F7810">
        <w:tc>
          <w:tcPr>
            <w:tcW w:w="2972" w:type="dxa"/>
          </w:tcPr>
          <w:p w14:paraId="78AB40A3" w14:textId="77777777" w:rsidR="00A25D79" w:rsidRPr="001E4CFF" w:rsidRDefault="00A25D79" w:rsidP="00644B5B">
            <w:pPr>
              <w:rPr>
                <w:rFonts w:ascii="Arial" w:hAnsi="Arial" w:cs="Arial"/>
                <w:b/>
                <w:bCs/>
                <w:sz w:val="20"/>
                <w:szCs w:val="20"/>
              </w:rPr>
            </w:pPr>
            <w:r w:rsidRPr="001E4CFF">
              <w:rPr>
                <w:rFonts w:ascii="Arial" w:hAnsi="Arial" w:cs="Arial"/>
                <w:b/>
                <w:bCs/>
                <w:sz w:val="20"/>
                <w:szCs w:val="20"/>
              </w:rPr>
              <w:t>Methods</w:t>
            </w:r>
          </w:p>
          <w:p w14:paraId="556D5EE9" w14:textId="77777777" w:rsidR="00A25D79" w:rsidRPr="001E4CFF" w:rsidRDefault="00A25D79" w:rsidP="00644B5B">
            <w:pPr>
              <w:rPr>
                <w:rFonts w:ascii="Arial" w:hAnsi="Arial" w:cs="Arial"/>
                <w:b/>
                <w:bCs/>
                <w:sz w:val="20"/>
                <w:szCs w:val="20"/>
              </w:rPr>
            </w:pPr>
          </w:p>
        </w:tc>
        <w:tc>
          <w:tcPr>
            <w:tcW w:w="6044" w:type="dxa"/>
          </w:tcPr>
          <w:p w14:paraId="6F783EB3" w14:textId="77777777" w:rsidR="00A25D79" w:rsidRPr="001E4CFF" w:rsidRDefault="00644B5B" w:rsidP="00644B5B">
            <w:pPr>
              <w:rPr>
                <w:rFonts w:ascii="Arial" w:hAnsi="Arial" w:cs="Arial"/>
                <w:b/>
                <w:bCs/>
                <w:sz w:val="20"/>
                <w:szCs w:val="20"/>
              </w:rPr>
            </w:pPr>
            <w:r w:rsidRPr="001E4CFF">
              <w:rPr>
                <w:rFonts w:ascii="Arial" w:hAnsi="Arial" w:cs="Arial"/>
                <w:b/>
                <w:bCs/>
                <w:sz w:val="20"/>
                <w:szCs w:val="20"/>
              </w:rPr>
              <w:t xml:space="preserve">Database search </w:t>
            </w:r>
          </w:p>
          <w:p w14:paraId="5FDF0442" w14:textId="3BE619DA" w:rsidR="00644B5B" w:rsidRPr="001E4CFF" w:rsidRDefault="00644B5B" w:rsidP="00644B5B">
            <w:pPr>
              <w:rPr>
                <w:rFonts w:ascii="Arial" w:hAnsi="Arial" w:cs="Arial"/>
                <w:b/>
                <w:bCs/>
                <w:sz w:val="20"/>
                <w:szCs w:val="20"/>
              </w:rPr>
            </w:pPr>
            <w:r w:rsidRPr="001E4CFF">
              <w:rPr>
                <w:rFonts w:ascii="Arial" w:hAnsi="Arial" w:cs="Arial"/>
                <w:b/>
                <w:bCs/>
                <w:sz w:val="20"/>
                <w:szCs w:val="20"/>
              </w:rPr>
              <w:t>Manual scanning</w:t>
            </w:r>
          </w:p>
        </w:tc>
      </w:tr>
      <w:tr w:rsidR="000F7810" w:rsidRPr="001E4CFF" w14:paraId="03097009" w14:textId="77777777" w:rsidTr="000F7810">
        <w:tc>
          <w:tcPr>
            <w:tcW w:w="2972" w:type="dxa"/>
          </w:tcPr>
          <w:p w14:paraId="5185BAFC" w14:textId="7A39FB46" w:rsidR="000F7810" w:rsidRPr="001E4CFF" w:rsidRDefault="000F7810" w:rsidP="00644B5B">
            <w:pPr>
              <w:rPr>
                <w:rFonts w:ascii="Arial" w:hAnsi="Arial" w:cs="Arial"/>
                <w:b/>
                <w:bCs/>
                <w:sz w:val="20"/>
                <w:szCs w:val="20"/>
              </w:rPr>
            </w:pPr>
            <w:r w:rsidRPr="001E4CFF">
              <w:rPr>
                <w:rFonts w:ascii="Arial" w:hAnsi="Arial" w:cs="Arial"/>
                <w:b/>
                <w:bCs/>
                <w:sz w:val="20"/>
                <w:szCs w:val="20"/>
              </w:rPr>
              <w:t>Analysis</w:t>
            </w:r>
          </w:p>
        </w:tc>
        <w:tc>
          <w:tcPr>
            <w:tcW w:w="6044" w:type="dxa"/>
          </w:tcPr>
          <w:p w14:paraId="60562361" w14:textId="77777777" w:rsidR="000F7810" w:rsidRPr="001E4CFF" w:rsidRDefault="000F7810" w:rsidP="000F7810">
            <w:pPr>
              <w:jc w:val="both"/>
              <w:rPr>
                <w:rFonts w:ascii="Arial" w:eastAsia="Arial" w:hAnsi="Arial" w:cs="Arial"/>
                <w:color w:val="000000"/>
                <w:sz w:val="20"/>
                <w:szCs w:val="20"/>
              </w:rPr>
            </w:pPr>
            <w:r w:rsidRPr="001E4CFF">
              <w:rPr>
                <w:rFonts w:ascii="Arial" w:eastAsia="Arial" w:hAnsi="Arial" w:cs="Arial"/>
                <w:color w:val="000000"/>
                <w:sz w:val="20"/>
                <w:szCs w:val="20"/>
              </w:rPr>
              <w:t>A database of bibliographic references, authors' names, article title, year of publication, country of focus, type of article and governance challenges were created in Microsoft excel</w:t>
            </w:r>
          </w:p>
          <w:p w14:paraId="0DC6CAAE" w14:textId="6B0CAD02" w:rsidR="000F7810" w:rsidRPr="001E4CFF" w:rsidRDefault="000F7810" w:rsidP="000F7810">
            <w:pPr>
              <w:jc w:val="both"/>
              <w:rPr>
                <w:rFonts w:ascii="Arial" w:eastAsia="Arial" w:hAnsi="Arial" w:cs="Arial"/>
                <w:color w:val="000000"/>
                <w:sz w:val="20"/>
                <w:szCs w:val="20"/>
              </w:rPr>
            </w:pPr>
            <w:r w:rsidRPr="001E4CFF">
              <w:rPr>
                <w:rFonts w:ascii="Arial" w:eastAsia="Arial" w:hAnsi="Arial" w:cs="Arial"/>
                <w:color w:val="000000"/>
                <w:sz w:val="20"/>
                <w:szCs w:val="20"/>
              </w:rPr>
              <w:t xml:space="preserve"> </w:t>
            </w:r>
          </w:p>
          <w:p w14:paraId="01C9B148" w14:textId="18D7D187" w:rsidR="000F7810" w:rsidRPr="001E4CFF" w:rsidRDefault="000F7810" w:rsidP="000F7810">
            <w:pPr>
              <w:jc w:val="both"/>
              <w:rPr>
                <w:rFonts w:ascii="Arial" w:eastAsia="Arial" w:hAnsi="Arial" w:cs="Arial"/>
                <w:color w:val="000000"/>
                <w:sz w:val="20"/>
                <w:szCs w:val="20"/>
              </w:rPr>
            </w:pPr>
            <w:r w:rsidRPr="001E4CFF">
              <w:rPr>
                <w:rFonts w:ascii="Arial" w:eastAsia="Arial" w:hAnsi="Arial" w:cs="Arial"/>
                <w:color w:val="000000"/>
                <w:sz w:val="20"/>
                <w:szCs w:val="20"/>
              </w:rPr>
              <w:t xml:space="preserve">To explore the broad characterisation of the studies selected, the papers' content was manually analysed based on the date of publication, location of research, overall article approach (case study or literature review), the scale of analysis, and the natural resource sector. </w:t>
            </w:r>
          </w:p>
          <w:p w14:paraId="4B3C31EF" w14:textId="77777777" w:rsidR="000F7810" w:rsidRPr="001E4CFF" w:rsidRDefault="000F7810" w:rsidP="000F7810">
            <w:pPr>
              <w:jc w:val="both"/>
              <w:rPr>
                <w:rFonts w:ascii="Arial" w:eastAsia="Arial" w:hAnsi="Arial" w:cs="Arial"/>
                <w:color w:val="000000"/>
                <w:sz w:val="20"/>
                <w:szCs w:val="20"/>
              </w:rPr>
            </w:pPr>
          </w:p>
          <w:p w14:paraId="60B3DA54" w14:textId="77777777" w:rsidR="000F7810" w:rsidRPr="001E4CFF" w:rsidRDefault="000F7810" w:rsidP="000F7810">
            <w:pPr>
              <w:jc w:val="both"/>
              <w:rPr>
                <w:rFonts w:ascii="Arial" w:eastAsia="Arial" w:hAnsi="Arial" w:cs="Arial"/>
                <w:color w:val="000000"/>
                <w:sz w:val="20"/>
                <w:szCs w:val="20"/>
              </w:rPr>
            </w:pPr>
            <w:r w:rsidRPr="001E4CFF">
              <w:rPr>
                <w:rFonts w:ascii="Arial" w:eastAsia="Arial" w:hAnsi="Arial" w:cs="Arial"/>
                <w:color w:val="000000"/>
                <w:sz w:val="20"/>
                <w:szCs w:val="20"/>
              </w:rPr>
              <w:t xml:space="preserve">Descriptive analysis was carried out using Microsoft Excel. We used open coding to explore the dominant concepts or conceptual insights within the database. Analytical notes were written alongside each article to identify concepts/themes discussed (e.g., adaptive governance, polycentricity or stewardship).  </w:t>
            </w:r>
          </w:p>
          <w:p w14:paraId="169BBDAA" w14:textId="77777777" w:rsidR="000F7810" w:rsidRPr="001E4CFF" w:rsidRDefault="000F7810" w:rsidP="000F7810">
            <w:pPr>
              <w:jc w:val="both"/>
              <w:rPr>
                <w:rFonts w:ascii="Arial" w:eastAsia="Arial" w:hAnsi="Arial" w:cs="Arial"/>
                <w:color w:val="000000"/>
                <w:sz w:val="20"/>
                <w:szCs w:val="20"/>
              </w:rPr>
            </w:pPr>
          </w:p>
          <w:p w14:paraId="46AD845C" w14:textId="06F6DEF9" w:rsidR="000F7810" w:rsidRPr="001E4CFF" w:rsidRDefault="000F7810" w:rsidP="000F7810">
            <w:pPr>
              <w:jc w:val="both"/>
              <w:rPr>
                <w:rFonts w:ascii="Arial" w:eastAsia="Arial" w:hAnsi="Arial" w:cs="Arial"/>
                <w:color w:val="000000"/>
                <w:sz w:val="20"/>
                <w:szCs w:val="20"/>
              </w:rPr>
            </w:pPr>
            <w:r w:rsidRPr="001E4CFF">
              <w:rPr>
                <w:rFonts w:ascii="Arial" w:eastAsia="Arial" w:hAnsi="Arial" w:cs="Arial"/>
                <w:color w:val="000000"/>
                <w:sz w:val="20"/>
                <w:szCs w:val="20"/>
              </w:rPr>
              <w:t xml:space="preserve">To identify governance challenges, textual data (results section) were manually coded based on the governance attributes described in Table 1. Manual coding involved identifying words, sentences or phrases relating to governance challenges. This process resulted in the emergence of analytical notes that identified the presents or absents of governance challenges (Appendix S3-S6). The coded data for each article was then </w:t>
            </w:r>
            <w:r w:rsidRPr="001E4CFF">
              <w:rPr>
                <w:rFonts w:ascii="Arial" w:eastAsia="Arial" w:hAnsi="Arial" w:cs="Arial"/>
                <w:color w:val="000000"/>
                <w:sz w:val="20"/>
                <w:szCs w:val="20"/>
              </w:rPr>
              <w:lastRenderedPageBreak/>
              <w:t xml:space="preserve">categorised based on the four main objectives of environmental governance </w:t>
            </w:r>
          </w:p>
          <w:p w14:paraId="7E336529" w14:textId="77777777" w:rsidR="000F7810" w:rsidRPr="001E4CFF" w:rsidRDefault="000F7810" w:rsidP="000F7810">
            <w:pPr>
              <w:jc w:val="both"/>
              <w:rPr>
                <w:rFonts w:ascii="Arial" w:eastAsia="Arial" w:hAnsi="Arial" w:cs="Arial"/>
                <w:color w:val="000000"/>
                <w:sz w:val="20"/>
                <w:szCs w:val="20"/>
              </w:rPr>
            </w:pPr>
          </w:p>
          <w:p w14:paraId="34FBC2A3" w14:textId="09BBA19B" w:rsidR="000F7810" w:rsidRPr="001E4CFF" w:rsidRDefault="000F7810" w:rsidP="000F7810">
            <w:pPr>
              <w:jc w:val="both"/>
              <w:rPr>
                <w:rFonts w:ascii="Arial" w:eastAsia="Arial" w:hAnsi="Arial" w:cs="Arial"/>
                <w:color w:val="000000"/>
                <w:sz w:val="20"/>
                <w:szCs w:val="20"/>
              </w:rPr>
            </w:pPr>
            <w:r w:rsidRPr="001E4CFF">
              <w:rPr>
                <w:rFonts w:ascii="Arial" w:eastAsia="Arial" w:hAnsi="Arial" w:cs="Arial"/>
                <w:color w:val="000000"/>
                <w:sz w:val="20"/>
                <w:szCs w:val="20"/>
              </w:rPr>
              <w:t>Some of the articles mentioned or identified more than one challenge; therefore, this means one paper could be sorted into two different categories. The categorises were iteratively revised to reflect the presents and absents of governance challenges.</w:t>
            </w:r>
          </w:p>
          <w:p w14:paraId="12633588" w14:textId="77777777" w:rsidR="000F7810" w:rsidRPr="001E4CFF" w:rsidRDefault="000F7810" w:rsidP="00644B5B">
            <w:pPr>
              <w:rPr>
                <w:rFonts w:ascii="Arial" w:hAnsi="Arial" w:cs="Arial"/>
                <w:b/>
                <w:bCs/>
                <w:sz w:val="20"/>
                <w:szCs w:val="20"/>
              </w:rPr>
            </w:pPr>
          </w:p>
        </w:tc>
      </w:tr>
    </w:tbl>
    <w:p w14:paraId="7096D99A" w14:textId="77777777" w:rsidR="006D6325" w:rsidRPr="001E4CFF" w:rsidRDefault="006D6325" w:rsidP="00FB5115">
      <w:pPr>
        <w:rPr>
          <w:rFonts w:ascii="Arial" w:hAnsi="Arial" w:cs="Arial"/>
          <w:b/>
          <w:bCs/>
          <w:color w:val="FF0000"/>
          <w:sz w:val="20"/>
          <w:szCs w:val="20"/>
        </w:rPr>
      </w:pPr>
    </w:p>
    <w:sectPr w:rsidR="006D6325" w:rsidRPr="001E4CFF" w:rsidSect="00F82166">
      <w:pgSz w:w="11906" w:h="16838"/>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26"/>
    <w:multiLevelType w:val="hybridMultilevel"/>
    <w:tmpl w:val="F780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92C4C"/>
    <w:multiLevelType w:val="hybridMultilevel"/>
    <w:tmpl w:val="4C9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A1911"/>
    <w:multiLevelType w:val="hybridMultilevel"/>
    <w:tmpl w:val="64E6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456C4"/>
    <w:multiLevelType w:val="hybridMultilevel"/>
    <w:tmpl w:val="DDDC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A1F93"/>
    <w:multiLevelType w:val="hybridMultilevel"/>
    <w:tmpl w:val="3A58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30060"/>
    <w:multiLevelType w:val="hybridMultilevel"/>
    <w:tmpl w:val="069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E7E57"/>
    <w:multiLevelType w:val="hybridMultilevel"/>
    <w:tmpl w:val="49EE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807DE"/>
    <w:multiLevelType w:val="hybridMultilevel"/>
    <w:tmpl w:val="187E0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68632F"/>
    <w:multiLevelType w:val="hybridMultilevel"/>
    <w:tmpl w:val="9CCE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379E9"/>
    <w:multiLevelType w:val="hybridMultilevel"/>
    <w:tmpl w:val="538C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63C72"/>
    <w:multiLevelType w:val="hybridMultilevel"/>
    <w:tmpl w:val="D742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5"/>
  </w:num>
  <w:num w:numId="6">
    <w:abstractNumId w:val="10"/>
  </w:num>
  <w:num w:numId="7">
    <w:abstractNumId w:val="9"/>
  </w:num>
  <w:num w:numId="8">
    <w:abstractNumId w:val="7"/>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02"/>
    <w:rsid w:val="00004A3D"/>
    <w:rsid w:val="000E2F9F"/>
    <w:rsid w:val="000E4B1D"/>
    <w:rsid w:val="000F7810"/>
    <w:rsid w:val="00143897"/>
    <w:rsid w:val="001A41D1"/>
    <w:rsid w:val="001E4CFF"/>
    <w:rsid w:val="0026188F"/>
    <w:rsid w:val="002A5C86"/>
    <w:rsid w:val="002D1410"/>
    <w:rsid w:val="003C6BAC"/>
    <w:rsid w:val="0040698F"/>
    <w:rsid w:val="00441BC4"/>
    <w:rsid w:val="00461C3F"/>
    <w:rsid w:val="0047685C"/>
    <w:rsid w:val="00540DB6"/>
    <w:rsid w:val="00566AC8"/>
    <w:rsid w:val="0059362A"/>
    <w:rsid w:val="005B2E69"/>
    <w:rsid w:val="00625FDD"/>
    <w:rsid w:val="0064194C"/>
    <w:rsid w:val="00644B5B"/>
    <w:rsid w:val="006459A6"/>
    <w:rsid w:val="006823E8"/>
    <w:rsid w:val="006D6325"/>
    <w:rsid w:val="007225A2"/>
    <w:rsid w:val="00735760"/>
    <w:rsid w:val="00763F42"/>
    <w:rsid w:val="00777C5B"/>
    <w:rsid w:val="00777F09"/>
    <w:rsid w:val="007F1D32"/>
    <w:rsid w:val="0080109F"/>
    <w:rsid w:val="0081056C"/>
    <w:rsid w:val="008453ED"/>
    <w:rsid w:val="009A65B5"/>
    <w:rsid w:val="00A23419"/>
    <w:rsid w:val="00A25D79"/>
    <w:rsid w:val="00A37609"/>
    <w:rsid w:val="00A900E3"/>
    <w:rsid w:val="00B01886"/>
    <w:rsid w:val="00B27C5A"/>
    <w:rsid w:val="00B61341"/>
    <w:rsid w:val="00BA7FDB"/>
    <w:rsid w:val="00C2275E"/>
    <w:rsid w:val="00C90813"/>
    <w:rsid w:val="00CC09AC"/>
    <w:rsid w:val="00CD01C3"/>
    <w:rsid w:val="00DD247B"/>
    <w:rsid w:val="00DF3002"/>
    <w:rsid w:val="00DF6B03"/>
    <w:rsid w:val="00E1449C"/>
    <w:rsid w:val="00E73EDF"/>
    <w:rsid w:val="00E8195E"/>
    <w:rsid w:val="00EC7CDE"/>
    <w:rsid w:val="00F530D8"/>
    <w:rsid w:val="00F82166"/>
    <w:rsid w:val="00F84E3F"/>
    <w:rsid w:val="00FA0B8D"/>
    <w:rsid w:val="00FB5115"/>
    <w:rsid w:val="00FD124B"/>
    <w:rsid w:val="00FE2600"/>
    <w:rsid w:val="00FE706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DF17"/>
  <w15:chartTrackingRefBased/>
  <w15:docId w15:val="{0B9E7E28-5E66-6E49-904A-16FF742D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3F"/>
    <w:rPr>
      <w:rFonts w:ascii="Times New Roman" w:eastAsia="Times New Roman" w:hAnsi="Times New Roman" w:cs="Times New Roman"/>
      <w:lang w:eastAsia="en-GB"/>
    </w:rPr>
  </w:style>
  <w:style w:type="paragraph" w:styleId="Heading1">
    <w:name w:val="heading 1"/>
    <w:basedOn w:val="Normal"/>
    <w:link w:val="Heading1Char"/>
    <w:uiPriority w:val="9"/>
    <w:qFormat/>
    <w:rsid w:val="008453E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453ED"/>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5A"/>
    <w:pPr>
      <w:ind w:left="720"/>
      <w:contextualSpacing/>
    </w:pPr>
    <w:rPr>
      <w:rFonts w:ascii="Arial" w:eastAsiaTheme="minorHAnsi" w:hAnsi="Arial" w:cs="Arial"/>
      <w:lang w:val="en-GB" w:eastAsia="en-US"/>
    </w:rPr>
  </w:style>
  <w:style w:type="character" w:styleId="CommentReference">
    <w:name w:val="annotation reference"/>
    <w:basedOn w:val="DefaultParagraphFont"/>
    <w:uiPriority w:val="99"/>
    <w:semiHidden/>
    <w:unhideWhenUsed/>
    <w:rsid w:val="00441BC4"/>
    <w:rPr>
      <w:sz w:val="16"/>
      <w:szCs w:val="16"/>
    </w:rPr>
  </w:style>
  <w:style w:type="paragraph" w:styleId="CommentText">
    <w:name w:val="annotation text"/>
    <w:basedOn w:val="Normal"/>
    <w:link w:val="CommentTextChar"/>
    <w:uiPriority w:val="99"/>
    <w:semiHidden/>
    <w:unhideWhenUsed/>
    <w:rsid w:val="00441BC4"/>
    <w:rPr>
      <w:rFonts w:ascii="Arial" w:eastAsiaTheme="minorHAnsi" w:hAnsi="Arial" w:cs="Arial"/>
      <w:sz w:val="20"/>
      <w:szCs w:val="20"/>
      <w:lang w:val="en-GB" w:eastAsia="en-US"/>
    </w:rPr>
  </w:style>
  <w:style w:type="character" w:customStyle="1" w:styleId="CommentTextChar">
    <w:name w:val="Comment Text Char"/>
    <w:basedOn w:val="DefaultParagraphFont"/>
    <w:link w:val="CommentText"/>
    <w:uiPriority w:val="99"/>
    <w:semiHidden/>
    <w:rsid w:val="00441BC4"/>
    <w:rPr>
      <w:sz w:val="20"/>
      <w:szCs w:val="20"/>
      <w:lang w:val="en-GB"/>
    </w:rPr>
  </w:style>
  <w:style w:type="paragraph" w:styleId="CommentSubject">
    <w:name w:val="annotation subject"/>
    <w:basedOn w:val="CommentText"/>
    <w:next w:val="CommentText"/>
    <w:link w:val="CommentSubjectChar"/>
    <w:uiPriority w:val="99"/>
    <w:semiHidden/>
    <w:unhideWhenUsed/>
    <w:rsid w:val="00441BC4"/>
    <w:rPr>
      <w:b/>
      <w:bCs/>
    </w:rPr>
  </w:style>
  <w:style w:type="character" w:customStyle="1" w:styleId="CommentSubjectChar">
    <w:name w:val="Comment Subject Char"/>
    <w:basedOn w:val="CommentTextChar"/>
    <w:link w:val="CommentSubject"/>
    <w:uiPriority w:val="99"/>
    <w:semiHidden/>
    <w:rsid w:val="00441BC4"/>
    <w:rPr>
      <w:b/>
      <w:bCs/>
      <w:sz w:val="20"/>
      <w:szCs w:val="20"/>
      <w:lang w:val="en-GB"/>
    </w:rPr>
  </w:style>
  <w:style w:type="paragraph" w:styleId="Bibliography">
    <w:name w:val="Bibliography"/>
    <w:basedOn w:val="Normal"/>
    <w:next w:val="Normal"/>
    <w:uiPriority w:val="37"/>
    <w:unhideWhenUsed/>
    <w:rsid w:val="00DD247B"/>
    <w:pPr>
      <w:ind w:left="720" w:hanging="720"/>
    </w:pPr>
    <w:rPr>
      <w:rFonts w:ascii="Arial" w:eastAsiaTheme="minorHAnsi" w:hAnsi="Arial" w:cs="Arial"/>
      <w:lang w:val="en-GB" w:eastAsia="en-US"/>
    </w:rPr>
  </w:style>
  <w:style w:type="character" w:customStyle="1" w:styleId="Heading1Char">
    <w:name w:val="Heading 1 Char"/>
    <w:basedOn w:val="DefaultParagraphFont"/>
    <w:link w:val="Heading1"/>
    <w:uiPriority w:val="9"/>
    <w:rsid w:val="008453ED"/>
    <w:rPr>
      <w:rFonts w:ascii="Times New Roman" w:eastAsia="Times New Roman" w:hAnsi="Times New Roman" w:cs="Times New Roman"/>
      <w:b/>
      <w:bCs/>
      <w:kern w:val="36"/>
      <w:sz w:val="48"/>
      <w:szCs w:val="48"/>
      <w:lang w:eastAsia="en-GB"/>
    </w:rPr>
  </w:style>
  <w:style w:type="character" w:customStyle="1" w:styleId="resultscount">
    <w:name w:val="resultscount"/>
    <w:basedOn w:val="DefaultParagraphFont"/>
    <w:rsid w:val="008453ED"/>
  </w:style>
  <w:style w:type="character" w:customStyle="1" w:styleId="Heading2Char">
    <w:name w:val="Heading 2 Char"/>
    <w:basedOn w:val="DefaultParagraphFont"/>
    <w:link w:val="Heading2"/>
    <w:uiPriority w:val="9"/>
    <w:rsid w:val="008453ED"/>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461C3F"/>
    <w:rPr>
      <w:color w:val="0000FF"/>
      <w:u w:val="single"/>
    </w:rPr>
  </w:style>
  <w:style w:type="paragraph" w:customStyle="1" w:styleId="Correspondencedetails">
    <w:name w:val="Correspondence details"/>
    <w:basedOn w:val="Normal"/>
    <w:qFormat/>
    <w:rsid w:val="00566AC8"/>
    <w:pPr>
      <w:spacing w:before="240" w:line="360" w:lineRule="auto"/>
    </w:pPr>
    <w:rPr>
      <w:lang w:val="en-GB"/>
    </w:rPr>
  </w:style>
  <w:style w:type="character" w:styleId="UnresolvedMention">
    <w:name w:val="Unresolved Mention"/>
    <w:basedOn w:val="DefaultParagraphFont"/>
    <w:uiPriority w:val="99"/>
    <w:semiHidden/>
    <w:unhideWhenUsed/>
    <w:rsid w:val="00F84E3F"/>
    <w:rPr>
      <w:color w:val="605E5C"/>
      <w:shd w:val="clear" w:color="auto" w:fill="E1DFDD"/>
    </w:rPr>
  </w:style>
  <w:style w:type="character" w:styleId="FollowedHyperlink">
    <w:name w:val="FollowedHyperlink"/>
    <w:basedOn w:val="DefaultParagraphFont"/>
    <w:uiPriority w:val="99"/>
    <w:semiHidden/>
    <w:unhideWhenUsed/>
    <w:rsid w:val="00F84E3F"/>
    <w:rPr>
      <w:color w:val="954F72" w:themeColor="followedHyperlink"/>
      <w:u w:val="single"/>
    </w:rPr>
  </w:style>
  <w:style w:type="character" w:styleId="Strong">
    <w:name w:val="Strong"/>
    <w:basedOn w:val="DefaultParagraphFont"/>
    <w:uiPriority w:val="22"/>
    <w:qFormat/>
    <w:rsid w:val="00B61341"/>
    <w:rPr>
      <w:b/>
      <w:bCs/>
    </w:rPr>
  </w:style>
  <w:style w:type="table" w:styleId="TableGrid">
    <w:name w:val="Table Grid"/>
    <w:basedOn w:val="TableNormal"/>
    <w:uiPriority w:val="39"/>
    <w:rsid w:val="00A25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44B5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224">
      <w:bodyDiv w:val="1"/>
      <w:marLeft w:val="0"/>
      <w:marRight w:val="0"/>
      <w:marTop w:val="0"/>
      <w:marBottom w:val="0"/>
      <w:divBdr>
        <w:top w:val="none" w:sz="0" w:space="0" w:color="auto"/>
        <w:left w:val="none" w:sz="0" w:space="0" w:color="auto"/>
        <w:bottom w:val="none" w:sz="0" w:space="0" w:color="auto"/>
        <w:right w:val="none" w:sz="0" w:space="0" w:color="auto"/>
      </w:divBdr>
    </w:div>
    <w:div w:id="195895537">
      <w:bodyDiv w:val="1"/>
      <w:marLeft w:val="0"/>
      <w:marRight w:val="0"/>
      <w:marTop w:val="0"/>
      <w:marBottom w:val="0"/>
      <w:divBdr>
        <w:top w:val="none" w:sz="0" w:space="0" w:color="auto"/>
        <w:left w:val="none" w:sz="0" w:space="0" w:color="auto"/>
        <w:bottom w:val="none" w:sz="0" w:space="0" w:color="auto"/>
        <w:right w:val="none" w:sz="0" w:space="0" w:color="auto"/>
      </w:divBdr>
      <w:divsChild>
        <w:div w:id="781068005">
          <w:marLeft w:val="0"/>
          <w:marRight w:val="0"/>
          <w:marTop w:val="0"/>
          <w:marBottom w:val="0"/>
          <w:divBdr>
            <w:top w:val="none" w:sz="0" w:space="0" w:color="auto"/>
            <w:left w:val="none" w:sz="0" w:space="0" w:color="auto"/>
            <w:bottom w:val="none" w:sz="0" w:space="0" w:color="auto"/>
            <w:right w:val="none" w:sz="0" w:space="0" w:color="auto"/>
          </w:divBdr>
        </w:div>
        <w:div w:id="1133713543">
          <w:marLeft w:val="0"/>
          <w:marRight w:val="0"/>
          <w:marTop w:val="0"/>
          <w:marBottom w:val="0"/>
          <w:divBdr>
            <w:top w:val="none" w:sz="0" w:space="0" w:color="auto"/>
            <w:left w:val="none" w:sz="0" w:space="0" w:color="auto"/>
            <w:bottom w:val="none" w:sz="0" w:space="0" w:color="auto"/>
            <w:right w:val="none" w:sz="0" w:space="0" w:color="auto"/>
          </w:divBdr>
        </w:div>
      </w:divsChild>
    </w:div>
    <w:div w:id="581061553">
      <w:bodyDiv w:val="1"/>
      <w:marLeft w:val="0"/>
      <w:marRight w:val="0"/>
      <w:marTop w:val="0"/>
      <w:marBottom w:val="0"/>
      <w:divBdr>
        <w:top w:val="none" w:sz="0" w:space="0" w:color="auto"/>
        <w:left w:val="none" w:sz="0" w:space="0" w:color="auto"/>
        <w:bottom w:val="none" w:sz="0" w:space="0" w:color="auto"/>
        <w:right w:val="none" w:sz="0" w:space="0" w:color="auto"/>
      </w:divBdr>
    </w:div>
    <w:div w:id="595943398">
      <w:bodyDiv w:val="1"/>
      <w:marLeft w:val="0"/>
      <w:marRight w:val="0"/>
      <w:marTop w:val="0"/>
      <w:marBottom w:val="0"/>
      <w:divBdr>
        <w:top w:val="none" w:sz="0" w:space="0" w:color="auto"/>
        <w:left w:val="none" w:sz="0" w:space="0" w:color="auto"/>
        <w:bottom w:val="none" w:sz="0" w:space="0" w:color="auto"/>
        <w:right w:val="none" w:sz="0" w:space="0" w:color="auto"/>
      </w:divBdr>
    </w:div>
    <w:div w:id="948198867">
      <w:bodyDiv w:val="1"/>
      <w:marLeft w:val="0"/>
      <w:marRight w:val="0"/>
      <w:marTop w:val="0"/>
      <w:marBottom w:val="0"/>
      <w:divBdr>
        <w:top w:val="none" w:sz="0" w:space="0" w:color="auto"/>
        <w:left w:val="none" w:sz="0" w:space="0" w:color="auto"/>
        <w:bottom w:val="none" w:sz="0" w:space="0" w:color="auto"/>
        <w:right w:val="none" w:sz="0" w:space="0" w:color="auto"/>
      </w:divBdr>
    </w:div>
    <w:div w:id="1331374321">
      <w:bodyDiv w:val="1"/>
      <w:marLeft w:val="0"/>
      <w:marRight w:val="0"/>
      <w:marTop w:val="0"/>
      <w:marBottom w:val="0"/>
      <w:divBdr>
        <w:top w:val="none" w:sz="0" w:space="0" w:color="auto"/>
        <w:left w:val="none" w:sz="0" w:space="0" w:color="auto"/>
        <w:bottom w:val="none" w:sz="0" w:space="0" w:color="auto"/>
        <w:right w:val="none" w:sz="0" w:space="0" w:color="auto"/>
      </w:divBdr>
    </w:div>
    <w:div w:id="1338850912">
      <w:bodyDiv w:val="1"/>
      <w:marLeft w:val="0"/>
      <w:marRight w:val="0"/>
      <w:marTop w:val="0"/>
      <w:marBottom w:val="0"/>
      <w:divBdr>
        <w:top w:val="none" w:sz="0" w:space="0" w:color="auto"/>
        <w:left w:val="none" w:sz="0" w:space="0" w:color="auto"/>
        <w:bottom w:val="none" w:sz="0" w:space="0" w:color="auto"/>
        <w:right w:val="none" w:sz="0" w:space="0" w:color="auto"/>
      </w:divBdr>
    </w:div>
    <w:div w:id="1420103195">
      <w:bodyDiv w:val="1"/>
      <w:marLeft w:val="0"/>
      <w:marRight w:val="0"/>
      <w:marTop w:val="0"/>
      <w:marBottom w:val="0"/>
      <w:divBdr>
        <w:top w:val="none" w:sz="0" w:space="0" w:color="auto"/>
        <w:left w:val="none" w:sz="0" w:space="0" w:color="auto"/>
        <w:bottom w:val="none" w:sz="0" w:space="0" w:color="auto"/>
        <w:right w:val="none" w:sz="0" w:space="0" w:color="auto"/>
      </w:divBdr>
    </w:div>
    <w:div w:id="1426608616">
      <w:bodyDiv w:val="1"/>
      <w:marLeft w:val="0"/>
      <w:marRight w:val="0"/>
      <w:marTop w:val="0"/>
      <w:marBottom w:val="0"/>
      <w:divBdr>
        <w:top w:val="none" w:sz="0" w:space="0" w:color="auto"/>
        <w:left w:val="none" w:sz="0" w:space="0" w:color="auto"/>
        <w:bottom w:val="none" w:sz="0" w:space="0" w:color="auto"/>
        <w:right w:val="none" w:sz="0" w:space="0" w:color="auto"/>
      </w:divBdr>
    </w:div>
    <w:div w:id="1435200099">
      <w:bodyDiv w:val="1"/>
      <w:marLeft w:val="0"/>
      <w:marRight w:val="0"/>
      <w:marTop w:val="0"/>
      <w:marBottom w:val="0"/>
      <w:divBdr>
        <w:top w:val="none" w:sz="0" w:space="0" w:color="auto"/>
        <w:left w:val="none" w:sz="0" w:space="0" w:color="auto"/>
        <w:bottom w:val="none" w:sz="0" w:space="0" w:color="auto"/>
        <w:right w:val="none" w:sz="0" w:space="0" w:color="auto"/>
      </w:divBdr>
    </w:div>
    <w:div w:id="1501771535">
      <w:bodyDiv w:val="1"/>
      <w:marLeft w:val="0"/>
      <w:marRight w:val="0"/>
      <w:marTop w:val="0"/>
      <w:marBottom w:val="0"/>
      <w:divBdr>
        <w:top w:val="none" w:sz="0" w:space="0" w:color="auto"/>
        <w:left w:val="none" w:sz="0" w:space="0" w:color="auto"/>
        <w:bottom w:val="none" w:sz="0" w:space="0" w:color="auto"/>
        <w:right w:val="none" w:sz="0" w:space="0" w:color="auto"/>
      </w:divBdr>
    </w:div>
    <w:div w:id="1505362371">
      <w:bodyDiv w:val="1"/>
      <w:marLeft w:val="0"/>
      <w:marRight w:val="0"/>
      <w:marTop w:val="0"/>
      <w:marBottom w:val="0"/>
      <w:divBdr>
        <w:top w:val="none" w:sz="0" w:space="0" w:color="auto"/>
        <w:left w:val="none" w:sz="0" w:space="0" w:color="auto"/>
        <w:bottom w:val="none" w:sz="0" w:space="0" w:color="auto"/>
        <w:right w:val="none" w:sz="0" w:space="0" w:color="auto"/>
      </w:divBdr>
    </w:div>
    <w:div w:id="1608583445">
      <w:bodyDiv w:val="1"/>
      <w:marLeft w:val="0"/>
      <w:marRight w:val="0"/>
      <w:marTop w:val="0"/>
      <w:marBottom w:val="0"/>
      <w:divBdr>
        <w:top w:val="none" w:sz="0" w:space="0" w:color="auto"/>
        <w:left w:val="none" w:sz="0" w:space="0" w:color="auto"/>
        <w:bottom w:val="none" w:sz="0" w:space="0" w:color="auto"/>
        <w:right w:val="none" w:sz="0" w:space="0" w:color="auto"/>
      </w:divBdr>
    </w:div>
    <w:div w:id="1612274945">
      <w:bodyDiv w:val="1"/>
      <w:marLeft w:val="0"/>
      <w:marRight w:val="0"/>
      <w:marTop w:val="0"/>
      <w:marBottom w:val="0"/>
      <w:divBdr>
        <w:top w:val="none" w:sz="0" w:space="0" w:color="auto"/>
        <w:left w:val="none" w:sz="0" w:space="0" w:color="auto"/>
        <w:bottom w:val="none" w:sz="0" w:space="0" w:color="auto"/>
        <w:right w:val="none" w:sz="0" w:space="0" w:color="auto"/>
      </w:divBdr>
    </w:div>
    <w:div w:id="1653488441">
      <w:bodyDiv w:val="1"/>
      <w:marLeft w:val="0"/>
      <w:marRight w:val="0"/>
      <w:marTop w:val="0"/>
      <w:marBottom w:val="0"/>
      <w:divBdr>
        <w:top w:val="none" w:sz="0" w:space="0" w:color="auto"/>
        <w:left w:val="none" w:sz="0" w:space="0" w:color="auto"/>
        <w:bottom w:val="none" w:sz="0" w:space="0" w:color="auto"/>
        <w:right w:val="none" w:sz="0" w:space="0" w:color="auto"/>
      </w:divBdr>
    </w:div>
    <w:div w:id="1962376847">
      <w:bodyDiv w:val="1"/>
      <w:marLeft w:val="0"/>
      <w:marRight w:val="0"/>
      <w:marTop w:val="0"/>
      <w:marBottom w:val="0"/>
      <w:divBdr>
        <w:top w:val="none" w:sz="0" w:space="0" w:color="auto"/>
        <w:left w:val="none" w:sz="0" w:space="0" w:color="auto"/>
        <w:bottom w:val="none" w:sz="0" w:space="0" w:color="auto"/>
        <w:right w:val="none" w:sz="0" w:space="0" w:color="auto"/>
      </w:divBdr>
    </w:div>
    <w:div w:id="1975594616">
      <w:bodyDiv w:val="1"/>
      <w:marLeft w:val="0"/>
      <w:marRight w:val="0"/>
      <w:marTop w:val="0"/>
      <w:marBottom w:val="0"/>
      <w:divBdr>
        <w:top w:val="none" w:sz="0" w:space="0" w:color="auto"/>
        <w:left w:val="none" w:sz="0" w:space="0" w:color="auto"/>
        <w:bottom w:val="none" w:sz="0" w:space="0" w:color="auto"/>
        <w:right w:val="none" w:sz="0" w:space="0" w:color="auto"/>
      </w:divBdr>
    </w:div>
    <w:div w:id="2060322852">
      <w:bodyDiv w:val="1"/>
      <w:marLeft w:val="0"/>
      <w:marRight w:val="0"/>
      <w:marTop w:val="0"/>
      <w:marBottom w:val="0"/>
      <w:divBdr>
        <w:top w:val="none" w:sz="0" w:space="0" w:color="auto"/>
        <w:left w:val="none" w:sz="0" w:space="0" w:color="auto"/>
        <w:bottom w:val="none" w:sz="0" w:space="0" w:color="auto"/>
        <w:right w:val="none" w:sz="0" w:space="0" w:color="auto"/>
      </w:divBdr>
    </w:div>
    <w:div w:id="20906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Menelisi Falayi</dc:creator>
  <cp:keywords/>
  <dc:description/>
  <cp:lastModifiedBy>Menelisi Falayi</cp:lastModifiedBy>
  <cp:revision>5</cp:revision>
  <dcterms:created xsi:type="dcterms:W3CDTF">2021-09-02T11:31:00Z</dcterms:created>
  <dcterms:modified xsi:type="dcterms:W3CDTF">2021-09-17T14:17:00Z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zotero-version="5.0.96-beta.1+5edad5f70"&gt;&lt;session id="sJAj3sLx"/&gt;&lt;style id="http://www.zotero.org/styles/ecology-and-society"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