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91B6" w14:textId="7CC37A20" w:rsidR="003813C2" w:rsidRDefault="003813C2" w:rsidP="006A1509">
      <w:pPr>
        <w:spacing w:line="360" w:lineRule="auto"/>
        <w:ind w:left="720" w:hanging="720"/>
        <w:rPr>
          <w:rFonts w:ascii="Arial" w:hAnsi="Arial" w:cs="Arial"/>
          <w:color w:val="000000" w:themeColor="text1"/>
        </w:rPr>
      </w:pPr>
      <w:bookmarkStart w:id="0" w:name="_Toc10057597"/>
      <w:r w:rsidRPr="001F3765">
        <w:rPr>
          <w:rFonts w:ascii="Arial" w:hAnsi="Arial" w:cs="Arial"/>
          <w:b/>
          <w:bCs/>
          <w:color w:val="000000" w:themeColor="text1"/>
        </w:rPr>
        <w:t xml:space="preserve">Supplementary Figure </w:t>
      </w:r>
      <w:r w:rsidRPr="003813C2">
        <w:rPr>
          <w:rFonts w:ascii="Arial" w:hAnsi="Arial" w:cs="Arial"/>
          <w:b/>
          <w:bCs/>
          <w:color w:val="FF0000"/>
        </w:rPr>
        <w:t>1</w:t>
      </w:r>
      <w:r w:rsidRPr="001F3765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6A1509" w:rsidRPr="006A1509">
        <w:rPr>
          <w:rFonts w:ascii="Arial" w:hAnsi="Arial" w:cs="Arial"/>
          <w:bCs/>
          <w:color w:val="000000" w:themeColor="text1"/>
        </w:rPr>
        <w:t xml:space="preserve">Richness of invasive alien plant species </w:t>
      </w:r>
      <w:r>
        <w:rPr>
          <w:rFonts w:ascii="Arial" w:hAnsi="Arial" w:cs="Arial"/>
          <w:color w:val="000000" w:themeColor="text1"/>
        </w:rPr>
        <w:t>(IAPS/100m</w:t>
      </w:r>
      <w:r w:rsidRPr="00AA43D8">
        <w:rPr>
          <w:rFonts w:ascii="Arial" w:hAnsi="Arial" w:cs="Arial"/>
          <w:color w:val="000000" w:themeColor="text1"/>
          <w:vertAlign w:val="superscript"/>
        </w:rPr>
        <w:t>2</w:t>
      </w:r>
      <w:r>
        <w:rPr>
          <w:rFonts w:ascii="Arial" w:hAnsi="Arial" w:cs="Arial"/>
          <w:color w:val="000000" w:themeColor="text1"/>
        </w:rPr>
        <w:t>) in each survey plot</w:t>
      </w:r>
      <w:r w:rsidR="006A1509">
        <w:rPr>
          <w:rFonts w:ascii="Arial" w:hAnsi="Arial" w:cs="Arial"/>
          <w:color w:val="000000" w:themeColor="text1"/>
        </w:rPr>
        <w:t xml:space="preserve"> along roadside and in grids</w:t>
      </w:r>
      <w:bookmarkStart w:id="1" w:name="_GoBack"/>
      <w:bookmarkEnd w:id="1"/>
    </w:p>
    <w:p w14:paraId="000AD461" w14:textId="77777777" w:rsidR="003813C2" w:rsidRPr="001F3765" w:rsidRDefault="003813C2" w:rsidP="003813C2"/>
    <w:p w14:paraId="3A8237E0" w14:textId="77777777" w:rsidR="003813C2" w:rsidRDefault="003813C2" w:rsidP="003813C2">
      <w:r>
        <w:rPr>
          <w:noProof/>
        </w:rPr>
        <w:drawing>
          <wp:inline distT="0" distB="0" distL="0" distR="0" wp14:anchorId="76F4B618" wp14:editId="24FAA7B6">
            <wp:extent cx="5727700" cy="4051300"/>
            <wp:effectExtent l="0" t="0" r="0" b="0"/>
            <wp:docPr id="6" name="Picture 6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 IAPS map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4D6A" w14:textId="77777777" w:rsidR="003813C2" w:rsidRDefault="003813C2" w:rsidP="003813C2"/>
    <w:p w14:paraId="46F53D97" w14:textId="77777777" w:rsidR="003813C2" w:rsidRDefault="003813C2" w:rsidP="0045751B">
      <w:pPr>
        <w:pStyle w:val="Caption"/>
        <w:spacing w:line="480" w:lineRule="auto"/>
        <w:ind w:left="810" w:hanging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1D8F7C" w14:textId="77777777" w:rsidR="003813C2" w:rsidRDefault="003813C2" w:rsidP="0045751B">
      <w:pPr>
        <w:pStyle w:val="Caption"/>
        <w:spacing w:line="480" w:lineRule="auto"/>
        <w:ind w:left="810" w:hanging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1645EF" w14:textId="77777777" w:rsidR="003813C2" w:rsidRDefault="003813C2" w:rsidP="0045751B">
      <w:pPr>
        <w:pStyle w:val="Caption"/>
        <w:spacing w:line="480" w:lineRule="auto"/>
        <w:ind w:left="810" w:hanging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85E35F" w14:textId="77777777" w:rsidR="003813C2" w:rsidRDefault="003813C2" w:rsidP="0045751B">
      <w:pPr>
        <w:pStyle w:val="Caption"/>
        <w:spacing w:line="480" w:lineRule="auto"/>
        <w:ind w:left="810" w:hanging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70B5F7" w14:textId="77777777" w:rsidR="003813C2" w:rsidRDefault="003813C2" w:rsidP="0045751B">
      <w:pPr>
        <w:pStyle w:val="Caption"/>
        <w:spacing w:line="480" w:lineRule="auto"/>
        <w:ind w:left="810" w:hanging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018159" w14:textId="77777777" w:rsidR="003813C2" w:rsidRDefault="003813C2" w:rsidP="0045751B">
      <w:pPr>
        <w:pStyle w:val="Caption"/>
        <w:spacing w:line="480" w:lineRule="auto"/>
        <w:ind w:left="810" w:hanging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C0B26" w14:textId="77777777" w:rsidR="003813C2" w:rsidRDefault="003813C2" w:rsidP="0045751B">
      <w:pPr>
        <w:pStyle w:val="Caption"/>
        <w:spacing w:line="480" w:lineRule="auto"/>
        <w:ind w:left="810" w:hanging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D48626" w14:textId="77777777" w:rsidR="003813C2" w:rsidRDefault="003813C2" w:rsidP="0045751B">
      <w:pPr>
        <w:pStyle w:val="Caption"/>
        <w:spacing w:line="480" w:lineRule="auto"/>
        <w:ind w:left="810" w:hanging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62C942" w14:textId="6291D176" w:rsidR="00ED5A77" w:rsidRPr="00D17501" w:rsidRDefault="00ED5A77" w:rsidP="0045751B">
      <w:pPr>
        <w:pStyle w:val="Caption"/>
        <w:spacing w:line="480" w:lineRule="auto"/>
        <w:ind w:left="810" w:hanging="810"/>
        <w:jc w:val="both"/>
        <w:rPr>
          <w:b w:val="0"/>
        </w:rPr>
      </w:pPr>
      <w:r w:rsidRPr="00A24E1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Supplementary </w:t>
      </w:r>
      <w:r w:rsidR="008C58E6" w:rsidRPr="00A24E18">
        <w:rPr>
          <w:rFonts w:ascii="Arial" w:hAnsi="Arial" w:cs="Arial"/>
          <w:color w:val="000000" w:themeColor="text1"/>
          <w:sz w:val="24"/>
          <w:szCs w:val="24"/>
        </w:rPr>
        <w:t>F</w:t>
      </w:r>
      <w:r w:rsidRPr="00A24E18">
        <w:rPr>
          <w:rFonts w:ascii="Arial" w:hAnsi="Arial" w:cs="Arial"/>
          <w:color w:val="000000" w:themeColor="text1"/>
          <w:sz w:val="24"/>
          <w:szCs w:val="24"/>
        </w:rPr>
        <w:t xml:space="preserve">igure </w:t>
      </w:r>
      <w:r w:rsidR="003813C2" w:rsidRPr="003813C2">
        <w:rPr>
          <w:rFonts w:ascii="Arial" w:hAnsi="Arial" w:cs="Arial"/>
          <w:color w:val="FF0000"/>
          <w:sz w:val="24"/>
          <w:szCs w:val="24"/>
        </w:rPr>
        <w:t>2</w:t>
      </w:r>
      <w:r w:rsidRPr="00A24E18">
        <w:rPr>
          <w:rFonts w:ascii="Arial" w:hAnsi="Arial" w:cs="Arial"/>
          <w:color w:val="000000" w:themeColor="text1"/>
          <w:sz w:val="24"/>
          <w:szCs w:val="24"/>
        </w:rPr>
        <w:t>.</w:t>
      </w:r>
      <w:r w:rsidRPr="00D17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Species composition variation between </w:t>
      </w:r>
      <w:r w:rsidR="00D17501" w:rsidRPr="00D17501">
        <w:rPr>
          <w:rFonts w:ascii="Arial" w:hAnsi="Arial" w:cs="Arial"/>
          <w:b w:val="0"/>
          <w:color w:val="000000" w:themeColor="text1"/>
          <w:sz w:val="24"/>
          <w:szCs w:val="24"/>
        </w:rPr>
        <w:t>non-</w:t>
      </w:r>
      <w:r w:rsidRPr="00D17501">
        <w:rPr>
          <w:rFonts w:ascii="Arial" w:hAnsi="Arial" w:cs="Arial"/>
          <w:b w:val="0"/>
          <w:color w:val="000000" w:themeColor="text1"/>
          <w:sz w:val="24"/>
          <w:szCs w:val="24"/>
        </w:rPr>
        <w:t>invaded and invaded plots</w:t>
      </w:r>
      <w:bookmarkEnd w:id="0"/>
      <w:r w:rsidRPr="00D1750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D17501" w:rsidRPr="00D175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The diagram was obtained from Canonical Correspondence Analysis (CCA) considering quadrat type as environmental variable. </w:t>
      </w:r>
      <w:r w:rsidRPr="00D17501">
        <w:rPr>
          <w:rFonts w:ascii="Arial" w:hAnsi="Arial" w:cs="Arial"/>
          <w:b w:val="0"/>
          <w:color w:val="000000" w:themeColor="text1"/>
          <w:sz w:val="24"/>
          <w:szCs w:val="24"/>
        </w:rPr>
        <w:t>The length of the gradient was 4.1621 which was greater than 2.5 s.d. unit, therefore data was analyzed by CCA</w:t>
      </w:r>
      <w:r w:rsidR="00D1750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856E4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Complete names of the species can be found in Supplementary table 1. </w:t>
      </w:r>
    </w:p>
    <w:p w14:paraId="39CF8AEB" w14:textId="77777777" w:rsidR="00ED5A77" w:rsidRDefault="00ED5A77"/>
    <w:p w14:paraId="79C1D66B" w14:textId="6BA5DBF4" w:rsidR="00ED5A77" w:rsidRPr="004B154A" w:rsidRDefault="00A769D1" w:rsidP="00ED5A77">
      <w:pPr>
        <w:pStyle w:val="HTMLPreformatted"/>
        <w:shd w:val="clear" w:color="auto" w:fill="FFFFFF"/>
        <w:wordWrap w:val="0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4F41534" wp14:editId="2577CAA1">
            <wp:extent cx="5727700" cy="3923719"/>
            <wp:effectExtent l="0" t="0" r="0" b="635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2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13E13" w14:textId="77777777" w:rsidR="00ED5A77" w:rsidRDefault="00ED5A77"/>
    <w:p w14:paraId="32873D8A" w14:textId="77777777" w:rsidR="00ED5A77" w:rsidRDefault="00ED5A77"/>
    <w:p w14:paraId="5423F670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02B21656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050F8716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3FBE000E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7714F83C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7A83FA92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3430BF15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4D1F4ED6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45204926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02A315BE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4585D2D2" w14:textId="77777777" w:rsidR="0045751B" w:rsidRDefault="0045751B">
      <w:pPr>
        <w:rPr>
          <w:rFonts w:ascii="Arial" w:hAnsi="Arial" w:cs="Arial"/>
          <w:b/>
          <w:bCs/>
          <w:color w:val="000000" w:themeColor="text1"/>
        </w:rPr>
      </w:pPr>
    </w:p>
    <w:p w14:paraId="79C52EE5" w14:textId="7F22CA41" w:rsidR="00166F50" w:rsidRPr="001863DC" w:rsidRDefault="00166F50" w:rsidP="001863DC">
      <w:pPr>
        <w:spacing w:line="360" w:lineRule="auto"/>
        <w:ind w:left="810" w:hanging="810"/>
        <w:rPr>
          <w:rFonts w:ascii="Arial" w:hAnsi="Arial" w:cs="Arial"/>
        </w:rPr>
      </w:pPr>
      <w:r w:rsidRPr="001863DC">
        <w:rPr>
          <w:rFonts w:ascii="Arial" w:hAnsi="Arial" w:cs="Arial"/>
          <w:b/>
        </w:rPr>
        <w:lastRenderedPageBreak/>
        <w:t>Supplementary table 1.</w:t>
      </w:r>
      <w:r w:rsidRPr="001863DC">
        <w:rPr>
          <w:rFonts w:ascii="Arial" w:hAnsi="Arial" w:cs="Arial"/>
        </w:rPr>
        <w:t xml:space="preserve"> Checklist of species record</w:t>
      </w:r>
      <w:r w:rsidR="0040099F" w:rsidRPr="001863DC">
        <w:rPr>
          <w:rFonts w:ascii="Arial" w:hAnsi="Arial" w:cs="Arial"/>
        </w:rPr>
        <w:t>ed</w:t>
      </w:r>
      <w:r w:rsidRPr="001863DC">
        <w:rPr>
          <w:rFonts w:ascii="Arial" w:hAnsi="Arial" w:cs="Arial"/>
        </w:rPr>
        <w:t xml:space="preserve"> in quadrats sampled for impact assessment. </w:t>
      </w:r>
    </w:p>
    <w:p w14:paraId="1CA50FCA" w14:textId="77777777" w:rsidR="00166F50" w:rsidRPr="001863DC" w:rsidRDefault="00166F50" w:rsidP="00166F50">
      <w:pPr>
        <w:rPr>
          <w:rFonts w:ascii="Arial" w:hAnsi="Arial" w:cs="Arial"/>
        </w:rPr>
      </w:pPr>
    </w:p>
    <w:tbl>
      <w:tblPr>
        <w:tblStyle w:val="TableGrid"/>
        <w:tblW w:w="9957" w:type="dxa"/>
        <w:tblInd w:w="-714" w:type="dxa"/>
        <w:tblLook w:val="04A0" w:firstRow="1" w:lastRow="0" w:firstColumn="1" w:lastColumn="0" w:noHBand="0" w:noVBand="1"/>
      </w:tblPr>
      <w:tblGrid>
        <w:gridCol w:w="651"/>
        <w:gridCol w:w="3059"/>
        <w:gridCol w:w="1952"/>
        <w:gridCol w:w="1670"/>
        <w:gridCol w:w="976"/>
        <w:gridCol w:w="1649"/>
      </w:tblGrid>
      <w:tr w:rsidR="0040099F" w:rsidRPr="001863DC" w14:paraId="7224D66E" w14:textId="77777777" w:rsidTr="0040099F">
        <w:trPr>
          <w:trHeight w:val="320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11713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63DC">
              <w:rPr>
                <w:rFonts w:ascii="Arial" w:hAnsi="Arial" w:cs="Arial"/>
                <w:b/>
                <w:bCs/>
                <w:sz w:val="21"/>
                <w:szCs w:val="21"/>
              </w:rPr>
              <w:t>S.N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319F6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63DC">
              <w:rPr>
                <w:rFonts w:ascii="Arial" w:hAnsi="Arial" w:cs="Arial"/>
                <w:b/>
                <w:bCs/>
                <w:sz w:val="21"/>
                <w:szCs w:val="21"/>
              </w:rPr>
              <w:t>Name of species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BD0A6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63DC">
              <w:rPr>
                <w:rFonts w:ascii="Arial" w:hAnsi="Arial" w:cs="Arial"/>
                <w:b/>
                <w:bCs/>
                <w:sz w:val="21"/>
                <w:szCs w:val="21"/>
              </w:rPr>
              <w:t>Family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4434E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63DC">
              <w:rPr>
                <w:rFonts w:ascii="Arial" w:hAnsi="Arial" w:cs="Arial"/>
                <w:b/>
                <w:bCs/>
                <w:sz w:val="21"/>
                <w:szCs w:val="21"/>
              </w:rPr>
              <w:t>Abbreviation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AD8F6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63DC">
              <w:rPr>
                <w:rFonts w:ascii="Arial" w:hAnsi="Arial" w:cs="Arial"/>
                <w:b/>
                <w:bCs/>
                <w:sz w:val="21"/>
                <w:szCs w:val="21"/>
              </w:rPr>
              <w:t>Life form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6433D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63DC">
              <w:rPr>
                <w:rFonts w:ascii="Arial" w:hAnsi="Arial" w:cs="Arial"/>
                <w:b/>
                <w:bCs/>
                <w:sz w:val="21"/>
                <w:szCs w:val="21"/>
              </w:rPr>
              <w:t>Status</w:t>
            </w:r>
          </w:p>
        </w:tc>
      </w:tr>
      <w:tr w:rsidR="0040099F" w:rsidRPr="001863DC" w14:paraId="24BDDDF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31D65" w14:textId="6C85405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B60A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Adina cordifolia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(Roxb.) Brandis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843B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Rubiaceae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A4A7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Adi.cor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6F37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8212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AFC1EA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84689" w14:textId="1987E9B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6C36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Aegle marmelos </w:t>
            </w:r>
            <w:r w:rsidRPr="001863DC">
              <w:rPr>
                <w:rFonts w:ascii="Arial" w:hAnsi="Arial" w:cs="Arial"/>
                <w:sz w:val="21"/>
                <w:szCs w:val="21"/>
              </w:rPr>
              <w:t>(L.) Correa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2DA6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Rutaceae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24E2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Aeg.mar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E189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26FE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A04A11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1B54E" w14:textId="040E704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53EB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Aerva lanata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Juss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4A47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Amaranthaceae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67225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Aer.lan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DD9E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D020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7C1B666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4A634" w14:textId="7B32B38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D88F13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Ageratum conyzoides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9B443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Asteraceae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493EB0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Age.con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9AC8CF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A7B6C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Invasive</w:t>
            </w:r>
          </w:p>
        </w:tc>
      </w:tr>
      <w:tr w:rsidR="0040099F" w:rsidRPr="001863DC" w14:paraId="2B1712DC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345828" w14:textId="4F47E0F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D26CF2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Ageratum houstonianum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Mill.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4E6A04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Asteraceae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E9EAC5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Age.hou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4741F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BA032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Invasive</w:t>
            </w:r>
          </w:p>
        </w:tc>
      </w:tr>
      <w:tr w:rsidR="0040099F" w:rsidRPr="001863DC" w14:paraId="43103081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3B3DCA" w14:textId="7918D49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BE4D3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Ajuga sp.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A61BB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Lamiaceae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20D4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Aju.sp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52A4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491F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B896BF8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21B03C" w14:textId="48A0555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2D2C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Albizia lebbeck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Benth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DD69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F449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Alb.leb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627F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939C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2E976C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FFCE2D" w14:textId="49F68BC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5805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Ampelocissus latifolia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(Roxb.) Planch.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899D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Vitaceae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19A1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Amp.lat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E1B39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B42B2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6160010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7F7051" w14:textId="125DFCD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47EB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Anisomeles indica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Kuntze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ECBB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Lamiaceae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8ED2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Ani.ind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F300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1AF1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7575594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0D13F9" w14:textId="3ABA3F0A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3E6B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Artemisia vulgaris </w:t>
            </w:r>
            <w:r w:rsidRPr="001863DC">
              <w:rPr>
                <w:rFonts w:ascii="Arial" w:hAnsi="Arial" w:cs="Arial"/>
                <w:sz w:val="21"/>
                <w:szCs w:val="21"/>
              </w:rPr>
              <w:t>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7ABB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Asteraceae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44BA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Art.vul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6FEE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E282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88CE104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B00CE" w14:textId="1611488A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DACA3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Arundinella nepalensis </w:t>
            </w:r>
            <w:r w:rsidRPr="001863DC">
              <w:rPr>
                <w:rFonts w:ascii="Arial" w:hAnsi="Arial" w:cs="Arial"/>
                <w:sz w:val="21"/>
                <w:szCs w:val="21"/>
              </w:rPr>
              <w:t>Trin.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C384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57101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Aru.nep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24E6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78B6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9A3FFB1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A11911" w14:textId="30188AC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B670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Barleria cristata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B9CA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Acanthaceae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5A63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Bar.cri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61C8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1B97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F35934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94E266" w14:textId="3891F54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E264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Bauhinia variegata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ED5E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182B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Bau.var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FB6D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6173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BB6FEA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5F5BF7" w14:textId="527B629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7D86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Bombax ceiba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6318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Malvaceae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5D0E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Box.cei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CA3E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8F8A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509E0F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546423" w14:textId="6282CEE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26088" w14:textId="00B9A71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Bonnaya ciliate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subsp. </w:t>
            </w: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ciliata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DFA0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Linderniaceae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D3AEB" w14:textId="6D4CD76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Bon.cil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8A01D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509E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D47486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791D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2841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Callicarpa arborea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Roxb.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3A14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Lamiaceae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E2E8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Cal.arb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BCAC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031E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EFFABD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271C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507E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Calotropis gigantea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W.T. Aiton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D5D3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Apocynaceae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D223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Cal.gig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5F2F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6D1E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BBF535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11D6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2847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Canscora diffusa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(Vahl) R. Br. ex Roem. &amp; Schult.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F8C1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Gentinaceae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EFCB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Can.dif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0E91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A183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8190E5C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DF3C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DB65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Cassia fistula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9F9E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5173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Cas.fis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976D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0333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8FEAEF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8A94E" w14:textId="23D411E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lastRenderedPageBreak/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3CC8E" w14:textId="7B3D318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Catunaregam spinosa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(Thunb.) Tirveng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B5EC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Rubiaceae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F76B8" w14:textId="75A22A5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Cat.spi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A51C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100F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339E23C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8B0C3B" w14:textId="19BF235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60E663" w14:textId="31E7DCB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Cenchrus americanus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Morrone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32B3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DF994" w14:textId="1A8CC4B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Cen.ame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C94B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2AE6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61C9B71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A90DCF" w14:textId="54BC377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39B42" w14:textId="1B88A84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Chrysopogon acicula</w:t>
            </w:r>
            <w:r w:rsidRPr="001863DC">
              <w:rPr>
                <w:rFonts w:ascii="Arial" w:hAnsi="Arial" w:cs="Arial"/>
                <w:sz w:val="21"/>
                <w:szCs w:val="21"/>
              </w:rPr>
              <w:t>tus (Retz) Trin.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823B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0181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Chr.aci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95C6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A0B9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5882CA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841F3B" w14:textId="53A9CA0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F0AD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Chrysopogon zizanioides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Roberty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F2C2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E86E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Chr.ziz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AFDF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F1FE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10C71884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25B193" w14:textId="33B7F53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A230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Cissampelos pareira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DA59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Menispermaceae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695F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Cis.par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3946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0CFF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7DF313B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43501" w14:textId="3346F8D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231EA" w14:textId="3BDC874D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Clerodendrum infortunatum </w:t>
            </w:r>
            <w:r w:rsidRPr="001863DC">
              <w:rPr>
                <w:rFonts w:ascii="Arial" w:hAnsi="Arial" w:cs="Arial"/>
                <w:sz w:val="21"/>
                <w:szCs w:val="21"/>
              </w:rPr>
              <w:t>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1D3F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Lamiaceae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CC102" w14:textId="163F70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Cle.inf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5384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BD6D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6FEB16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7086F6" w14:textId="44C4992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FF6861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Coccinia grandis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Voigt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835B4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Cucurbitaceae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D527A3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Coc.gra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027FA9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8C4F52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376C904A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E80E56" w14:textId="45357472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ADE4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Colebrookea oppositifolia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Sm.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CEB0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Lamiaceae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16B1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Col.opp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5715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B2F9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E90411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E82CB7" w14:textId="2EC1011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84D6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Combretum roxburghii Spreng.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E825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Combretaceae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A611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Com.rox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AF53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DF44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21BC611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1D391D" w14:textId="3D54D59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4E4D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Conyza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sp.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B63F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Asteraceae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606F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6199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30398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1E82584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8A1B5E" w14:textId="7A928E5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348D0E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Corchorus aestuans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B82D9C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Malvaceae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E87E8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Cor.aes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34BE55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A995E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7C7FDDD5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F4230E" w14:textId="636C92C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18B5C" w14:textId="1ACA306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Cordia grandis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Roxb.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BEF8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Ehretiaceae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1449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Cor.gra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05AC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8221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50B0121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6E37A7" w14:textId="5748969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9E48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Crotalaria prostrata</w:t>
            </w:r>
            <w:r w:rsidRPr="001863DC">
              <w:rPr>
                <w:rFonts w:ascii="Arial" w:hAnsi="Arial" w:cs="Arial"/>
                <w:sz w:val="21"/>
                <w:szCs w:val="21"/>
              </w:rPr>
              <w:t> Willd.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FCC6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082D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Cro.pro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7AD7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6C61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47B2888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372AA1" w14:textId="16C7049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B1B9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Cryptolepis buchananii Schultes ex Roemer and schultes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E0CB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Apocynaceae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A2C9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Cry.buc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E20A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6B71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1705740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CE92D8" w14:textId="6C06E7F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42D1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Curculigo orchioides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Gaertn.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326F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Hypoxidaceae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AE0D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Cur.orc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095C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E24C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07D245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402D6B" w14:textId="5FFEF9C0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B40A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Curcuma aromatica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Salisb.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C3E4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Zingiberaceae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3D198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Cur.aro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A438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DCEA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6AF25DA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E74736" w14:textId="53C02BF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3D24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Cyanotis cristata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 (L.) D. Don.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620B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Commelinaceae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103B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Cya.cri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9308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8180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AD8AE6B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4BFD73" w14:textId="0E638E2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71C2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Cynodon dactylon </w:t>
            </w:r>
            <w:r w:rsidRPr="001863DC">
              <w:rPr>
                <w:rFonts w:ascii="Arial" w:hAnsi="Arial" w:cs="Arial"/>
                <w:sz w:val="21"/>
                <w:szCs w:val="21"/>
              </w:rPr>
              <w:t>(L.) Pers.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F521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E15D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Cyn.dac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9149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7371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BE4042C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A80288" w14:textId="1C524052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lastRenderedPageBreak/>
              <w:t>38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5F61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Cynodon plectostachyus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(K.Schum.) Pilg.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DE22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92B2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Cyn.ple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8B01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7214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5441F0E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80D6FC" w14:textId="1A7A59D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47AE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Cynoglossum zeylanicum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(Vahl) Thunb. ex Lehm.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CE03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Boraginaceae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1889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Cyn.zey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1420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FAD9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E793A50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680659" w14:textId="62D45A1A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848E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Cyperus brevifolius </w:t>
            </w:r>
            <w:r w:rsidRPr="001863DC">
              <w:rPr>
                <w:rFonts w:ascii="Arial" w:hAnsi="Arial" w:cs="Arial"/>
                <w:iCs/>
                <w:sz w:val="21"/>
                <w:szCs w:val="21"/>
              </w:rPr>
              <w:t>(Rottb.) Hassk.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1346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Cyperaceae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638079" w14:textId="59AF37C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Cyp.bre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478E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DF7D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8E49487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BECEAC" w14:textId="148BA76D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BA4D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Cyperus esculentus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02F8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Cyperaceae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B992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Cyp.esc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EF14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B7D5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142970C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22C6AD" w14:textId="4CA2CDE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CA734" w14:textId="31FBCA20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Cyperus rotundus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72CE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Cyperaceae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1E6B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Cyp.rot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DDE8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F33F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D59A16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D891A2" w14:textId="1CC2C1F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7B9A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Dalbergia sissoo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DC.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B538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F490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Dal.sis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1E1E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4D3A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1A5FBA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913160" w14:textId="7697AB1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0049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Desmodium gangeticum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DC.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E0BF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D27F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Des.gan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4167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E88E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8493C65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B4F0D2" w14:textId="338AADED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75B0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Desmodium heterophyllum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(Willd.) DC.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B812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72AD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Des.het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4046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9AC0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846059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9EBCD8" w14:textId="6A3F359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F6F4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Desmodium triflorum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DC.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BE0B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886A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Des.tri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1802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EB58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9EBECC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50F84E" w14:textId="15F7A93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26D4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Desmostachya bipinnata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Stapf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7055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41FE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Des.bip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89B8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2CC1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FA2A34E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E7CCD6" w14:textId="59226D4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A043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Dichanthium annulatum </w:t>
            </w:r>
            <w:r w:rsidRPr="001863DC">
              <w:rPr>
                <w:rFonts w:ascii="Arial" w:hAnsi="Arial" w:cs="Arial"/>
                <w:sz w:val="21"/>
                <w:szCs w:val="21"/>
              </w:rPr>
              <w:t>(Forssk.) Stapf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0569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7E4C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Dic.ann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0B06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B96B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5A5A8A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5FCE95" w14:textId="18C72AA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535D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Digitaria ciliaris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(Retz.) Koeler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07CB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6D1DA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Dig.cil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7206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1F01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714C792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44153D" w14:textId="2BBB93F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FA7B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Dioscorea bulbifera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105A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Dioscoreaceae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35F3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Dio.bul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7AE2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FB48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102AE60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D0A12A" w14:textId="56295CE0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3938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Dioscorea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sp.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0C3D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Dioscoreaceae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608B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Dio.sp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926C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07E8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958A3A0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E86E98" w14:textId="0BDCE2E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78F4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Diplazium esculentum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(Retz.) Sw.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FF99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Athyriaceae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6360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Dip.esc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351C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62C9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1D6A03A1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89E8A6" w14:textId="33F9967B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EF2A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Ehretia laevis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(Rottler ex G. Don) Roxb.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F11E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Ehretiaceae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DED8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Ehr.lae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F545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3CC8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1093A28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19EDE4" w14:textId="090EA90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7F25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Elephantopus scaber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9858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Asteraceae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5025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Ele.sca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752D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0F0F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5DDE34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08BEE9" w14:textId="1276474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0DB3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Eleusine indica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Gaertn.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5D75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31E1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Ele.ind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5369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BEC1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CA462A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653DB1" w14:textId="5E9A6129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lastRenderedPageBreak/>
              <w:t>56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C5E6E" w14:textId="2385F8A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 xml:space="preserve">Equisetum </w:t>
            </w: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ramosissimum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subsp. </w:t>
            </w: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debile </w:t>
            </w:r>
            <w:r w:rsidRPr="001863DC">
              <w:rPr>
                <w:rFonts w:ascii="Arial" w:hAnsi="Arial" w:cs="Arial"/>
                <w:sz w:val="21"/>
                <w:szCs w:val="21"/>
              </w:rPr>
              <w:t>(Roxb. ex Vaucher) Hauke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F857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Equisetaceae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0087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Equ.deb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0175B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E38C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81EC36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69D4B8" w14:textId="638E5C5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28343" w14:textId="6BAF50C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Eragrostis amabilis </w:t>
            </w:r>
            <w:r w:rsidRPr="001863DC">
              <w:rPr>
                <w:rFonts w:ascii="Arial" w:hAnsi="Arial" w:cs="Arial"/>
                <w:iCs/>
                <w:sz w:val="21"/>
                <w:szCs w:val="21"/>
              </w:rPr>
              <w:t>(L.) Wight and Arn</w:t>
            </w: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Beauv. ex Roem. &amp; Schult.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29B4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AAE1C" w14:textId="3FBAB4CA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Era.ama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6231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C142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52677CB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3A79EB" w14:textId="13F12BBB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63F4C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Euphorbia hirta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B1556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Euphorbiaceae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826EAB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Eup.hir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8088B6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AD915C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5425E09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CE9F89" w14:textId="2627733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4CAF6C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Evolvulus nummularius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69157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Convolvulaceae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F6A524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Evo.num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E316A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E7F81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1AA6E005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254D3B" w14:textId="527C978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0A481" w14:textId="4FFC530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Falconeria insignis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Royle Trimen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3BB0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Euphorbiaceae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C1241" w14:textId="1E09BB5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Fal.ins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51F5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0B47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B937C5E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ECD432" w14:textId="10CD912D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5345E" w14:textId="7664A7E2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Ficus hispida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 fil.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6C87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Moraceae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4B67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Fic.his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A145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BC86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0065585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170C66" w14:textId="3947263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36E42" w14:textId="0E897A8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Ficus religiosa</w:t>
            </w:r>
            <w:r w:rsidRPr="001863DC">
              <w:rPr>
                <w:rFonts w:ascii="Arial" w:hAnsi="Arial" w:cs="Arial"/>
                <w:sz w:val="21"/>
                <w:szCs w:val="21"/>
              </w:rPr>
              <w:t> 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9C59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Moraceae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D6BF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Fic.rel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3110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246E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E156B20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0BAE1A" w14:textId="7992E98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2ECA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Ficus semicordata </w:t>
            </w:r>
            <w:r w:rsidRPr="001863DC">
              <w:rPr>
                <w:rFonts w:ascii="Arial" w:hAnsi="Arial" w:cs="Arial"/>
                <w:sz w:val="21"/>
                <w:szCs w:val="21"/>
              </w:rPr>
              <w:t>Buch. ex J. E. Smith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E321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Moraceae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376C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Fic.sem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006D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3EE9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CFC965C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BB9B04" w14:textId="14157AB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6D3F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Fimbristylis dichotoma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Vahl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EEA6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Cyperaceae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316F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Fim.dic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48EE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BA60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6E5A0EE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21162D" w14:textId="1711B1C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C6C2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Glycosmis pentaphylla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(Retz.) Correa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DE9A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Rutaceae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9DBE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Gly.pen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5E8C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045E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193A2A9C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5B9C48" w14:textId="1CDEA77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75D7C" w14:textId="6538346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Hiptage benghalensis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subsp. </w:t>
            </w: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benghalensis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A241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Malpighiaceae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7F34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Hip.ben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CD1F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FF58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70E6F0A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8166DB" w14:textId="24CC521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3DBA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Holarrhena pubescens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(Buch.-Ham.) Wall. ex G. Don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DF4A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Apocynaceae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E73F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Hol.pub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4B74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72C9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58DAD1E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AC09CB" w14:textId="4D75CA2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08EC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Ichnocarpus frutescens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W.T. Aiton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266E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Apocynaceae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344A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Ich.fru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E6BA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3BD9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75D4DDFA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370827" w14:textId="3AD8B11A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0991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Imperata cylindrica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P.Beauv.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E91F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1FBC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Imp.cyl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40B3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EBFE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5B3684F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54B097" w14:textId="260F0D1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lastRenderedPageBreak/>
              <w:t>70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6075292" w14:textId="383EF5F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Ipomoea carnea </w:t>
            </w:r>
            <w:r w:rsidRPr="001863DC">
              <w:rPr>
                <w:rFonts w:ascii="Arial" w:hAnsi="Arial" w:cs="Arial"/>
                <w:iCs/>
                <w:sz w:val="21"/>
                <w:szCs w:val="21"/>
              </w:rPr>
              <w:t>subsp</w:t>
            </w: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. fistulosa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(Mart. ex Choisy) D.F. Austin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F769F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Convolvulaceae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BA9A2D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Ipo.car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5D89C1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E83E8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Invasive</w:t>
            </w:r>
          </w:p>
        </w:tc>
      </w:tr>
      <w:tr w:rsidR="0040099F" w:rsidRPr="001863DC" w14:paraId="7722ACD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B55911" w14:textId="2A76BCC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E26CE2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Jatropha curcas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1BE592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Euphorbiaceae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E6ED12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Jat.cur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C59E66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FE8200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29CD1551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4DF307" w14:textId="2834A3FD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1002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Justicia diffusa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Willd.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EA86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Acanthaceae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EB2D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Jus.dif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0740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0A6D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57CB300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B79978" w14:textId="0683F34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770A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Justicia simplex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D. Don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98B4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Acanthaceae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065F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Jus.sim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4089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AAFF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D0C7FEE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EBE9E8" w14:textId="12AB99CD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93A2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Lagerstroemia parviflora </w:t>
            </w:r>
            <w:r w:rsidRPr="001863DC">
              <w:rPr>
                <w:rFonts w:ascii="Arial" w:hAnsi="Arial" w:cs="Arial"/>
                <w:iCs/>
                <w:sz w:val="21"/>
                <w:szCs w:val="21"/>
              </w:rPr>
              <w:t>Roxb.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7DD7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Lythraceae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7805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Lag.par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32AE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09FB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C278B0E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94B3BE" w14:textId="67C3248D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AC0314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Lantana camara</w:t>
            </w:r>
            <w:r w:rsidRPr="001863DC">
              <w:rPr>
                <w:rFonts w:ascii="Arial" w:hAnsi="Arial" w:cs="Arial"/>
                <w:iCs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A2E4B0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Verbenaceae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D0213A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Lan.cam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B8D70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51D9D4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Invasive</w:t>
            </w:r>
          </w:p>
        </w:tc>
      </w:tr>
      <w:tr w:rsidR="0040099F" w:rsidRPr="001863DC" w14:paraId="0B571ECC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0E5EE4" w14:textId="445E16DB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B439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Leucas cephalotes </w:t>
            </w:r>
            <w:r w:rsidRPr="001863DC">
              <w:rPr>
                <w:rFonts w:ascii="Arial" w:hAnsi="Arial" w:cs="Arial"/>
                <w:sz w:val="21"/>
                <w:szCs w:val="21"/>
              </w:rPr>
              <w:t>(Roth) Spreng.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DE8B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Lamiaceae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609B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Leu.cep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FFC7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5172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AC11198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453ED8" w14:textId="689F9D0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8A9EE" w14:textId="4B198C62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Mallotus nudiflorus </w:t>
            </w:r>
            <w:r w:rsidRPr="001863DC">
              <w:rPr>
                <w:rFonts w:ascii="Arial" w:hAnsi="Arial" w:cs="Arial"/>
                <w:sz w:val="21"/>
                <w:szCs w:val="21"/>
              </w:rPr>
              <w:t>(L.) Kulju and Welzen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BD18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Euphorbiaceae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2C9A3" w14:textId="2E2B7840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Mal.nud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E73F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4A1D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87F60DA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CCA3F3" w14:textId="4E58351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A6FC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Mallotus philippensis </w:t>
            </w:r>
            <w:r w:rsidRPr="001863DC">
              <w:rPr>
                <w:rFonts w:ascii="Arial" w:hAnsi="Arial" w:cs="Arial"/>
                <w:sz w:val="21"/>
                <w:szCs w:val="21"/>
              </w:rPr>
              <w:t>(Lam.) Müll.Arg.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FF31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Euphorbiaceae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DE7E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Mal.phi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7C49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CDB8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5C53ED0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B3609D" w14:textId="28F89C01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E439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Mazus pumilio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R. Br.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C31E6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Mazaceae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1C0D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Maz.pum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EC74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FAED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ADDD7DB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B863AF" w14:textId="64858922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4F10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Momordica charantia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EE20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Cucurbitaceae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1C32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Mom.cha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90AE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5432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7DC36B0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AEB83D" w14:textId="71EAD51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EC12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Morus alba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Bur.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573A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Moraceae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1954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Mor.alb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8513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1241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704259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ED434E" w14:textId="58FD90D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BF2D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Murraya koenigii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Spreng.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0AE8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Rutaceae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3306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Mur.koe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4B95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6CA8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45D316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22BA17" w14:textId="5C37F85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9F2F4" w14:textId="54B0F14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Oplismenus burmanni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(Retz.) P. Beauv.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A320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D7FD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Opl.bur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E792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9C3E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3E4B78A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3C6CD9" w14:textId="5AE4E2B2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8780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Panicum repens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285E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7E07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Pan.rep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9E34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11CA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C974FB4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61FB8F" w14:textId="19D99D0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1FC48F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Parthenium hysterophoru</w:t>
            </w:r>
            <w:r w:rsidRPr="001863DC">
              <w:rPr>
                <w:rFonts w:ascii="Arial" w:hAnsi="Arial" w:cs="Arial"/>
                <w:sz w:val="21"/>
                <w:szCs w:val="21"/>
              </w:rPr>
              <w:t>s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686C43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Asteraceae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B21CE6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Par.hys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AF7B87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C6C2A1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Invasive</w:t>
            </w:r>
          </w:p>
        </w:tc>
      </w:tr>
      <w:tr w:rsidR="0040099F" w:rsidRPr="001863DC" w14:paraId="792EEBA3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D991B1" w14:textId="4C6B0C7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CB7235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Peperomia pellucida </w:t>
            </w:r>
            <w:r w:rsidRPr="001863DC">
              <w:rPr>
                <w:rFonts w:ascii="Arial" w:hAnsi="Arial" w:cs="Arial"/>
                <w:sz w:val="21"/>
                <w:szCs w:val="21"/>
              </w:rPr>
              <w:t>(L.) Kunth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8D2C97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Peperaceae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987E1C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Pep.pel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CED595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8888A5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1EA994E0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12BE7C" w14:textId="41CAC830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24EA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Phyllanthus urinaria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0FC1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Phyllanthaceae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3F5D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Phy.uri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C149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002D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7CCC1BC6" w14:textId="77777777" w:rsidTr="0040099F">
        <w:trPr>
          <w:trHeight w:val="34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C113A3" w14:textId="1B6EBCCC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B523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Phyllanthus virgatus </w:t>
            </w:r>
            <w:r w:rsidRPr="001863DC">
              <w:rPr>
                <w:rFonts w:ascii="Arial" w:hAnsi="Arial" w:cs="Arial"/>
                <w:sz w:val="21"/>
                <w:szCs w:val="21"/>
              </w:rPr>
              <w:t>G.Forst.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F024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Phyllanthaceae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7D50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Phy.vir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563D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2E15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6F15C44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527237" w14:textId="024D8C0B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lastRenderedPageBreak/>
              <w:t>89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4886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a-DK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  <w:lang w:val="da-DK"/>
              </w:rPr>
              <w:t>Pogostemon benghalensis</w:t>
            </w:r>
            <w:r w:rsidRPr="001863DC">
              <w:rPr>
                <w:rFonts w:ascii="Arial" w:hAnsi="Arial" w:cs="Arial"/>
                <w:sz w:val="21"/>
                <w:szCs w:val="21"/>
                <w:lang w:val="da-DK"/>
              </w:rPr>
              <w:t xml:space="preserve"> (Burm.f.) Kuntze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21B9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Lamiaceae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8EB2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Pog.ben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1668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B7D19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5263964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6D4337" w14:textId="740242BB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87CC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Pouzolzia zeylanica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Benn. &amp; R. Br.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6E7F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Urticaceae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E694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Pou.zey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A255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610F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1D9EAE5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745A64" w14:textId="15C6FDB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8BC767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Psidium guajava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11A49D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Myrtaceae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88E977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Psi.gua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1548C9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3A23BB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05B4B35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152025" w14:textId="0E012B8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EF3D3" w14:textId="2324722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Pteris vittata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CAAF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Pteridaceae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779E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Pte.vit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B96C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3919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3335E3B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50922F" w14:textId="5DEFBB2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4C16F" w14:textId="45E5C092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Saccharum bengalense </w:t>
            </w:r>
            <w:r w:rsidRPr="001863DC">
              <w:rPr>
                <w:rFonts w:ascii="Arial" w:hAnsi="Arial" w:cs="Arial"/>
                <w:sz w:val="21"/>
                <w:szCs w:val="21"/>
              </w:rPr>
              <w:t>Retz.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D873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7DF5A" w14:textId="1A19742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Sac.ben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0724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C43D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D2617A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B2D014" w14:textId="1B2FF4C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E5768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Saccharum spontaneum </w:t>
            </w:r>
            <w:r w:rsidRPr="001863DC">
              <w:rPr>
                <w:rFonts w:ascii="Arial" w:hAnsi="Arial" w:cs="Arial"/>
                <w:sz w:val="21"/>
                <w:szCs w:val="21"/>
              </w:rPr>
              <w:t>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08B5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E0C9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Sac.spo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5554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6097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C2C1A9B" w14:textId="77777777" w:rsidTr="0040099F">
        <w:trPr>
          <w:trHeight w:val="320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668AEE" w14:textId="19CF309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ECB2CF" w14:textId="6B4B37BE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Senegalia catechu </w:t>
            </w:r>
            <w:r w:rsidRPr="001863DC">
              <w:rPr>
                <w:rFonts w:ascii="Arial" w:hAnsi="Arial" w:cs="Arial"/>
                <w:sz w:val="21"/>
                <w:szCs w:val="21"/>
              </w:rPr>
              <w:t>(L.f.) P.J.H Hurter and Mabb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94B43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D1CBE3" w14:textId="3FA6705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Sen.cat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87A89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5C977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0D3C0F8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58CBE" w14:textId="3C88F690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6F5261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Senna occidentalis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Link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C3551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A41C3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Sen.occ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FDA263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EF80DF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Invasive</w:t>
            </w:r>
          </w:p>
        </w:tc>
      </w:tr>
      <w:tr w:rsidR="0040099F" w:rsidRPr="001863DC" w14:paraId="6F6F2E1F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2D59D5" w14:textId="0B99E5F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ADC106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Senna tora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Roxb.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76E18F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Fabaceae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5C04B3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Sen.tor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D13540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98A731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Invasive</w:t>
            </w:r>
          </w:p>
        </w:tc>
      </w:tr>
      <w:tr w:rsidR="0040099F" w:rsidRPr="001863DC" w14:paraId="4F7FF25D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494E81" w14:textId="7B0AA924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56C6C" w14:textId="264FFDF9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Sesamum indicum </w:t>
            </w:r>
            <w:r w:rsidRPr="001863DC">
              <w:rPr>
                <w:rFonts w:ascii="Arial" w:hAnsi="Arial" w:cs="Arial"/>
                <w:sz w:val="21"/>
                <w:szCs w:val="21"/>
              </w:rPr>
              <w:t>subsp.</w:t>
            </w: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indicum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D68F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Pedaliaceae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209DC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Ses.ori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1B12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651E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1F464FD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81BA84" w14:textId="6307D1F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D46E6" w14:textId="209CEB0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Setaria flavida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(Retz.) Veldkamp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5C39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D501F" w14:textId="3EF2522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Set.fla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78E0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16BE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2EF75B7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70F444" w14:textId="3E1010A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7D1C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Shorea robusta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A. DC.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6DF6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Dipterocarpaceae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49FA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Sho.rob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C7B9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F229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20C129C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83CC6B" w14:textId="095BE1E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5DDA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Sida cordata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(Burm. fil.) Borss. Waalk.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5B6D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Malvaceae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37DF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Sid.cor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53BB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1798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C168D88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6BC3FB" w14:textId="24F587AD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A4A391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Sida cordifolia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Forsk.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C7E11E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Malvaceae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B82D61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Sid.cor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55C092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6D7B3B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62CA42E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4085A1" w14:textId="7A62B2E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E5348A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Sida rhombifolia </w:t>
            </w:r>
            <w:r w:rsidRPr="001863DC">
              <w:rPr>
                <w:rFonts w:ascii="Arial" w:hAnsi="Arial" w:cs="Arial"/>
                <w:iCs/>
                <w:sz w:val="21"/>
                <w:szCs w:val="21"/>
              </w:rPr>
              <w:t>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C162BD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Malvaceae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9CD1C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Sid.rho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0280D0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B8830E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55A08F0E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7557FC" w14:textId="3775B3C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D1DA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Solanum virginianum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6CDC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Solanaceae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23EA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Sol.vir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9D52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2D5C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34C07DB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9D02C7" w14:textId="397E1F1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034F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Stephania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sp.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D4CD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Menispermaceae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A7F4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Ste.sp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2454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77C6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E44A43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D63C3F" w14:textId="367AF092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1EEA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Streblus asper Lour.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CD46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Moraceae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E6B6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Str.asp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B60C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B9C3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1EEC6B09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5C179C" w14:textId="256BF49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2A8D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Syzygium cumini </w:t>
            </w:r>
            <w:r w:rsidRPr="001863DC">
              <w:rPr>
                <w:rFonts w:ascii="Arial" w:hAnsi="Arial" w:cs="Arial"/>
                <w:sz w:val="21"/>
                <w:szCs w:val="21"/>
              </w:rPr>
              <w:t>(L.) Skeels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432E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Myrtaceae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15F8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Syz.cum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A538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Tree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400B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AA713D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D30A17" w14:textId="39943A99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lastRenderedPageBreak/>
              <w:t>108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6FBA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Themeda villosa </w:t>
            </w:r>
            <w:r w:rsidRPr="001863DC">
              <w:rPr>
                <w:rFonts w:ascii="Arial" w:hAnsi="Arial" w:cs="Arial"/>
                <w:sz w:val="21"/>
                <w:szCs w:val="21"/>
              </w:rPr>
              <w:t>(Lam.) A. Camus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22EA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Poaceae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3D05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The.vil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BC0F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6A22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2ABCEEA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B049D7" w14:textId="2C94D018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109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D7BD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Tiliacora acuminata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(Lam.) Hook. fil. &amp; Thoms.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54026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Menispermaceae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CFE7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Til.acu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AD4E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75CB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54B0684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2DADF8" w14:textId="63FFF1FF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7B71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Trichosanthes dioica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Roxb.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7EFC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Cucurbitaceae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794B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Tri.dio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20DD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AFD7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415326CF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45BD96" w14:textId="6CF3B633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086EFD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Tridax procumbens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3AC0ED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Asteraceae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C1C14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Tri.pro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6213D3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Herb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436B1E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Naturalized non-invasive</w:t>
            </w:r>
          </w:p>
        </w:tc>
      </w:tr>
      <w:tr w:rsidR="0040099F" w:rsidRPr="001863DC" w14:paraId="6D73456A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04A8C5" w14:textId="5CA1B850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112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B51A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Urena lobata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937F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Malvaceae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4913D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Ure.lob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4A5D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A999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3B26D126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3AF49B" w14:textId="4328C395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6DD50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Vitis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tetraflorum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51B6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Vitaceae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93A5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Vit.sp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052C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Climber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5586F3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12E815C8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327379" w14:textId="0DE401E6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4CC8A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Woodfordia fruticosa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(L.) Kurz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78CF8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Lythraceae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7E0D5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Woo.fru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923F1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4C93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  <w:tr w:rsidR="0040099F" w:rsidRPr="001863DC" w14:paraId="664B8502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98421D" w14:textId="7F299510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82D5609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Xanthium strumarium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4A68B7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Asteraceae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7A01F5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Xan.str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4DEB442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EB5FA2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Invasive</w:t>
            </w:r>
          </w:p>
        </w:tc>
      </w:tr>
      <w:tr w:rsidR="0040099F" w:rsidRPr="001863DC" w14:paraId="4A715D2F" w14:textId="77777777" w:rsidTr="0040099F">
        <w:trPr>
          <w:trHeight w:val="32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A3A96CF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B8716B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i/>
                <w:iCs/>
                <w:sz w:val="21"/>
                <w:szCs w:val="21"/>
              </w:rPr>
              <w:t>Ziziphus mauritiana</w:t>
            </w:r>
            <w:r w:rsidRPr="001863DC">
              <w:rPr>
                <w:rFonts w:ascii="Arial" w:hAnsi="Arial" w:cs="Arial"/>
                <w:sz w:val="21"/>
                <w:szCs w:val="21"/>
              </w:rPr>
              <w:t xml:space="preserve"> Lam.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E3F734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Rhamnaceae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8F5DDC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Ziz.mau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107DD6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Shrub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B86E6E" w14:textId="77777777" w:rsidR="0040099F" w:rsidRPr="001863DC" w:rsidRDefault="0040099F" w:rsidP="0045751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863DC">
              <w:rPr>
                <w:rFonts w:ascii="Arial" w:hAnsi="Arial" w:cs="Arial"/>
                <w:sz w:val="21"/>
                <w:szCs w:val="21"/>
              </w:rPr>
              <w:t>Native</w:t>
            </w:r>
          </w:p>
        </w:tc>
      </w:tr>
    </w:tbl>
    <w:p w14:paraId="42A7FD87" w14:textId="77777777" w:rsidR="001863DC" w:rsidRDefault="001863DC" w:rsidP="00166F50">
      <w:pPr>
        <w:pStyle w:val="Caption"/>
        <w:keepNext/>
        <w:spacing w:line="36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Toc11701454"/>
    </w:p>
    <w:p w14:paraId="2950EA4E" w14:textId="77777777" w:rsidR="001863DC" w:rsidRDefault="001863DC" w:rsidP="001863DC"/>
    <w:p w14:paraId="7445D7D9" w14:textId="77777777" w:rsidR="001863DC" w:rsidRDefault="001863DC" w:rsidP="001863DC"/>
    <w:p w14:paraId="42FDD717" w14:textId="77777777" w:rsidR="001863DC" w:rsidRDefault="001863DC" w:rsidP="001863DC"/>
    <w:p w14:paraId="1F315A9C" w14:textId="77777777" w:rsidR="001863DC" w:rsidRDefault="001863DC" w:rsidP="001863DC"/>
    <w:p w14:paraId="436DD090" w14:textId="77777777" w:rsidR="001863DC" w:rsidRDefault="001863DC" w:rsidP="001863DC"/>
    <w:p w14:paraId="66E6FF80" w14:textId="77777777" w:rsidR="001863DC" w:rsidRDefault="001863DC" w:rsidP="001863DC"/>
    <w:p w14:paraId="46E4AD83" w14:textId="77777777" w:rsidR="001863DC" w:rsidRDefault="001863DC" w:rsidP="001863DC"/>
    <w:p w14:paraId="4DE15687" w14:textId="77777777" w:rsidR="001863DC" w:rsidRDefault="001863DC" w:rsidP="001863DC"/>
    <w:p w14:paraId="58C14E03" w14:textId="77777777" w:rsidR="001863DC" w:rsidRDefault="001863DC" w:rsidP="001863DC"/>
    <w:p w14:paraId="0ADAA22F" w14:textId="77777777" w:rsidR="001863DC" w:rsidRDefault="001863DC" w:rsidP="001863DC"/>
    <w:p w14:paraId="008C976E" w14:textId="77777777" w:rsidR="001863DC" w:rsidRDefault="001863DC" w:rsidP="001863DC"/>
    <w:p w14:paraId="2C9A0CD6" w14:textId="77777777" w:rsidR="001863DC" w:rsidRDefault="001863DC" w:rsidP="001863DC"/>
    <w:p w14:paraId="2CEB3839" w14:textId="77777777" w:rsidR="001863DC" w:rsidRDefault="001863DC" w:rsidP="001863DC"/>
    <w:p w14:paraId="56D8B6D0" w14:textId="77777777" w:rsidR="001863DC" w:rsidRDefault="001863DC" w:rsidP="001863DC"/>
    <w:p w14:paraId="52EA326C" w14:textId="77777777" w:rsidR="001863DC" w:rsidRDefault="001863DC" w:rsidP="001863DC"/>
    <w:p w14:paraId="7D9D4E1E" w14:textId="77777777" w:rsidR="001863DC" w:rsidRDefault="001863DC" w:rsidP="001863DC"/>
    <w:p w14:paraId="16CAE2E4" w14:textId="77777777" w:rsidR="001863DC" w:rsidRDefault="001863DC" w:rsidP="001863DC"/>
    <w:p w14:paraId="006F0066" w14:textId="77777777" w:rsidR="001863DC" w:rsidRDefault="001863DC" w:rsidP="001863DC"/>
    <w:p w14:paraId="3D6F0C0B" w14:textId="77777777" w:rsidR="001863DC" w:rsidRDefault="001863DC" w:rsidP="001863DC"/>
    <w:p w14:paraId="682DC44F" w14:textId="77777777" w:rsidR="001863DC" w:rsidRDefault="001863DC" w:rsidP="001863DC"/>
    <w:p w14:paraId="3ED0E67D" w14:textId="77777777" w:rsidR="001863DC" w:rsidRDefault="001863DC" w:rsidP="001863DC"/>
    <w:p w14:paraId="6F271071" w14:textId="77777777" w:rsidR="001863DC" w:rsidRDefault="001863DC" w:rsidP="001863DC"/>
    <w:p w14:paraId="1A4B10DE" w14:textId="77777777" w:rsidR="00166F50" w:rsidRDefault="00166F50" w:rsidP="001863DC">
      <w:pPr>
        <w:pStyle w:val="Caption"/>
        <w:keepNext/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E007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0E0075">
        <w:rPr>
          <w:rFonts w:ascii="Arial" w:hAnsi="Arial" w:cs="Arial"/>
          <w:color w:val="000000" w:themeColor="text1"/>
          <w:sz w:val="24"/>
          <w:szCs w:val="24"/>
        </w:rPr>
        <w:t xml:space="preserve">a. </w:t>
      </w:r>
      <w:r w:rsidRPr="009B76C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Summary results of </w:t>
      </w:r>
      <w:r w:rsidRPr="00832D17">
        <w:rPr>
          <w:rFonts w:ascii="Arial" w:hAnsi="Arial" w:cs="Arial"/>
          <w:b w:val="0"/>
          <w:color w:val="000000" w:themeColor="text1"/>
          <w:sz w:val="24"/>
          <w:szCs w:val="24"/>
        </w:rPr>
        <w:t>Detredend Correspondence Analysis (DCA)</w:t>
      </w:r>
    </w:p>
    <w:tbl>
      <w:tblPr>
        <w:tblStyle w:val="TableGrid"/>
        <w:tblW w:w="94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01"/>
        <w:gridCol w:w="1882"/>
        <w:gridCol w:w="1882"/>
        <w:gridCol w:w="1882"/>
      </w:tblGrid>
      <w:tr w:rsidR="00166F50" w14:paraId="71F6C605" w14:textId="77777777" w:rsidTr="0048058E">
        <w:trPr>
          <w:trHeight w:val="40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2CF04" w14:textId="77777777" w:rsidR="00166F50" w:rsidRDefault="00166F50" w:rsidP="0045751B">
            <w:pPr>
              <w:spacing w:line="480" w:lineRule="auto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CB966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DCA1 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15BF0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DCA</w:t>
            </w:r>
            <w:r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2</w:t>
            </w: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F6E2" w14:textId="77777777" w:rsidR="00166F50" w:rsidRPr="00EF2C21" w:rsidRDefault="00166F50" w:rsidP="0045751B">
            <w:pPr>
              <w:spacing w:line="480" w:lineRule="auto"/>
              <w:rPr>
                <w:b/>
                <w:bCs/>
              </w:rPr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DCA</w:t>
            </w:r>
            <w:r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BF6C6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DCA</w:t>
            </w:r>
            <w:r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4</w:t>
            </w:r>
          </w:p>
        </w:tc>
      </w:tr>
      <w:tr w:rsidR="00166F50" w14:paraId="5ECB30AF" w14:textId="77777777" w:rsidTr="0048058E">
        <w:trPr>
          <w:trHeight w:val="383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2317A195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Eigen values           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14:paraId="5C9E9D08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0.7004               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4BFB15D2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0.7956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7A80F1ED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0.4966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3FCE0CBB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0.3333</w:t>
            </w:r>
          </w:p>
        </w:tc>
      </w:tr>
      <w:tr w:rsidR="00166F50" w14:paraId="3C1BA7B9" w14:textId="77777777" w:rsidTr="0048058E">
        <w:trPr>
          <w:trHeight w:val="412"/>
        </w:trPr>
        <w:tc>
          <w:tcPr>
            <w:tcW w:w="2263" w:type="dxa"/>
            <w:shd w:val="clear" w:color="auto" w:fill="auto"/>
          </w:tcPr>
          <w:p w14:paraId="34177FBE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Decorana values    </w:t>
            </w:r>
          </w:p>
        </w:tc>
        <w:tc>
          <w:tcPr>
            <w:tcW w:w="1501" w:type="dxa"/>
            <w:shd w:val="clear" w:color="auto" w:fill="auto"/>
          </w:tcPr>
          <w:p w14:paraId="048C7185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0.8477               </w:t>
            </w:r>
          </w:p>
        </w:tc>
        <w:tc>
          <w:tcPr>
            <w:tcW w:w="1882" w:type="dxa"/>
            <w:shd w:val="clear" w:color="auto" w:fill="auto"/>
          </w:tcPr>
          <w:p w14:paraId="1AEBB876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0.6275</w:t>
            </w:r>
          </w:p>
        </w:tc>
        <w:tc>
          <w:tcPr>
            <w:tcW w:w="1882" w:type="dxa"/>
            <w:shd w:val="clear" w:color="auto" w:fill="auto"/>
          </w:tcPr>
          <w:p w14:paraId="601042BC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0.3955                    </w:t>
            </w:r>
          </w:p>
        </w:tc>
        <w:tc>
          <w:tcPr>
            <w:tcW w:w="1882" w:type="dxa"/>
            <w:shd w:val="clear" w:color="auto" w:fill="auto"/>
          </w:tcPr>
          <w:p w14:paraId="6ADD0527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0.3333</w:t>
            </w:r>
          </w:p>
        </w:tc>
      </w:tr>
      <w:tr w:rsidR="00166F50" w14:paraId="6B1C8207" w14:textId="77777777" w:rsidTr="0048058E">
        <w:trPr>
          <w:trHeight w:val="362"/>
        </w:trPr>
        <w:tc>
          <w:tcPr>
            <w:tcW w:w="2263" w:type="dxa"/>
            <w:shd w:val="clear" w:color="auto" w:fill="auto"/>
          </w:tcPr>
          <w:p w14:paraId="0BFE361B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Axis lengths          </w:t>
            </w:r>
          </w:p>
        </w:tc>
        <w:tc>
          <w:tcPr>
            <w:tcW w:w="1501" w:type="dxa"/>
            <w:shd w:val="clear" w:color="auto" w:fill="auto"/>
          </w:tcPr>
          <w:p w14:paraId="326E71BE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4.2213</w:t>
            </w:r>
          </w:p>
        </w:tc>
        <w:tc>
          <w:tcPr>
            <w:tcW w:w="1882" w:type="dxa"/>
            <w:shd w:val="clear" w:color="auto" w:fill="auto"/>
          </w:tcPr>
          <w:p w14:paraId="520E47E2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4.6218</w:t>
            </w:r>
          </w:p>
        </w:tc>
        <w:tc>
          <w:tcPr>
            <w:tcW w:w="1882" w:type="dxa"/>
            <w:shd w:val="clear" w:color="auto" w:fill="auto"/>
          </w:tcPr>
          <w:p w14:paraId="08E89C58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2.4084                    </w:t>
            </w:r>
          </w:p>
        </w:tc>
        <w:tc>
          <w:tcPr>
            <w:tcW w:w="1882" w:type="dxa"/>
            <w:shd w:val="clear" w:color="auto" w:fill="auto"/>
          </w:tcPr>
          <w:p w14:paraId="5EC29D61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1.7715</w:t>
            </w:r>
          </w:p>
        </w:tc>
      </w:tr>
    </w:tbl>
    <w:p w14:paraId="3FB5470C" w14:textId="77777777" w:rsidR="00166F50" w:rsidRPr="00EF2C21" w:rsidRDefault="00166F50" w:rsidP="00166F50">
      <w:pPr>
        <w:spacing w:line="360" w:lineRule="auto"/>
      </w:pPr>
    </w:p>
    <w:p w14:paraId="28735E9E" w14:textId="77777777" w:rsidR="00166F50" w:rsidRDefault="00166F50" w:rsidP="00166F50">
      <w:pPr>
        <w:pStyle w:val="Caption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01A345" w14:textId="77777777" w:rsidR="00166F50" w:rsidRDefault="00166F50" w:rsidP="00166F50">
      <w:pPr>
        <w:pStyle w:val="Caption"/>
        <w:spacing w:line="360" w:lineRule="auto"/>
        <w:ind w:left="810" w:hanging="81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E0075">
        <w:rPr>
          <w:rFonts w:ascii="Arial" w:hAnsi="Arial" w:cs="Arial"/>
          <w:color w:val="000000" w:themeColor="text1"/>
          <w:sz w:val="24"/>
          <w:szCs w:val="24"/>
        </w:rPr>
        <w:t xml:space="preserve">Supplementary Table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0E0075">
        <w:rPr>
          <w:rFonts w:ascii="Arial" w:hAnsi="Arial" w:cs="Arial"/>
          <w:color w:val="000000" w:themeColor="text1"/>
          <w:sz w:val="24"/>
          <w:szCs w:val="24"/>
        </w:rPr>
        <w:t xml:space="preserve">b. </w:t>
      </w:r>
      <w:r w:rsidRPr="009B76C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Summary results of </w:t>
      </w:r>
      <w:r w:rsidRPr="00832D17">
        <w:rPr>
          <w:rFonts w:ascii="Arial" w:hAnsi="Arial" w:cs="Arial"/>
          <w:b w:val="0"/>
          <w:color w:val="000000" w:themeColor="text1"/>
          <w:sz w:val="24"/>
          <w:szCs w:val="24"/>
        </w:rPr>
        <w:t>Canonical Correspondence Analysis (CCA)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66F50" w14:paraId="140A1A04" w14:textId="77777777" w:rsidTr="0048058E"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72E18008" w14:textId="77777777" w:rsidR="00166F50" w:rsidRDefault="00166F50" w:rsidP="0045751B">
            <w:pPr>
              <w:spacing w:line="480" w:lineRule="auto"/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4FF99762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Inertia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35317AC5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Proportion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463FAE2F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Rank</w:t>
            </w:r>
          </w:p>
        </w:tc>
      </w:tr>
      <w:tr w:rsidR="00166F50" w14:paraId="26BBABC4" w14:textId="77777777" w:rsidTr="0048058E">
        <w:tc>
          <w:tcPr>
            <w:tcW w:w="2252" w:type="dxa"/>
            <w:tcBorders>
              <w:top w:val="single" w:sz="4" w:space="0" w:color="auto"/>
            </w:tcBorders>
          </w:tcPr>
          <w:p w14:paraId="6294D63B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Total 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02EB79EB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4.6497 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1EB0CFBD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1.0000    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001E5551" w14:textId="77777777" w:rsidR="00166F50" w:rsidRDefault="00166F50" w:rsidP="0045751B">
            <w:pPr>
              <w:spacing w:line="480" w:lineRule="auto"/>
            </w:pPr>
          </w:p>
        </w:tc>
      </w:tr>
      <w:tr w:rsidR="00166F50" w14:paraId="62BAA9F2" w14:textId="77777777" w:rsidTr="0048058E">
        <w:tc>
          <w:tcPr>
            <w:tcW w:w="2252" w:type="dxa"/>
          </w:tcPr>
          <w:p w14:paraId="08B93F8C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Constrained</w:t>
            </w:r>
          </w:p>
        </w:tc>
        <w:tc>
          <w:tcPr>
            <w:tcW w:w="2252" w:type="dxa"/>
          </w:tcPr>
          <w:p w14:paraId="45C78858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0.9694</w:t>
            </w:r>
          </w:p>
        </w:tc>
        <w:tc>
          <w:tcPr>
            <w:tcW w:w="2253" w:type="dxa"/>
          </w:tcPr>
          <w:p w14:paraId="12C67170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0.2083</w:t>
            </w:r>
          </w:p>
        </w:tc>
        <w:tc>
          <w:tcPr>
            <w:tcW w:w="2253" w:type="dxa"/>
          </w:tcPr>
          <w:p w14:paraId="61FA8484" w14:textId="77777777" w:rsidR="00166F50" w:rsidRDefault="00166F50" w:rsidP="0045751B">
            <w:pPr>
              <w:spacing w:line="480" w:lineRule="auto"/>
            </w:pPr>
            <w:r>
              <w:t>7</w:t>
            </w:r>
          </w:p>
        </w:tc>
      </w:tr>
      <w:tr w:rsidR="00166F50" w14:paraId="388803C6" w14:textId="77777777" w:rsidTr="0048058E">
        <w:tc>
          <w:tcPr>
            <w:tcW w:w="2252" w:type="dxa"/>
          </w:tcPr>
          <w:p w14:paraId="2E169BA1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Unconstrained</w:t>
            </w:r>
          </w:p>
        </w:tc>
        <w:tc>
          <w:tcPr>
            <w:tcW w:w="2252" w:type="dxa"/>
          </w:tcPr>
          <w:p w14:paraId="345D4CDA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>3.6803</w:t>
            </w:r>
          </w:p>
        </w:tc>
        <w:tc>
          <w:tcPr>
            <w:tcW w:w="2253" w:type="dxa"/>
          </w:tcPr>
          <w:p w14:paraId="7A5A071B" w14:textId="77777777" w:rsidR="00166F50" w:rsidRDefault="00166F50" w:rsidP="0045751B">
            <w:pPr>
              <w:spacing w:line="480" w:lineRule="auto"/>
            </w:pPr>
            <w:r w:rsidRPr="000E0075">
              <w:rPr>
                <w:rStyle w:val="gnkrckgcgsb"/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0.7915                              </w:t>
            </w:r>
          </w:p>
        </w:tc>
        <w:tc>
          <w:tcPr>
            <w:tcW w:w="2253" w:type="dxa"/>
          </w:tcPr>
          <w:p w14:paraId="6ACF94B0" w14:textId="77777777" w:rsidR="00166F50" w:rsidRDefault="00166F50" w:rsidP="0045751B">
            <w:pPr>
              <w:spacing w:line="480" w:lineRule="auto"/>
            </w:pPr>
            <w:r>
              <w:t>10</w:t>
            </w:r>
          </w:p>
        </w:tc>
      </w:tr>
    </w:tbl>
    <w:p w14:paraId="550582B1" w14:textId="77777777" w:rsidR="00166F50" w:rsidRPr="00EF2C21" w:rsidRDefault="00166F50" w:rsidP="00166F50">
      <w:pPr>
        <w:spacing w:line="360" w:lineRule="auto"/>
      </w:pPr>
    </w:p>
    <w:bookmarkEnd w:id="2"/>
    <w:p w14:paraId="4F73B03E" w14:textId="77777777" w:rsidR="00166F50" w:rsidRDefault="00166F50" w:rsidP="00166F50">
      <w:pPr>
        <w:spacing w:line="360" w:lineRule="auto"/>
      </w:pPr>
    </w:p>
    <w:p w14:paraId="2FC38C3B" w14:textId="77777777" w:rsidR="00166F50" w:rsidRDefault="00166F50"/>
    <w:p w14:paraId="7BE776CA" w14:textId="77777777" w:rsidR="00166F50" w:rsidRDefault="00166F50"/>
    <w:sectPr w:rsidR="00166F50" w:rsidSect="002D73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1A"/>
    <w:rsid w:val="00166F50"/>
    <w:rsid w:val="001863DC"/>
    <w:rsid w:val="001F3765"/>
    <w:rsid w:val="002B4ED1"/>
    <w:rsid w:val="002D7331"/>
    <w:rsid w:val="003813C2"/>
    <w:rsid w:val="00397540"/>
    <w:rsid w:val="0040099F"/>
    <w:rsid w:val="00411289"/>
    <w:rsid w:val="0045751B"/>
    <w:rsid w:val="0046151A"/>
    <w:rsid w:val="0048058E"/>
    <w:rsid w:val="004A1045"/>
    <w:rsid w:val="0051001E"/>
    <w:rsid w:val="006161B8"/>
    <w:rsid w:val="00617B38"/>
    <w:rsid w:val="006A1509"/>
    <w:rsid w:val="007C2ABF"/>
    <w:rsid w:val="00814504"/>
    <w:rsid w:val="00852B9F"/>
    <w:rsid w:val="00856E4C"/>
    <w:rsid w:val="008C58E6"/>
    <w:rsid w:val="009D396A"/>
    <w:rsid w:val="00A24E18"/>
    <w:rsid w:val="00A363BC"/>
    <w:rsid w:val="00A44114"/>
    <w:rsid w:val="00A769D1"/>
    <w:rsid w:val="00AA43D8"/>
    <w:rsid w:val="00B2783E"/>
    <w:rsid w:val="00BF11A0"/>
    <w:rsid w:val="00C55956"/>
    <w:rsid w:val="00D17501"/>
    <w:rsid w:val="00D7703D"/>
    <w:rsid w:val="00DC3F06"/>
    <w:rsid w:val="00ED5A77"/>
    <w:rsid w:val="00EF5E31"/>
    <w:rsid w:val="00F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1AA8"/>
  <w15:chartTrackingRefBased/>
  <w15:docId w15:val="{B949DA57-A05B-B748-844D-3B1ADE2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B9F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5A77"/>
    <w:pPr>
      <w:spacing w:after="200"/>
    </w:pPr>
    <w:rPr>
      <w:b/>
      <w:bCs/>
      <w:color w:val="4472C4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A77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77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77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6F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F50"/>
    <w:rPr>
      <w:color w:val="800080"/>
      <w:u w:val="single"/>
    </w:rPr>
  </w:style>
  <w:style w:type="paragraph" w:customStyle="1" w:styleId="msonormal0">
    <w:name w:val="msonormal"/>
    <w:basedOn w:val="Normal"/>
    <w:rsid w:val="00166F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1">
    <w:name w:val="font1"/>
    <w:basedOn w:val="Normal"/>
    <w:rsid w:val="00166F50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166F50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lang w:eastAsia="en-GB"/>
    </w:rPr>
  </w:style>
  <w:style w:type="paragraph" w:customStyle="1" w:styleId="font6">
    <w:name w:val="font6"/>
    <w:basedOn w:val="Normal"/>
    <w:rsid w:val="00166F50"/>
    <w:pPr>
      <w:spacing w:before="100" w:beforeAutospacing="1" w:after="100" w:afterAutospacing="1"/>
    </w:pPr>
    <w:rPr>
      <w:rFonts w:ascii="Calibri" w:eastAsia="Times New Roman" w:hAnsi="Calibri" w:cs="Calibri"/>
      <w:color w:val="FF0000"/>
      <w:lang w:eastAsia="en-GB"/>
    </w:rPr>
  </w:style>
  <w:style w:type="paragraph" w:customStyle="1" w:styleId="font7">
    <w:name w:val="font7"/>
    <w:basedOn w:val="Normal"/>
    <w:rsid w:val="00166F50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FF0000"/>
      <w:lang w:eastAsia="en-GB"/>
    </w:rPr>
  </w:style>
  <w:style w:type="paragraph" w:customStyle="1" w:styleId="font8">
    <w:name w:val="font8"/>
    <w:basedOn w:val="Normal"/>
    <w:rsid w:val="00166F50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9">
    <w:name w:val="font9"/>
    <w:basedOn w:val="Normal"/>
    <w:rsid w:val="00166F50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lang w:eastAsia="en-GB"/>
    </w:rPr>
  </w:style>
  <w:style w:type="paragraph" w:customStyle="1" w:styleId="font10">
    <w:name w:val="font10"/>
    <w:basedOn w:val="Normal"/>
    <w:rsid w:val="00166F50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xl65">
    <w:name w:val="xl65"/>
    <w:basedOn w:val="Normal"/>
    <w:rsid w:val="00166F5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6">
    <w:name w:val="xl66"/>
    <w:basedOn w:val="Normal"/>
    <w:rsid w:val="00166F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166F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en-GB"/>
    </w:rPr>
  </w:style>
  <w:style w:type="paragraph" w:customStyle="1" w:styleId="xl68">
    <w:name w:val="xl68"/>
    <w:basedOn w:val="Normal"/>
    <w:rsid w:val="00166F50"/>
    <w:pP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166F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xl70">
    <w:name w:val="xl70"/>
    <w:basedOn w:val="Normal"/>
    <w:rsid w:val="00166F5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lang w:eastAsia="en-GB"/>
    </w:rPr>
  </w:style>
  <w:style w:type="paragraph" w:customStyle="1" w:styleId="xl71">
    <w:name w:val="xl71"/>
    <w:basedOn w:val="Normal"/>
    <w:rsid w:val="00166F5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2">
    <w:name w:val="xl72"/>
    <w:basedOn w:val="Normal"/>
    <w:rsid w:val="00166F5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en-GB"/>
    </w:rPr>
  </w:style>
  <w:style w:type="paragraph" w:customStyle="1" w:styleId="xl73">
    <w:name w:val="xl73"/>
    <w:basedOn w:val="Normal"/>
    <w:rsid w:val="00166F50"/>
    <w:pP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lang w:eastAsia="en-GB"/>
    </w:rPr>
  </w:style>
  <w:style w:type="paragraph" w:customStyle="1" w:styleId="xl74">
    <w:name w:val="xl74"/>
    <w:basedOn w:val="Normal"/>
    <w:rsid w:val="00166F5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en-GB"/>
    </w:rPr>
  </w:style>
  <w:style w:type="paragraph" w:customStyle="1" w:styleId="xl75">
    <w:name w:val="xl75"/>
    <w:basedOn w:val="Normal"/>
    <w:rsid w:val="00166F50"/>
    <w:pP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table" w:styleId="TableGrid">
    <w:name w:val="Table Grid"/>
    <w:basedOn w:val="TableNormal"/>
    <w:uiPriority w:val="39"/>
    <w:rsid w:val="001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nkrckgcgsb">
    <w:name w:val="gnkrckgcgsb"/>
    <w:basedOn w:val="DefaultParagraphFont"/>
    <w:rsid w:val="0016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D2C25-771F-45AA-855A-2638D92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Bharat</cp:lastModifiedBy>
  <cp:revision>32</cp:revision>
  <dcterms:created xsi:type="dcterms:W3CDTF">2020-01-27T15:57:00Z</dcterms:created>
  <dcterms:modified xsi:type="dcterms:W3CDTF">2020-06-12T08:14:00Z</dcterms:modified>
</cp:coreProperties>
</file>