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EA" w:rsidRPr="002561EA" w:rsidRDefault="002561EA" w:rsidP="002561EA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eastAsia="ja-JP"/>
        </w:rPr>
      </w:pPr>
      <w:r w:rsidRPr="002561EA">
        <w:rPr>
          <w:rFonts w:ascii="Times New Roman" w:eastAsia="SimSun" w:hAnsi="Times New Roman" w:cs="Times New Roman"/>
          <w:b/>
          <w:sz w:val="24"/>
          <w:szCs w:val="24"/>
          <w:lang w:eastAsia="ja-JP"/>
        </w:rPr>
        <w:t>Supplementary Online Materials</w:t>
      </w:r>
    </w:p>
    <w:p w:rsidR="002561EA" w:rsidRPr="002561EA" w:rsidRDefault="002561EA" w:rsidP="002561E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ja-JP"/>
        </w:rPr>
      </w:pPr>
      <w:r w:rsidRPr="002561EA">
        <w:rPr>
          <w:rFonts w:ascii="Times New Roman" w:eastAsia="SimSun" w:hAnsi="Times New Roman" w:cs="Times New Roman" w:hint="eastAsia"/>
          <w:sz w:val="24"/>
          <w:szCs w:val="24"/>
          <w:lang w:eastAsia="ja-JP"/>
        </w:rPr>
        <w:t>Table S</w:t>
      </w:r>
      <w:r w:rsidRPr="002561EA">
        <w:rPr>
          <w:rFonts w:ascii="Times New Roman" w:eastAsia="SimSun" w:hAnsi="Times New Roman" w:cs="Times New Roman"/>
          <w:sz w:val="24"/>
          <w:szCs w:val="24"/>
          <w:lang w:eastAsia="ja-JP"/>
        </w:rPr>
        <w:t>1</w:t>
      </w:r>
      <w:r w:rsidRPr="002561EA">
        <w:rPr>
          <w:rFonts w:ascii="Times New Roman" w:eastAsia="SimSun" w:hAnsi="Times New Roman" w:cs="Times New Roman" w:hint="eastAsia"/>
          <w:sz w:val="24"/>
          <w:szCs w:val="24"/>
          <w:lang w:eastAsia="ja-JP"/>
        </w:rPr>
        <w:t xml:space="preserve">. </w:t>
      </w:r>
      <w:r w:rsidRPr="002561EA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Spearman’s rank correlation coefficients between </w:t>
      </w:r>
      <w:r w:rsidRPr="002561EA">
        <w:rPr>
          <w:rFonts w:ascii="Times New Roman" w:eastAsia="SimSun" w:hAnsi="Times New Roman" w:cs="Times New Roman" w:hint="eastAsia"/>
          <w:sz w:val="24"/>
          <w:szCs w:val="24"/>
          <w:lang w:eastAsia="ja-JP"/>
        </w:rPr>
        <w:t>response</w:t>
      </w:r>
      <w:r w:rsidRPr="002561EA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 variables.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559"/>
        <w:gridCol w:w="1701"/>
        <w:gridCol w:w="1276"/>
        <w:gridCol w:w="2409"/>
        <w:gridCol w:w="1418"/>
      </w:tblGrid>
      <w:tr w:rsidR="002561EA" w:rsidRPr="002561EA" w:rsidTr="007D4BA0">
        <w:trPr>
          <w:trHeight w:val="27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561EA" w:rsidRPr="002561EA" w:rsidRDefault="002561EA" w:rsidP="002561EA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61EA" w:rsidRPr="002561EA" w:rsidRDefault="002561EA" w:rsidP="002561EA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NGO membership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61EA" w:rsidRPr="002561EA" w:rsidRDefault="002561EA" w:rsidP="002561EA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IUCN organisations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561EA" w:rsidRPr="002561EA" w:rsidRDefault="002561EA" w:rsidP="002561EA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% Aichi target 11 achieved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561EA" w:rsidRPr="002561EA" w:rsidRDefault="002561EA" w:rsidP="002561EA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Ecosystem vitality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561EA" w:rsidRPr="002561EA" w:rsidRDefault="002561EA" w:rsidP="002561EA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 xml:space="preserve">Domestic </w:t>
            </w:r>
            <w:r w:rsidRPr="002561EA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conservation</w:t>
            </w: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 xml:space="preserve"> spend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61EA" w:rsidRPr="002561EA" w:rsidRDefault="002561EA" w:rsidP="002561EA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Multilateral agreements</w:t>
            </w:r>
          </w:p>
        </w:tc>
      </w:tr>
      <w:tr w:rsidR="002561EA" w:rsidRPr="002561EA" w:rsidTr="007D4BA0">
        <w:trPr>
          <w:trHeight w:val="270"/>
        </w:trPr>
        <w:tc>
          <w:tcPr>
            <w:tcW w:w="2518" w:type="dxa"/>
            <w:tcBorders>
              <w:top w:val="single" w:sz="4" w:space="0" w:color="auto"/>
            </w:tcBorders>
            <w:noWrap/>
            <w:hideMark/>
          </w:tcPr>
          <w:p w:rsidR="002561EA" w:rsidRPr="002561EA" w:rsidRDefault="002561EA" w:rsidP="002561EA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561EA" w:rsidRPr="002561EA" w:rsidTr="007D4BA0">
        <w:trPr>
          <w:trHeight w:val="270"/>
        </w:trPr>
        <w:tc>
          <w:tcPr>
            <w:tcW w:w="2518" w:type="dxa"/>
            <w:noWrap/>
            <w:hideMark/>
          </w:tcPr>
          <w:p w:rsidR="002561EA" w:rsidRPr="002561EA" w:rsidRDefault="002561EA" w:rsidP="002561EA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IUCN organisations</w:t>
            </w:r>
          </w:p>
        </w:tc>
        <w:tc>
          <w:tcPr>
            <w:tcW w:w="1418" w:type="dxa"/>
            <w:vAlign w:val="center"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0.41</w:t>
            </w:r>
          </w:p>
        </w:tc>
        <w:tc>
          <w:tcPr>
            <w:tcW w:w="1559" w:type="dxa"/>
            <w:vAlign w:val="center"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561EA" w:rsidRPr="002561EA" w:rsidTr="007D4BA0">
        <w:trPr>
          <w:trHeight w:val="270"/>
        </w:trPr>
        <w:tc>
          <w:tcPr>
            <w:tcW w:w="2518" w:type="dxa"/>
            <w:noWrap/>
            <w:hideMark/>
          </w:tcPr>
          <w:p w:rsidR="002561EA" w:rsidRPr="002561EA" w:rsidRDefault="002561EA" w:rsidP="002561EA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% Aichi target 11 achieved</w:t>
            </w:r>
          </w:p>
        </w:tc>
        <w:tc>
          <w:tcPr>
            <w:tcW w:w="1418" w:type="dxa"/>
            <w:vAlign w:val="center"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0.24</w:t>
            </w:r>
          </w:p>
        </w:tc>
        <w:tc>
          <w:tcPr>
            <w:tcW w:w="1559" w:type="dxa"/>
            <w:vAlign w:val="center"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0.27</w:t>
            </w:r>
          </w:p>
        </w:tc>
        <w:tc>
          <w:tcPr>
            <w:tcW w:w="1701" w:type="dxa"/>
            <w:noWrap/>
            <w:vAlign w:val="center"/>
            <w:hideMark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561EA" w:rsidRPr="002561EA" w:rsidTr="007D4BA0">
        <w:trPr>
          <w:trHeight w:val="270"/>
        </w:trPr>
        <w:tc>
          <w:tcPr>
            <w:tcW w:w="2518" w:type="dxa"/>
            <w:noWrap/>
            <w:hideMark/>
          </w:tcPr>
          <w:p w:rsidR="002561EA" w:rsidRPr="002561EA" w:rsidRDefault="002561EA" w:rsidP="002561EA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Ecosystem vitality</w:t>
            </w:r>
          </w:p>
        </w:tc>
        <w:tc>
          <w:tcPr>
            <w:tcW w:w="1418" w:type="dxa"/>
            <w:vAlign w:val="center"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0.52</w:t>
            </w:r>
          </w:p>
        </w:tc>
        <w:tc>
          <w:tcPr>
            <w:tcW w:w="1559" w:type="dxa"/>
            <w:vAlign w:val="center"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0.35</w:t>
            </w:r>
          </w:p>
        </w:tc>
        <w:tc>
          <w:tcPr>
            <w:tcW w:w="1701" w:type="dxa"/>
            <w:noWrap/>
            <w:vAlign w:val="center"/>
            <w:hideMark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0.57</w:t>
            </w:r>
          </w:p>
        </w:tc>
        <w:tc>
          <w:tcPr>
            <w:tcW w:w="1276" w:type="dxa"/>
            <w:noWrap/>
            <w:vAlign w:val="center"/>
            <w:hideMark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561EA" w:rsidRPr="002561EA" w:rsidTr="007D4BA0">
        <w:trPr>
          <w:trHeight w:val="270"/>
        </w:trPr>
        <w:tc>
          <w:tcPr>
            <w:tcW w:w="2518" w:type="dxa"/>
            <w:noWrap/>
            <w:hideMark/>
          </w:tcPr>
          <w:p w:rsidR="002561EA" w:rsidRPr="002561EA" w:rsidRDefault="002561EA" w:rsidP="002561EA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 xml:space="preserve">Domestic </w:t>
            </w:r>
            <w:r w:rsidRPr="002561EA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conservation</w:t>
            </w: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 xml:space="preserve"> spending</w:t>
            </w:r>
          </w:p>
        </w:tc>
        <w:tc>
          <w:tcPr>
            <w:tcW w:w="1418" w:type="dxa"/>
            <w:vAlign w:val="center"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0.77</w:t>
            </w:r>
          </w:p>
        </w:tc>
        <w:tc>
          <w:tcPr>
            <w:tcW w:w="1559" w:type="dxa"/>
            <w:vAlign w:val="center"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0.57</w:t>
            </w:r>
          </w:p>
        </w:tc>
        <w:tc>
          <w:tcPr>
            <w:tcW w:w="1701" w:type="dxa"/>
            <w:noWrap/>
            <w:vAlign w:val="center"/>
            <w:hideMark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0.26</w:t>
            </w:r>
          </w:p>
        </w:tc>
        <w:tc>
          <w:tcPr>
            <w:tcW w:w="1276" w:type="dxa"/>
            <w:noWrap/>
            <w:vAlign w:val="center"/>
            <w:hideMark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0.63</w:t>
            </w:r>
          </w:p>
        </w:tc>
        <w:tc>
          <w:tcPr>
            <w:tcW w:w="2409" w:type="dxa"/>
            <w:noWrap/>
            <w:vAlign w:val="center"/>
            <w:hideMark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561EA" w:rsidRPr="002561EA" w:rsidTr="007D4BA0">
        <w:trPr>
          <w:trHeight w:val="270"/>
        </w:trPr>
        <w:tc>
          <w:tcPr>
            <w:tcW w:w="2518" w:type="dxa"/>
            <w:noWrap/>
            <w:hideMark/>
          </w:tcPr>
          <w:p w:rsidR="002561EA" w:rsidRPr="002561EA" w:rsidRDefault="002561EA" w:rsidP="002561EA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Multilateral agreements</w:t>
            </w:r>
          </w:p>
        </w:tc>
        <w:tc>
          <w:tcPr>
            <w:tcW w:w="1418" w:type="dxa"/>
            <w:vAlign w:val="center"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0.48</w:t>
            </w:r>
          </w:p>
        </w:tc>
        <w:tc>
          <w:tcPr>
            <w:tcW w:w="1559" w:type="dxa"/>
            <w:vAlign w:val="center"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0.33</w:t>
            </w:r>
          </w:p>
        </w:tc>
        <w:tc>
          <w:tcPr>
            <w:tcW w:w="1701" w:type="dxa"/>
            <w:noWrap/>
            <w:vAlign w:val="center"/>
            <w:hideMark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0.23</w:t>
            </w:r>
          </w:p>
        </w:tc>
        <w:tc>
          <w:tcPr>
            <w:tcW w:w="1276" w:type="dxa"/>
            <w:noWrap/>
            <w:vAlign w:val="center"/>
            <w:hideMark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0.50</w:t>
            </w:r>
          </w:p>
        </w:tc>
        <w:tc>
          <w:tcPr>
            <w:tcW w:w="2409" w:type="dxa"/>
            <w:noWrap/>
            <w:vAlign w:val="center"/>
            <w:hideMark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0.48</w:t>
            </w:r>
          </w:p>
        </w:tc>
        <w:tc>
          <w:tcPr>
            <w:tcW w:w="1418" w:type="dxa"/>
            <w:vAlign w:val="center"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561EA" w:rsidRPr="002561EA" w:rsidTr="007D4BA0">
        <w:trPr>
          <w:trHeight w:val="270"/>
        </w:trPr>
        <w:tc>
          <w:tcPr>
            <w:tcW w:w="2518" w:type="dxa"/>
            <w:tcBorders>
              <w:bottom w:val="single" w:sz="4" w:space="0" w:color="auto"/>
            </w:tcBorders>
            <w:noWrap/>
            <w:hideMark/>
          </w:tcPr>
          <w:p w:rsidR="002561EA" w:rsidRPr="002561EA" w:rsidRDefault="002561EA" w:rsidP="002561EA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Environmental enforcement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0.65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0.29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0.33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0.60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0.64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61EA" w:rsidRPr="002561EA" w:rsidRDefault="002561EA" w:rsidP="002561E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2561EA">
              <w:rPr>
                <w:rFonts w:ascii="Times New Roman" w:eastAsia="SimSun" w:hAnsi="Times New Roman" w:cs="Times New Roman" w:hint="eastAsia"/>
                <w:sz w:val="24"/>
                <w:szCs w:val="24"/>
                <w:lang w:eastAsia="ja-JP"/>
              </w:rPr>
              <w:t>0.45</w:t>
            </w:r>
          </w:p>
        </w:tc>
      </w:tr>
    </w:tbl>
    <w:p w:rsidR="002561EA" w:rsidRPr="002561EA" w:rsidRDefault="002561EA" w:rsidP="002561E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ja-JP"/>
        </w:rPr>
      </w:pPr>
    </w:p>
    <w:p w:rsidR="00D415E1" w:rsidRPr="002561EA" w:rsidRDefault="002561EA" w:rsidP="002561E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ja-JP"/>
        </w:rPr>
      </w:pPr>
      <w:bookmarkStart w:id="0" w:name="_GoBack"/>
      <w:bookmarkEnd w:id="0"/>
    </w:p>
    <w:sectPr w:rsidR="00D415E1" w:rsidRPr="002561EA" w:rsidSect="002561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EA"/>
    <w:rsid w:val="002561EA"/>
    <w:rsid w:val="007707C2"/>
    <w:rsid w:val="007969C8"/>
    <w:rsid w:val="00A77901"/>
    <w:rsid w:val="00B06BC1"/>
    <w:rsid w:val="00D7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EB44"/>
  <w15:chartTrackingRefBased/>
  <w15:docId w15:val="{EA226A8F-3D35-41FC-938B-449029C5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BAYNHAM-HERD Zachary</dc:creator>
  <cp:keywords/>
  <dc:description/>
  <cp:lastModifiedBy>BAYNHAM-HERD Zachary</cp:lastModifiedBy>
  <cp:revision>1</cp:revision>
  <dcterms:created xsi:type="dcterms:W3CDTF">2016-09-30T15:00:00Z</dcterms:created>
  <dcterms:modified xsi:type="dcterms:W3CDTF">2016-09-30T15:01:00Z</dcterms:modified>
</cp:coreProperties>
</file>