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D8" w:rsidRDefault="008056D8" w:rsidP="008056D8">
      <w:pPr>
        <w:spacing w:line="276" w:lineRule="auto"/>
        <w:jc w:val="center"/>
        <w:rPr>
          <w:b/>
        </w:rPr>
      </w:pPr>
      <w:r w:rsidRPr="000155E5">
        <w:rPr>
          <w:rStyle w:val="Heading1Char"/>
          <w:rFonts w:asciiTheme="minorHAnsi" w:hAnsiTheme="minorHAnsi"/>
          <w:b/>
          <w:sz w:val="32"/>
          <w:szCs w:val="32"/>
        </w:rPr>
        <w:t xml:space="preserve">Appendix </w:t>
      </w:r>
      <w:r>
        <w:rPr>
          <w:rStyle w:val="Heading1Char"/>
          <w:rFonts w:asciiTheme="minorHAnsi" w:hAnsiTheme="minorHAnsi"/>
          <w:b/>
          <w:sz w:val="32"/>
          <w:szCs w:val="32"/>
        </w:rPr>
        <w:t>S</w:t>
      </w:r>
      <w:r>
        <w:rPr>
          <w:rStyle w:val="Heading1Char"/>
          <w:rFonts w:asciiTheme="minorHAnsi" w:hAnsiTheme="minorHAnsi"/>
          <w:b/>
          <w:sz w:val="32"/>
          <w:szCs w:val="32"/>
        </w:rPr>
        <w:t>8</w:t>
      </w:r>
      <w:r w:rsidRPr="00B847A6">
        <w:rPr>
          <w:rStyle w:val="Heading1Char"/>
          <w:rFonts w:asciiTheme="minorHAnsi" w:hAnsiTheme="minorHAnsi"/>
          <w:b/>
          <w:sz w:val="32"/>
          <w:szCs w:val="32"/>
        </w:rPr>
        <w:t xml:space="preserve"> </w:t>
      </w:r>
      <w:r>
        <w:rPr>
          <w:rStyle w:val="Heading1Char"/>
          <w:rFonts w:asciiTheme="minorHAnsi" w:hAnsiTheme="minorHAnsi"/>
          <w:b/>
          <w:sz w:val="32"/>
          <w:szCs w:val="32"/>
        </w:rPr>
        <w:t>–</w:t>
      </w:r>
      <w:r>
        <w:rPr>
          <w:rStyle w:val="Heading1Char"/>
          <w:rFonts w:asciiTheme="minorHAnsi" w:hAnsiTheme="minorHAnsi"/>
          <w:sz w:val="32"/>
          <w:szCs w:val="32"/>
        </w:rPr>
        <w:t xml:space="preserve"> </w:t>
      </w:r>
      <w:r>
        <w:rPr>
          <w:rStyle w:val="Heading1Char"/>
          <w:rFonts w:asciiTheme="minorHAnsi" w:hAnsiTheme="minorHAnsi"/>
          <w:b/>
          <w:bCs/>
          <w:sz w:val="32"/>
          <w:szCs w:val="32"/>
        </w:rPr>
        <w:t>Model Assumptions and Limitations</w:t>
      </w:r>
      <w:r w:rsidRPr="00B847A6">
        <w:rPr>
          <w:rStyle w:val="Heading1Char"/>
          <w:rFonts w:asciiTheme="minorHAnsi" w:hAnsiTheme="minorHAnsi"/>
          <w:b/>
          <w:bCs/>
          <w:sz w:val="32"/>
          <w:szCs w:val="32"/>
        </w:rPr>
        <w:t>.</w:t>
      </w:r>
    </w:p>
    <w:p w:rsidR="008056D8" w:rsidRDefault="008056D8" w:rsidP="008056D8">
      <w:pPr>
        <w:spacing w:line="276" w:lineRule="auto"/>
        <w:jc w:val="both"/>
        <w:rPr>
          <w:b/>
        </w:rPr>
      </w:pPr>
    </w:p>
    <w:p w:rsidR="008056D8" w:rsidRDefault="008056D8" w:rsidP="008056D8">
      <w:pPr>
        <w:spacing w:line="276" w:lineRule="auto"/>
        <w:jc w:val="both"/>
        <w:rPr>
          <w:b/>
        </w:rPr>
      </w:pPr>
      <w:r w:rsidRPr="00740FA8">
        <w:rPr>
          <w:b/>
        </w:rPr>
        <w:t>Assumptions and limitations of MYRLIN</w:t>
      </w:r>
    </w:p>
    <w:p w:rsidR="008056D8" w:rsidRPr="00C9355F" w:rsidRDefault="008056D8" w:rsidP="008056D8">
      <w:pPr>
        <w:spacing w:line="276" w:lineRule="auto"/>
        <w:jc w:val="both"/>
        <w:rPr>
          <w:b/>
          <w:sz w:val="14"/>
        </w:rPr>
      </w:pPr>
    </w:p>
    <w:p w:rsidR="008056D8" w:rsidRDefault="008056D8" w:rsidP="008056D8">
      <w:pPr>
        <w:spacing w:line="276" w:lineRule="auto"/>
        <w:jc w:val="both"/>
        <w:rPr>
          <w:u w:val="single"/>
        </w:rPr>
      </w:pPr>
      <w:proofErr w:type="spellStart"/>
      <w:r w:rsidRPr="0098073B">
        <w:rPr>
          <w:u w:val="single"/>
        </w:rPr>
        <w:t>Allometric</w:t>
      </w:r>
      <w:proofErr w:type="spellEnd"/>
      <w:r w:rsidRPr="0098073B">
        <w:rPr>
          <w:u w:val="single"/>
        </w:rPr>
        <w:t xml:space="preserve"> equations and wood density </w:t>
      </w:r>
    </w:p>
    <w:p w:rsidR="008056D8" w:rsidRDefault="008056D8" w:rsidP="008056D8">
      <w:pPr>
        <w:spacing w:line="276" w:lineRule="auto"/>
        <w:jc w:val="both"/>
        <w:rPr>
          <w:color w:val="FF0000"/>
        </w:rPr>
      </w:pPr>
      <w:r w:rsidRPr="00377449">
        <w:t xml:space="preserve">MYRLIN is based on data from humid tropical forest species. </w:t>
      </w:r>
      <w:r w:rsidRPr="00377449">
        <w:rPr>
          <w:lang w:val="en-US"/>
        </w:rPr>
        <w:t xml:space="preserve">This has resulted in effective implementation </w:t>
      </w:r>
      <w:r w:rsidRPr="00377449">
        <w:t xml:space="preserve">in </w:t>
      </w:r>
      <w:r>
        <w:t>many</w:t>
      </w:r>
      <w:r w:rsidRPr="00377449">
        <w:t xml:space="preserve"> tropical locations (</w:t>
      </w:r>
      <w:proofErr w:type="spellStart"/>
      <w:r w:rsidRPr="00377449">
        <w:t>Nicol</w:t>
      </w:r>
      <w:proofErr w:type="spellEnd"/>
      <w:r w:rsidRPr="00377449">
        <w:t xml:space="preserve"> </w:t>
      </w:r>
      <w:r w:rsidRPr="006B4B50">
        <w:rPr>
          <w:i/>
          <w:iCs/>
        </w:rPr>
        <w:t>et al.</w:t>
      </w:r>
      <w:r w:rsidRPr="00377449">
        <w:t xml:space="preserve"> 2002; van </w:t>
      </w:r>
      <w:proofErr w:type="spellStart"/>
      <w:r w:rsidRPr="00377449">
        <w:t>Gardingen</w:t>
      </w:r>
      <w:proofErr w:type="spellEnd"/>
      <w:r w:rsidRPr="00377449">
        <w:t xml:space="preserve"> 2003), but </w:t>
      </w:r>
      <w:r>
        <w:t xml:space="preserve">is not known to have been utilised within </w:t>
      </w:r>
      <w:proofErr w:type="spellStart"/>
      <w:r>
        <w:t>miombo</w:t>
      </w:r>
      <w:proofErr w:type="spellEnd"/>
      <w:r>
        <w:t xml:space="preserve"> woodland (D. Alder </w:t>
      </w:r>
      <w:r w:rsidRPr="00CB54BA">
        <w:t>personal communication, 3 March</w:t>
      </w:r>
      <w:r>
        <w:t xml:space="preserve">, 2014). Converting MYRLIN output (DINC) to AGB growth required a number of assumptions including </w:t>
      </w:r>
      <w:r w:rsidRPr="00BA6752">
        <w:t>a</w:t>
      </w:r>
      <w:r>
        <w:t>n</w:t>
      </w:r>
      <w:r w:rsidRPr="00BA6752">
        <w:t xml:space="preserve"> </w:t>
      </w:r>
      <w:r>
        <w:t>average</w:t>
      </w:r>
      <w:r w:rsidRPr="00BA6752">
        <w:t xml:space="preserve"> wood density value and </w:t>
      </w:r>
      <w:r>
        <w:t xml:space="preserve">a </w:t>
      </w:r>
      <w:r w:rsidRPr="00BA6752">
        <w:t xml:space="preserve">generalised </w:t>
      </w:r>
      <w:proofErr w:type="spellStart"/>
      <w:r w:rsidRPr="00BA6752">
        <w:t>allometric</w:t>
      </w:r>
      <w:proofErr w:type="spellEnd"/>
      <w:r w:rsidRPr="00BA6752">
        <w:t xml:space="preserve"> equation</w:t>
      </w:r>
      <w:r>
        <w:t>. This can</w:t>
      </w:r>
      <w:r w:rsidRPr="00BA6752">
        <w:t xml:space="preserve"> lead to inaccuracies when estimating the biomass of individual tree species (Chave </w:t>
      </w:r>
      <w:r w:rsidRPr="006B4B50">
        <w:rPr>
          <w:i/>
          <w:iCs/>
        </w:rPr>
        <w:t>et al.</w:t>
      </w:r>
      <w:r w:rsidRPr="00BA6752">
        <w:t xml:space="preserve"> </w:t>
      </w:r>
      <w:r>
        <w:t xml:space="preserve">2004) due to </w:t>
      </w:r>
      <w:r w:rsidRPr="00BA6752">
        <w:t>the influence</w:t>
      </w:r>
      <w:r>
        <w:t xml:space="preserve"> of</w:t>
      </w:r>
      <w:r w:rsidRPr="00BA6752">
        <w:t xml:space="preserve"> </w:t>
      </w:r>
      <w:r>
        <w:t xml:space="preserve">local environmental variables (Fonseca </w:t>
      </w:r>
      <w:r w:rsidRPr="006B4B50">
        <w:rPr>
          <w:i/>
          <w:iCs/>
        </w:rPr>
        <w:t>et al.</w:t>
      </w:r>
      <w:r>
        <w:t xml:space="preserve"> 2012). Wood density data </w:t>
      </w:r>
      <w:r w:rsidRPr="00BA6752">
        <w:t xml:space="preserve">is rarely </w:t>
      </w:r>
      <w:r>
        <w:t>available</w:t>
      </w:r>
      <w:r w:rsidRPr="00BA6752">
        <w:t xml:space="preserve"> in the tropics (</w:t>
      </w:r>
      <w:proofErr w:type="spellStart"/>
      <w:r w:rsidRPr="002B567B">
        <w:t>McWilliam</w:t>
      </w:r>
      <w:proofErr w:type="spellEnd"/>
      <w:r w:rsidRPr="002B567B">
        <w:t xml:space="preserve"> </w:t>
      </w:r>
      <w:r w:rsidRPr="006B4B50">
        <w:rPr>
          <w:i/>
          <w:iCs/>
        </w:rPr>
        <w:t>et al.</w:t>
      </w:r>
      <w:r w:rsidRPr="002B567B">
        <w:t xml:space="preserve"> 1993) and few </w:t>
      </w:r>
      <w:proofErr w:type="spellStart"/>
      <w:r w:rsidRPr="002B567B">
        <w:t>allometric</w:t>
      </w:r>
      <w:proofErr w:type="spellEnd"/>
      <w:r w:rsidRPr="002B567B">
        <w:t xml:space="preserve"> equations developed specifically for </w:t>
      </w:r>
      <w:proofErr w:type="spellStart"/>
      <w:r>
        <w:t>m</w:t>
      </w:r>
      <w:r w:rsidRPr="002B567B">
        <w:t>iombo</w:t>
      </w:r>
      <w:proofErr w:type="spellEnd"/>
      <w:r w:rsidRPr="002B567B">
        <w:t xml:space="preserve"> </w:t>
      </w:r>
      <w:r>
        <w:t xml:space="preserve">woodland </w:t>
      </w:r>
      <w:r w:rsidRPr="002B567B">
        <w:t xml:space="preserve">exist (Abbot 1999; Frost 1996; Ryan </w:t>
      </w:r>
      <w:r w:rsidRPr="006B4B50">
        <w:rPr>
          <w:i/>
          <w:iCs/>
        </w:rPr>
        <w:t>et al.</w:t>
      </w:r>
      <w:r w:rsidRPr="002B567B">
        <w:t xml:space="preserve"> 2010). Despite this, the AGB growth per hectare modelled within this study is comparable with other studies undertaken within </w:t>
      </w:r>
      <w:proofErr w:type="spellStart"/>
      <w:r>
        <w:t>m</w:t>
      </w:r>
      <w:r w:rsidRPr="002B567B">
        <w:t>iombo</w:t>
      </w:r>
      <w:proofErr w:type="spellEnd"/>
      <w:r w:rsidRPr="002B567B">
        <w:t xml:space="preserve"> </w:t>
      </w:r>
      <w:r>
        <w:t xml:space="preserve">woodland </w:t>
      </w:r>
      <w:r w:rsidRPr="002B567B">
        <w:t xml:space="preserve">(e.g. Guy 1981; </w:t>
      </w:r>
      <w:proofErr w:type="spellStart"/>
      <w:r w:rsidRPr="002B567B">
        <w:t>Chidumayo</w:t>
      </w:r>
      <w:proofErr w:type="spellEnd"/>
      <w:r w:rsidRPr="002B567B">
        <w:t xml:space="preserve"> 1990; Frost 1996).</w:t>
      </w:r>
      <w:r>
        <w:t xml:space="preserve"> </w:t>
      </w:r>
    </w:p>
    <w:p w:rsidR="008056D8" w:rsidRDefault="008056D8" w:rsidP="008056D8">
      <w:pPr>
        <w:spacing w:line="276" w:lineRule="auto"/>
      </w:pPr>
    </w:p>
    <w:p w:rsidR="008056D8" w:rsidRDefault="008056D8" w:rsidP="008056D8">
      <w:pPr>
        <w:spacing w:line="276" w:lineRule="auto"/>
        <w:jc w:val="both"/>
        <w:rPr>
          <w:noProof/>
          <w:u w:val="single"/>
          <w:lang w:eastAsia="en-GB"/>
        </w:rPr>
      </w:pPr>
      <w:r>
        <w:rPr>
          <w:noProof/>
          <w:u w:val="single"/>
          <w:lang w:eastAsia="en-GB"/>
        </w:rPr>
        <w:t>Land cover estimation</w:t>
      </w:r>
    </w:p>
    <w:p w:rsidR="008056D8" w:rsidRDefault="008056D8" w:rsidP="008056D8">
      <w:pPr>
        <w:spacing w:line="276" w:lineRule="auto"/>
        <w:jc w:val="both"/>
        <w:rPr>
          <w:noProof/>
          <w:lang w:eastAsia="en-GB"/>
        </w:rPr>
      </w:pPr>
      <w:r>
        <w:rPr>
          <w:noProof/>
          <w:lang w:eastAsia="en-GB"/>
        </w:rPr>
        <w:t>T</w:t>
      </w:r>
      <w:r w:rsidRPr="00B51751">
        <w:rPr>
          <w:noProof/>
          <w:lang w:eastAsia="en-GB"/>
        </w:rPr>
        <w:t xml:space="preserve">he validity of </w:t>
      </w:r>
      <w:r>
        <w:rPr>
          <w:noProof/>
          <w:lang w:eastAsia="en-GB"/>
        </w:rPr>
        <w:t xml:space="preserve">village level </w:t>
      </w:r>
      <w:r w:rsidRPr="00B51751">
        <w:rPr>
          <w:noProof/>
          <w:lang w:eastAsia="en-GB"/>
        </w:rPr>
        <w:t xml:space="preserve">results </w:t>
      </w:r>
      <w:r>
        <w:rPr>
          <w:noProof/>
          <w:lang w:eastAsia="en-GB"/>
        </w:rPr>
        <w:t>was</w:t>
      </w:r>
      <w:r w:rsidRPr="00B51751">
        <w:rPr>
          <w:noProof/>
          <w:lang w:eastAsia="en-GB"/>
        </w:rPr>
        <w:t xml:space="preserve"> largely influenced by the</w:t>
      </w:r>
      <w:r>
        <w:rPr>
          <w:noProof/>
          <w:lang w:eastAsia="en-GB"/>
        </w:rPr>
        <w:t xml:space="preserve"> calculated area of land use categories derived from the Globcover map. </w:t>
      </w:r>
    </w:p>
    <w:p w:rsidR="008056D8" w:rsidRDefault="008056D8" w:rsidP="008056D8">
      <w:pPr>
        <w:spacing w:line="276" w:lineRule="auto"/>
        <w:jc w:val="both"/>
      </w:pPr>
      <w:r>
        <w:rPr>
          <w:noProof/>
          <w:lang w:eastAsia="en-GB"/>
        </w:rPr>
        <w:t xml:space="preserve">Grassland was present in all villages, despite Globcover failing to identify its existence within Villages 2, 3, and 4. </w:t>
      </w:r>
      <w:r>
        <w:t xml:space="preserve">Similarly, in Village 1 the local community, supported by field observations, categorised the majority of the village land use as cropland (rice paddy fields), rather than the forest cover suggested by </w:t>
      </w:r>
      <w:proofErr w:type="spellStart"/>
      <w:r>
        <w:t>Globcover</w:t>
      </w:r>
      <w:proofErr w:type="spellEnd"/>
      <w:r>
        <w:t xml:space="preserve">. </w:t>
      </w:r>
      <w:r>
        <w:rPr>
          <w:noProof/>
          <w:lang w:eastAsia="en-GB"/>
        </w:rPr>
        <w:t xml:space="preserve">This may be because the land use has changed since the map </w:t>
      </w:r>
      <w:r w:rsidRPr="00026B68">
        <w:rPr>
          <w:noProof/>
          <w:lang w:eastAsia="en-GB"/>
        </w:rPr>
        <w:t>was produced, or because the</w:t>
      </w:r>
      <w:r w:rsidRPr="00026B68">
        <w:t xml:space="preserve"> resolution was not sufficient to accurately determine the land use categories. In addition, </w:t>
      </w:r>
      <w:proofErr w:type="spellStart"/>
      <w:r w:rsidRPr="00026B68">
        <w:t>Globcover</w:t>
      </w:r>
      <w:proofErr w:type="spellEnd"/>
      <w:r w:rsidRPr="00026B68">
        <w:t xml:space="preserve"> does not provide data </w:t>
      </w:r>
      <w:r>
        <w:t xml:space="preserve">defining the </w:t>
      </w:r>
      <w:r w:rsidRPr="00026B68">
        <w:t xml:space="preserve">area of settlement within each village. </w:t>
      </w:r>
    </w:p>
    <w:p w:rsidR="008056D8" w:rsidRPr="00026B68" w:rsidRDefault="008056D8" w:rsidP="008056D8">
      <w:pPr>
        <w:spacing w:line="276" w:lineRule="auto"/>
        <w:jc w:val="both"/>
        <w:rPr>
          <w:noProof/>
          <w:lang w:eastAsia="en-GB"/>
        </w:rPr>
      </w:pPr>
      <w:r w:rsidRPr="00026B68">
        <w:rPr>
          <w:noProof/>
          <w:lang w:eastAsia="en-GB"/>
        </w:rPr>
        <w:t xml:space="preserve">The last </w:t>
      </w:r>
      <w:r w:rsidRPr="00026B68">
        <w:t>national forest map was produced using Landsat in 1992 (GOM 2010) and as h</w:t>
      </w:r>
      <w:r w:rsidRPr="00026B68">
        <w:rPr>
          <w:noProof/>
          <w:lang w:eastAsia="en-GB"/>
        </w:rPr>
        <w:t xml:space="preserve">uman influence is having a rapid and substantial impact upon the tree cover </w:t>
      </w:r>
      <w:r>
        <w:rPr>
          <w:noProof/>
          <w:lang w:eastAsia="en-GB"/>
        </w:rPr>
        <w:t xml:space="preserve">in </w:t>
      </w:r>
      <w:r w:rsidRPr="00026B68">
        <w:rPr>
          <w:noProof/>
          <w:lang w:eastAsia="en-GB"/>
        </w:rPr>
        <w:t>Southern Malawi</w:t>
      </w:r>
      <w:r>
        <w:rPr>
          <w:noProof/>
          <w:lang w:eastAsia="en-GB"/>
        </w:rPr>
        <w:t xml:space="preserve">, the </w:t>
      </w:r>
      <w:r w:rsidRPr="00026B68">
        <w:t>provision of current, more resolut</w:t>
      </w:r>
      <w:r>
        <w:t xml:space="preserve">e images or maps </w:t>
      </w:r>
      <w:r w:rsidRPr="00026B68">
        <w:t>would enable more accurate determination of land use categories</w:t>
      </w:r>
      <w:r>
        <w:t>. This</w:t>
      </w:r>
      <w:r w:rsidRPr="00026B68">
        <w:t xml:space="preserve"> would improve future estimations of sustainability at village level and allow more informed management decisions from local bylaws to national policies</w:t>
      </w:r>
      <w:r>
        <w:t>.</w:t>
      </w:r>
    </w:p>
    <w:p w:rsidR="008056D8" w:rsidRDefault="008056D8" w:rsidP="008056D8">
      <w:pPr>
        <w:spacing w:line="276" w:lineRule="auto"/>
        <w:jc w:val="both"/>
      </w:pPr>
    </w:p>
    <w:p w:rsidR="008056D8" w:rsidRPr="009C4152" w:rsidRDefault="008056D8" w:rsidP="008056D8">
      <w:pPr>
        <w:spacing w:line="276" w:lineRule="auto"/>
        <w:jc w:val="both"/>
        <w:rPr>
          <w:u w:val="single"/>
        </w:rPr>
      </w:pPr>
      <w:r w:rsidRPr="009C4152">
        <w:rPr>
          <w:u w:val="single"/>
        </w:rPr>
        <w:t>Off-take rates</w:t>
      </w:r>
    </w:p>
    <w:p w:rsidR="008056D8" w:rsidRDefault="008056D8" w:rsidP="008056D8">
      <w:pPr>
        <w:spacing w:line="276" w:lineRule="auto"/>
        <w:jc w:val="both"/>
      </w:pPr>
      <w:r w:rsidRPr="006271E8">
        <w:t>To assess the sustainability of current off-take</w:t>
      </w:r>
      <w:r>
        <w:t>,</w:t>
      </w:r>
      <w:r w:rsidRPr="006271E8">
        <w:t xml:space="preserve"> t</w:t>
      </w:r>
      <w:r>
        <w:t>his study assumes that all wood</w:t>
      </w:r>
      <w:r w:rsidRPr="006271E8">
        <w:t xml:space="preserve"> is sourced from the village and that the consumption in villages is equal. </w:t>
      </w:r>
      <w:r>
        <w:t>I</w:t>
      </w:r>
      <w:r w:rsidRPr="006271E8">
        <w:t xml:space="preserve">n reality, wood may </w:t>
      </w:r>
      <w:r>
        <w:t>be sourced from local markets and</w:t>
      </w:r>
      <w:r w:rsidRPr="006271E8">
        <w:t xml:space="preserve"> per capita consumption rates </w:t>
      </w:r>
      <w:r>
        <w:t>are</w:t>
      </w:r>
      <w:r w:rsidRPr="006271E8">
        <w:t xml:space="preserve"> </w:t>
      </w:r>
      <w:r>
        <w:t xml:space="preserve">likely to </w:t>
      </w:r>
      <w:r w:rsidRPr="006271E8">
        <w:t>v</w:t>
      </w:r>
      <w:r>
        <w:t xml:space="preserve">ary between and within villages, with </w:t>
      </w:r>
      <w:r w:rsidRPr="006271E8">
        <w:t xml:space="preserve">larger households consuming less wood per capita than smaller households </w:t>
      </w:r>
      <w:r w:rsidRPr="006271E8">
        <w:lastRenderedPageBreak/>
        <w:t>(</w:t>
      </w:r>
      <w:proofErr w:type="spellStart"/>
      <w:r w:rsidRPr="006271E8">
        <w:t>Biran</w:t>
      </w:r>
      <w:proofErr w:type="spellEnd"/>
      <w:r w:rsidRPr="006271E8">
        <w:t xml:space="preserve"> </w:t>
      </w:r>
      <w:r w:rsidRPr="006B4B50">
        <w:rPr>
          <w:i/>
          <w:iCs/>
        </w:rPr>
        <w:t>et al.</w:t>
      </w:r>
      <w:r w:rsidRPr="006271E8">
        <w:t xml:space="preserve"> 2004).</w:t>
      </w:r>
      <w:r>
        <w:t xml:space="preserve"> H</w:t>
      </w:r>
      <w:r w:rsidRPr="006271E8">
        <w:t xml:space="preserve">ousehold surveys within the villages are </w:t>
      </w:r>
      <w:r>
        <w:t xml:space="preserve">currently being conducted by </w:t>
      </w:r>
      <w:r w:rsidRPr="006271E8">
        <w:t xml:space="preserve">ASSETS </w:t>
      </w:r>
      <w:r>
        <w:t>researchers to</w:t>
      </w:r>
      <w:r w:rsidRPr="006271E8">
        <w:t xml:space="preserve"> enable more </w:t>
      </w:r>
      <w:r>
        <w:t>accurate off-take data.</w:t>
      </w:r>
    </w:p>
    <w:p w:rsidR="008056D8" w:rsidRDefault="008056D8" w:rsidP="008056D8">
      <w:pPr>
        <w:spacing w:line="276" w:lineRule="auto"/>
        <w:jc w:val="both"/>
      </w:pPr>
    </w:p>
    <w:p w:rsidR="008056D8" w:rsidRDefault="008056D8" w:rsidP="008056D8">
      <w:pPr>
        <w:spacing w:line="276" w:lineRule="auto"/>
        <w:jc w:val="both"/>
        <w:rPr>
          <w:b/>
        </w:rPr>
      </w:pPr>
      <w:r w:rsidRPr="00740FA8">
        <w:rPr>
          <w:b/>
        </w:rPr>
        <w:t xml:space="preserve">Assumptions and limitations of </w:t>
      </w:r>
      <w:r>
        <w:rPr>
          <w:b/>
        </w:rPr>
        <w:t>LPJ-GUESS</w:t>
      </w:r>
    </w:p>
    <w:p w:rsidR="008056D8" w:rsidRPr="00C9355F" w:rsidRDefault="008056D8" w:rsidP="008056D8">
      <w:pPr>
        <w:spacing w:line="276" w:lineRule="auto"/>
        <w:jc w:val="both"/>
        <w:rPr>
          <w:b/>
          <w:sz w:val="14"/>
        </w:rPr>
      </w:pPr>
    </w:p>
    <w:p w:rsidR="008056D8" w:rsidRPr="00A53587" w:rsidRDefault="008056D8" w:rsidP="008056D8">
      <w:pPr>
        <w:spacing w:line="276" w:lineRule="auto"/>
        <w:jc w:val="both"/>
        <w:rPr>
          <w:u w:val="single"/>
        </w:rPr>
      </w:pPr>
      <w:r w:rsidRPr="00261059">
        <w:rPr>
          <w:u w:val="single"/>
        </w:rPr>
        <w:t>Cell dynamics</w:t>
      </w:r>
      <w:r>
        <w:rPr>
          <w:u w:val="single"/>
        </w:rPr>
        <w:t xml:space="preserve"> </w:t>
      </w:r>
    </w:p>
    <w:p w:rsidR="008056D8" w:rsidRDefault="008056D8" w:rsidP="008056D8">
      <w:pPr>
        <w:spacing w:line="276" w:lineRule="auto"/>
        <w:jc w:val="both"/>
      </w:pPr>
      <w:r>
        <w:t xml:space="preserve">The largest variations in AGB growth between the districts occurred in 2003 and 2005. However, due to the proximity of the districts, it seems improbable that the climate would vary substantially between adjacent cells. LPJ-GUESS models grid cells independently (Smith </w:t>
      </w:r>
      <w:r w:rsidRPr="006B4B50">
        <w:rPr>
          <w:i/>
          <w:iCs/>
        </w:rPr>
        <w:t>et al.</w:t>
      </w:r>
      <w:r>
        <w:t xml:space="preserve"> 2001), and therefore processes may not affect neighbouring cells resulting in disparate results between adjacent cells. In reality, adjacent cells are likely to be affected by species dispersal, local climatic conditions, </w:t>
      </w:r>
      <w:proofErr w:type="gramStart"/>
      <w:r>
        <w:t>fire</w:t>
      </w:r>
      <w:proofErr w:type="gramEnd"/>
      <w:r>
        <w:t xml:space="preserve"> and runoff fluctuations.</w:t>
      </w:r>
    </w:p>
    <w:p w:rsidR="008056D8" w:rsidRDefault="008056D8" w:rsidP="008056D8">
      <w:pPr>
        <w:spacing w:line="276" w:lineRule="auto"/>
        <w:jc w:val="both"/>
      </w:pPr>
    </w:p>
    <w:p w:rsidR="008056D8" w:rsidRPr="002E55B0" w:rsidRDefault="008056D8" w:rsidP="008056D8">
      <w:pPr>
        <w:spacing w:line="276" w:lineRule="auto"/>
        <w:jc w:val="both"/>
        <w:rPr>
          <w:color w:val="000000" w:themeColor="text1"/>
          <w:u w:val="single"/>
        </w:rPr>
      </w:pPr>
      <w:r>
        <w:rPr>
          <w:u w:val="single"/>
        </w:rPr>
        <w:t>Human influence</w:t>
      </w:r>
    </w:p>
    <w:p w:rsidR="008056D8" w:rsidRDefault="008056D8" w:rsidP="008056D8">
      <w:pPr>
        <w:pStyle w:val="Footer"/>
        <w:spacing w:line="276" w:lineRule="auto"/>
        <w:jc w:val="both"/>
      </w:pPr>
      <w:proofErr w:type="spellStart"/>
      <w:r>
        <w:t>Miombo</w:t>
      </w:r>
      <w:proofErr w:type="spellEnd"/>
      <w:r>
        <w:t xml:space="preserve"> woodlands have been subject to anthropogenic modification, thus LPJ-GUESS results, modelled under the sole influence of natural processes, are likely to be larger than actual AGB growth rates. This has also been identified as a </w:t>
      </w:r>
      <w:r w:rsidRPr="002E55B0">
        <w:rPr>
          <w:color w:val="000000" w:themeColor="text1"/>
        </w:rPr>
        <w:t>limitation when applying LPJ-GUESS to other human</w:t>
      </w:r>
      <w:r>
        <w:t xml:space="preserve"> modified landscapes (Tang </w:t>
      </w:r>
      <w:r w:rsidRPr="006B4B50">
        <w:rPr>
          <w:i/>
          <w:iCs/>
        </w:rPr>
        <w:t>et al.</w:t>
      </w:r>
      <w:r>
        <w:t xml:space="preserve"> 2010).</w:t>
      </w:r>
    </w:p>
    <w:p w:rsidR="008056D8" w:rsidRDefault="008056D8" w:rsidP="008056D8">
      <w:pPr>
        <w:pStyle w:val="Footer"/>
        <w:spacing w:line="276" w:lineRule="auto"/>
        <w:jc w:val="both"/>
      </w:pPr>
    </w:p>
    <w:p w:rsidR="008056D8" w:rsidRDefault="008056D8" w:rsidP="008056D8">
      <w:pPr>
        <w:spacing w:line="276" w:lineRule="auto"/>
        <w:jc w:val="both"/>
        <w:rPr>
          <w:color w:val="000000" w:themeColor="text1"/>
          <w:u w:val="single"/>
        </w:rPr>
      </w:pPr>
      <w:r>
        <w:rPr>
          <w:color w:val="000000" w:themeColor="text1"/>
          <w:u w:val="single"/>
        </w:rPr>
        <w:t>Resolution</w:t>
      </w:r>
    </w:p>
    <w:p w:rsidR="008056D8" w:rsidRDefault="008056D8" w:rsidP="008056D8">
      <w:pPr>
        <w:spacing w:line="276" w:lineRule="auto"/>
        <w:jc w:val="both"/>
      </w:pPr>
      <w:r>
        <w:rPr>
          <w:color w:val="000000" w:themeColor="text1"/>
        </w:rPr>
        <w:t>T</w:t>
      </w:r>
      <w:r w:rsidRPr="00D955DF">
        <w:rPr>
          <w:color w:val="000000" w:themeColor="text1"/>
        </w:rPr>
        <w:t xml:space="preserve">he resolution of the LPJ-GUESS grid cells </w:t>
      </w:r>
      <w:r>
        <w:rPr>
          <w:color w:val="000000" w:themeColor="text1"/>
        </w:rPr>
        <w:t xml:space="preserve">(0.5° x 0.5°) </w:t>
      </w:r>
      <w:r w:rsidRPr="00D955DF">
        <w:rPr>
          <w:color w:val="000000" w:themeColor="text1"/>
        </w:rPr>
        <w:t xml:space="preserve">meant that estimates of AGB growth cannot be calculated for </w:t>
      </w:r>
      <w:r>
        <w:rPr>
          <w:color w:val="000000" w:themeColor="text1"/>
        </w:rPr>
        <w:t xml:space="preserve">the </w:t>
      </w:r>
      <w:r w:rsidRPr="00D955DF">
        <w:rPr>
          <w:color w:val="000000" w:themeColor="text1"/>
        </w:rPr>
        <w:t>different land use categories</w:t>
      </w:r>
      <w:r>
        <w:rPr>
          <w:color w:val="000000" w:themeColor="text1"/>
        </w:rPr>
        <w:t xml:space="preserve"> modelled using MYRLIN or to </w:t>
      </w:r>
      <w:r w:rsidRPr="00D955DF">
        <w:rPr>
          <w:color w:val="000000" w:themeColor="text1"/>
        </w:rPr>
        <w:t>in</w:t>
      </w:r>
      <w:r>
        <w:rPr>
          <w:color w:val="000000" w:themeColor="text1"/>
        </w:rPr>
        <w:t xml:space="preserve">dividual village estimates within the </w:t>
      </w:r>
      <w:proofErr w:type="spellStart"/>
      <w:r>
        <w:rPr>
          <w:color w:val="000000" w:themeColor="text1"/>
        </w:rPr>
        <w:t>Zomba</w:t>
      </w:r>
      <w:proofErr w:type="spellEnd"/>
      <w:r>
        <w:rPr>
          <w:color w:val="000000" w:themeColor="text1"/>
        </w:rPr>
        <w:t xml:space="preserve"> District.</w:t>
      </w:r>
      <w:r>
        <w:t xml:space="preserve"> </w:t>
      </w:r>
    </w:p>
    <w:p w:rsidR="008056D8" w:rsidRDefault="008056D8" w:rsidP="008056D8">
      <w:pPr>
        <w:spacing w:line="276" w:lineRule="auto"/>
        <w:jc w:val="both"/>
      </w:pPr>
    </w:p>
    <w:p w:rsidR="008056D8" w:rsidRPr="00163F32" w:rsidRDefault="008056D8" w:rsidP="008056D8">
      <w:pPr>
        <w:jc w:val="both"/>
        <w:rPr>
          <w:b/>
        </w:rPr>
      </w:pPr>
      <w:r w:rsidRPr="00163F32">
        <w:rPr>
          <w:b/>
        </w:rPr>
        <w:t>References</w:t>
      </w:r>
    </w:p>
    <w:p w:rsidR="008056D8" w:rsidRPr="00163F32" w:rsidRDefault="008056D8" w:rsidP="008056D8">
      <w:pPr>
        <w:spacing w:line="276" w:lineRule="auto"/>
        <w:jc w:val="both"/>
        <w:rPr>
          <w:color w:val="000000" w:themeColor="text1"/>
        </w:rPr>
      </w:pPr>
    </w:p>
    <w:p w:rsidR="008056D8" w:rsidRPr="00163F32" w:rsidRDefault="008056D8" w:rsidP="008056D8">
      <w:pPr>
        <w:spacing w:line="276" w:lineRule="auto"/>
        <w:jc w:val="both"/>
        <w:rPr>
          <w:rFonts w:cs="Arial"/>
          <w:color w:val="000000" w:themeColor="text1"/>
        </w:rPr>
      </w:pPr>
      <w:r w:rsidRPr="00163F32">
        <w:rPr>
          <w:rFonts w:cs="Arial"/>
          <w:color w:val="000000" w:themeColor="text1"/>
        </w:rPr>
        <w:t xml:space="preserve">Abbot, P., </w:t>
      </w:r>
      <w:proofErr w:type="spellStart"/>
      <w:r w:rsidRPr="00163F32">
        <w:rPr>
          <w:rFonts w:cs="Arial"/>
          <w:color w:val="000000" w:themeColor="text1"/>
        </w:rPr>
        <w:t>Lowore</w:t>
      </w:r>
      <w:proofErr w:type="spellEnd"/>
      <w:r w:rsidRPr="00163F32">
        <w:rPr>
          <w:rFonts w:cs="Arial"/>
          <w:color w:val="000000" w:themeColor="text1"/>
        </w:rPr>
        <w:t xml:space="preserve">, J., and </w:t>
      </w:r>
      <w:proofErr w:type="spellStart"/>
      <w:r w:rsidRPr="00163F32">
        <w:rPr>
          <w:rFonts w:cs="Arial"/>
          <w:color w:val="000000" w:themeColor="text1"/>
        </w:rPr>
        <w:t>Werren</w:t>
      </w:r>
      <w:proofErr w:type="spellEnd"/>
      <w:r w:rsidRPr="00163F32">
        <w:rPr>
          <w:rFonts w:cs="Arial"/>
          <w:color w:val="000000" w:themeColor="text1"/>
        </w:rPr>
        <w:t xml:space="preserve">, M. 1997. Models for the estimation of single tree volume in four </w:t>
      </w:r>
      <w:proofErr w:type="spellStart"/>
      <w:r w:rsidRPr="00163F32">
        <w:rPr>
          <w:rFonts w:cs="Arial"/>
          <w:color w:val="000000" w:themeColor="text1"/>
        </w:rPr>
        <w:t>miombo</w:t>
      </w:r>
      <w:proofErr w:type="spellEnd"/>
      <w:r w:rsidRPr="00163F32">
        <w:rPr>
          <w:rFonts w:cs="Arial"/>
          <w:color w:val="000000" w:themeColor="text1"/>
        </w:rPr>
        <w:t xml:space="preserve"> woodland types. </w:t>
      </w:r>
      <w:r w:rsidRPr="00163F32">
        <w:rPr>
          <w:rFonts w:cs="Arial"/>
          <w:i/>
          <w:color w:val="000000" w:themeColor="text1"/>
        </w:rPr>
        <w:t>Forest Ecology and Management</w:t>
      </w:r>
      <w:r w:rsidRPr="00163F32">
        <w:rPr>
          <w:rFonts w:cs="Arial"/>
          <w:color w:val="000000" w:themeColor="text1"/>
        </w:rPr>
        <w:t xml:space="preserve"> </w:t>
      </w:r>
      <w:r w:rsidRPr="00163F32">
        <w:rPr>
          <w:rFonts w:cs="Arial"/>
          <w:b/>
          <w:color w:val="000000" w:themeColor="text1"/>
        </w:rPr>
        <w:t>97</w:t>
      </w:r>
      <w:r w:rsidRPr="00163F32">
        <w:rPr>
          <w:rFonts w:cs="Arial"/>
          <w:color w:val="000000" w:themeColor="text1"/>
        </w:rPr>
        <w:t>:25-37.</w:t>
      </w:r>
    </w:p>
    <w:p w:rsidR="008056D8" w:rsidRPr="00163F32" w:rsidRDefault="008056D8" w:rsidP="008056D8">
      <w:pPr>
        <w:spacing w:line="276" w:lineRule="auto"/>
        <w:jc w:val="both"/>
        <w:rPr>
          <w:color w:val="000000" w:themeColor="text1"/>
        </w:rPr>
      </w:pPr>
    </w:p>
    <w:p w:rsidR="008056D8" w:rsidRPr="00134723" w:rsidRDefault="008056D8" w:rsidP="008056D8">
      <w:pPr>
        <w:spacing w:line="276" w:lineRule="auto"/>
        <w:jc w:val="both"/>
        <w:rPr>
          <w:rFonts w:cs="Arial"/>
          <w:color w:val="000000" w:themeColor="text1"/>
        </w:rPr>
      </w:pPr>
      <w:proofErr w:type="spellStart"/>
      <w:r w:rsidRPr="00163F32">
        <w:rPr>
          <w:color w:val="000000" w:themeColor="text1"/>
        </w:rPr>
        <w:t>Biran</w:t>
      </w:r>
      <w:proofErr w:type="spellEnd"/>
      <w:r w:rsidRPr="00163F32">
        <w:rPr>
          <w:color w:val="000000" w:themeColor="text1"/>
        </w:rPr>
        <w:t xml:space="preserve">, A., Abbot, J., and Mace, R. 2004. Families and firewood: A comparative analysis of the costs and benefits of children in firewood collection and use in two rural communities in Sub-Saharan Africa. </w:t>
      </w:r>
      <w:r w:rsidRPr="00163F32">
        <w:rPr>
          <w:i/>
          <w:color w:val="000000" w:themeColor="text1"/>
        </w:rPr>
        <w:t>Human Ecology</w:t>
      </w:r>
      <w:r w:rsidRPr="00163F32">
        <w:rPr>
          <w:color w:val="000000" w:themeColor="text1"/>
        </w:rPr>
        <w:t xml:space="preserve"> </w:t>
      </w:r>
      <w:r w:rsidRPr="00163F32">
        <w:rPr>
          <w:b/>
          <w:color w:val="000000" w:themeColor="text1"/>
        </w:rPr>
        <w:t>32</w:t>
      </w:r>
      <w:r w:rsidRPr="00163F32">
        <w:rPr>
          <w:color w:val="000000" w:themeColor="text1"/>
        </w:rPr>
        <w:t xml:space="preserve">(1):1-25. </w:t>
      </w:r>
      <w:r w:rsidRPr="00163F32">
        <w:rPr>
          <w:color w:val="000000" w:themeColor="text1"/>
        </w:rPr>
        <w:cr/>
      </w:r>
    </w:p>
    <w:p w:rsidR="008056D8" w:rsidRPr="00163F32" w:rsidRDefault="008056D8" w:rsidP="008056D8">
      <w:pPr>
        <w:autoSpaceDE w:val="0"/>
        <w:autoSpaceDN w:val="0"/>
        <w:adjustRightInd w:val="0"/>
        <w:spacing w:line="276" w:lineRule="auto"/>
        <w:jc w:val="both"/>
        <w:rPr>
          <w:rFonts w:cs="TimesNewRoman"/>
        </w:rPr>
      </w:pPr>
      <w:r w:rsidRPr="00134723">
        <w:rPr>
          <w:rFonts w:cs="TimesNewRoman"/>
        </w:rPr>
        <w:t xml:space="preserve">Chave, J., Condit, R., Aguilar, S., Hernandez, A., Lao, S., and Perez, R. 2004. </w:t>
      </w:r>
      <w:r w:rsidRPr="00163F32">
        <w:rPr>
          <w:rFonts w:cs="TimesNewRoman"/>
        </w:rPr>
        <w:t xml:space="preserve">Error propagation and scaling for tropical forest biomass estimates. </w:t>
      </w:r>
      <w:r w:rsidRPr="00163F32">
        <w:rPr>
          <w:rFonts w:cs="TimesNewRoman"/>
          <w:i/>
        </w:rPr>
        <w:t>Philosophical Transactions of the Royal Society B: Biological Science</w:t>
      </w:r>
      <w:r w:rsidRPr="00163F32">
        <w:rPr>
          <w:rFonts w:cs="TimesNewRoman"/>
        </w:rPr>
        <w:t>,</w:t>
      </w:r>
      <w:r w:rsidRPr="00163F32">
        <w:rPr>
          <w:rFonts w:cs="TimesNewRoman"/>
          <w:b/>
        </w:rPr>
        <w:t xml:space="preserve"> 359</w:t>
      </w:r>
      <w:r w:rsidRPr="00163F32">
        <w:rPr>
          <w:rFonts w:cs="TimesNewRoman"/>
        </w:rPr>
        <w:t>(1443):409-420.</w:t>
      </w:r>
    </w:p>
    <w:p w:rsidR="008056D8" w:rsidRPr="00163F32" w:rsidRDefault="008056D8" w:rsidP="008056D8">
      <w:pPr>
        <w:spacing w:line="276" w:lineRule="auto"/>
        <w:jc w:val="both"/>
        <w:rPr>
          <w:color w:val="000000" w:themeColor="text1"/>
        </w:rPr>
      </w:pPr>
    </w:p>
    <w:p w:rsidR="008056D8" w:rsidRPr="00163F32" w:rsidRDefault="008056D8" w:rsidP="008056D8">
      <w:pPr>
        <w:spacing w:line="276" w:lineRule="auto"/>
        <w:jc w:val="both"/>
        <w:rPr>
          <w:color w:val="000000" w:themeColor="text1"/>
        </w:rPr>
      </w:pPr>
      <w:proofErr w:type="spellStart"/>
      <w:r w:rsidRPr="00163F32">
        <w:rPr>
          <w:color w:val="000000" w:themeColor="text1"/>
        </w:rPr>
        <w:t>Chidumayo</w:t>
      </w:r>
      <w:proofErr w:type="spellEnd"/>
      <w:r w:rsidRPr="00163F32">
        <w:rPr>
          <w:color w:val="000000" w:themeColor="text1"/>
        </w:rPr>
        <w:t xml:space="preserve">, E.N. 1990. Above-ground woody biomass structure and productivity in a </w:t>
      </w:r>
      <w:proofErr w:type="spellStart"/>
      <w:r w:rsidRPr="00163F32">
        <w:rPr>
          <w:color w:val="000000" w:themeColor="text1"/>
        </w:rPr>
        <w:t>Zambezian</w:t>
      </w:r>
      <w:proofErr w:type="spellEnd"/>
      <w:r w:rsidRPr="00163F32">
        <w:rPr>
          <w:color w:val="000000" w:themeColor="text1"/>
        </w:rPr>
        <w:t xml:space="preserve"> woodland. </w:t>
      </w:r>
      <w:r w:rsidRPr="00163F32">
        <w:rPr>
          <w:i/>
          <w:color w:val="000000" w:themeColor="text1"/>
        </w:rPr>
        <w:t>Forest Ecology and Management</w:t>
      </w:r>
      <w:r w:rsidRPr="00163F32">
        <w:rPr>
          <w:color w:val="000000" w:themeColor="text1"/>
        </w:rPr>
        <w:t xml:space="preserve"> </w:t>
      </w:r>
      <w:r w:rsidRPr="00163F32">
        <w:rPr>
          <w:b/>
          <w:color w:val="000000" w:themeColor="text1"/>
        </w:rPr>
        <w:t>36</w:t>
      </w:r>
      <w:r w:rsidRPr="00163F32">
        <w:rPr>
          <w:color w:val="000000" w:themeColor="text1"/>
        </w:rPr>
        <w:t>:33-46.</w:t>
      </w:r>
    </w:p>
    <w:p w:rsidR="008056D8" w:rsidRPr="00163F32" w:rsidRDefault="008056D8" w:rsidP="008056D8">
      <w:pPr>
        <w:autoSpaceDE w:val="0"/>
        <w:autoSpaceDN w:val="0"/>
        <w:adjustRightInd w:val="0"/>
        <w:spacing w:line="276" w:lineRule="auto"/>
        <w:jc w:val="both"/>
        <w:rPr>
          <w:rFonts w:cs="TimesNewRoman"/>
        </w:rPr>
      </w:pPr>
    </w:p>
    <w:p w:rsidR="008056D8" w:rsidRPr="00163F32" w:rsidRDefault="008056D8" w:rsidP="008056D8">
      <w:pPr>
        <w:spacing w:line="276" w:lineRule="auto"/>
        <w:jc w:val="both"/>
      </w:pPr>
      <w:r w:rsidRPr="00163F32">
        <w:lastRenderedPageBreak/>
        <w:t>Fonseca, W., Alice, F.E., and Rey-</w:t>
      </w:r>
      <w:proofErr w:type="spellStart"/>
      <w:r w:rsidRPr="00163F32">
        <w:t>Benayas</w:t>
      </w:r>
      <w:proofErr w:type="spellEnd"/>
      <w:r w:rsidRPr="00163F32">
        <w:t xml:space="preserve">, J.M. 2012. Carbon accumulation in aboveground and belowground biomass and soil of different age native forest plantations in the humid tropical lowlands of Costa Rica. </w:t>
      </w:r>
      <w:r w:rsidRPr="00163F32">
        <w:rPr>
          <w:i/>
        </w:rPr>
        <w:t>New Forests</w:t>
      </w:r>
      <w:r w:rsidRPr="00163F32">
        <w:t xml:space="preserve"> </w:t>
      </w:r>
      <w:r w:rsidRPr="00163F32">
        <w:rPr>
          <w:b/>
        </w:rPr>
        <w:t>43</w:t>
      </w:r>
      <w:r w:rsidRPr="00163F32">
        <w:t>:197–211.</w:t>
      </w:r>
    </w:p>
    <w:p w:rsidR="008056D8" w:rsidRPr="00163F32" w:rsidRDefault="008056D8" w:rsidP="008056D8">
      <w:pPr>
        <w:spacing w:line="276" w:lineRule="auto"/>
        <w:jc w:val="both"/>
      </w:pPr>
    </w:p>
    <w:p w:rsidR="008056D8" w:rsidRPr="00163F32" w:rsidRDefault="008056D8" w:rsidP="008056D8">
      <w:pPr>
        <w:spacing w:line="276" w:lineRule="auto"/>
        <w:jc w:val="both"/>
        <w:rPr>
          <w:rFonts w:cs="Arial"/>
          <w:color w:val="000000" w:themeColor="text1"/>
        </w:rPr>
      </w:pPr>
      <w:r w:rsidRPr="00163F32">
        <w:rPr>
          <w:rFonts w:cs="Arial"/>
          <w:color w:val="000000" w:themeColor="text1"/>
        </w:rPr>
        <w:t xml:space="preserve">Frost, P.G.H. 1996. The Ecology of </w:t>
      </w:r>
      <w:proofErr w:type="spellStart"/>
      <w:r w:rsidRPr="00163F32">
        <w:rPr>
          <w:rFonts w:cs="Arial"/>
          <w:color w:val="000000" w:themeColor="text1"/>
        </w:rPr>
        <w:t>Miombo</w:t>
      </w:r>
      <w:proofErr w:type="spellEnd"/>
      <w:r w:rsidRPr="00163F32">
        <w:rPr>
          <w:rFonts w:cs="Arial"/>
          <w:color w:val="000000" w:themeColor="text1"/>
        </w:rPr>
        <w:t xml:space="preserve"> woodlands. Pages 11-59 in B. Campbell. </w:t>
      </w:r>
      <w:r w:rsidRPr="00163F32">
        <w:rPr>
          <w:rFonts w:cs="Arial"/>
          <w:i/>
          <w:color w:val="000000" w:themeColor="text1"/>
        </w:rPr>
        <w:t xml:space="preserve">The </w:t>
      </w:r>
      <w:proofErr w:type="spellStart"/>
      <w:r w:rsidRPr="00163F32">
        <w:rPr>
          <w:rFonts w:cs="Arial"/>
          <w:i/>
          <w:color w:val="000000" w:themeColor="text1"/>
        </w:rPr>
        <w:t>Miombo</w:t>
      </w:r>
      <w:proofErr w:type="spellEnd"/>
      <w:r w:rsidRPr="00163F32">
        <w:rPr>
          <w:rFonts w:cs="Arial"/>
          <w:i/>
          <w:color w:val="000000" w:themeColor="text1"/>
        </w:rPr>
        <w:t xml:space="preserve"> in Transition: Woodlands and Welfare in Africa</w:t>
      </w:r>
      <w:r w:rsidRPr="00163F32">
        <w:rPr>
          <w:rFonts w:cs="Arial"/>
          <w:color w:val="000000" w:themeColor="text1"/>
        </w:rPr>
        <w:t>. Centre for International Forestry Research (CIFOR), Bogor, Indonesia.</w:t>
      </w:r>
    </w:p>
    <w:p w:rsidR="008056D8" w:rsidRPr="00163F32" w:rsidRDefault="008056D8" w:rsidP="008056D8">
      <w:pPr>
        <w:spacing w:line="276" w:lineRule="auto"/>
        <w:jc w:val="both"/>
        <w:rPr>
          <w:rFonts w:cs="Arial"/>
          <w:color w:val="000000" w:themeColor="text1"/>
        </w:rPr>
      </w:pPr>
    </w:p>
    <w:p w:rsidR="008056D8" w:rsidRPr="00163F32" w:rsidRDefault="008056D8" w:rsidP="008056D8">
      <w:pPr>
        <w:spacing w:line="276" w:lineRule="auto"/>
        <w:jc w:val="both"/>
        <w:rPr>
          <w:rFonts w:eastAsia="Arial Unicode MS" w:cs="Arial"/>
          <w:color w:val="000000" w:themeColor="text1"/>
          <w:shd w:val="clear" w:color="auto" w:fill="FFFFFF"/>
        </w:rPr>
      </w:pPr>
      <w:r w:rsidRPr="00163F32">
        <w:rPr>
          <w:rFonts w:eastAsia="Arial Unicode MS" w:cs="Arial"/>
          <w:color w:val="000000" w:themeColor="text1"/>
          <w:shd w:val="clear" w:color="auto" w:fill="FFFFFF"/>
        </w:rPr>
        <w:t>Government of Malawi (GOM). 2010.</w:t>
      </w:r>
      <w:r w:rsidRPr="00163F32">
        <w:rPr>
          <w:rStyle w:val="apple-converted-space"/>
          <w:rFonts w:eastAsia="Arial Unicode MS" w:cs="Arial"/>
          <w:color w:val="000000" w:themeColor="text1"/>
          <w:shd w:val="clear" w:color="auto" w:fill="FFFFFF"/>
        </w:rPr>
        <w:t> </w:t>
      </w:r>
      <w:r w:rsidRPr="00163F32">
        <w:rPr>
          <w:rStyle w:val="apple-converted-space"/>
          <w:rFonts w:eastAsia="Arial Unicode MS" w:cs="Arial"/>
          <w:i/>
          <w:color w:val="000000" w:themeColor="text1"/>
          <w:shd w:val="clear" w:color="auto" w:fill="FFFFFF"/>
        </w:rPr>
        <w:t xml:space="preserve">Malawi </w:t>
      </w:r>
      <w:r w:rsidRPr="00163F32">
        <w:rPr>
          <w:rStyle w:val="Emphasis"/>
          <w:rFonts w:eastAsia="Arial Unicode MS" w:cs="Arial"/>
          <w:color w:val="000000" w:themeColor="text1"/>
          <w:bdr w:val="none" w:sz="0" w:space="0" w:color="auto" w:frame="1"/>
          <w:shd w:val="clear" w:color="auto" w:fill="FFFFFF"/>
        </w:rPr>
        <w:t xml:space="preserve">State of the Environment and Outlook Report: Environment for Sustainable Economic Growth. </w:t>
      </w:r>
      <w:r w:rsidRPr="00163F32">
        <w:rPr>
          <w:rFonts w:eastAsia="Arial Unicode MS" w:cs="Arial"/>
          <w:color w:val="000000" w:themeColor="text1"/>
          <w:shd w:val="clear" w:color="auto" w:fill="FFFFFF"/>
        </w:rPr>
        <w:t>Environmental Affairs Department, Lilongwe, Malawi.</w:t>
      </w:r>
    </w:p>
    <w:p w:rsidR="008056D8" w:rsidRPr="00163F32" w:rsidRDefault="008056D8" w:rsidP="008056D8">
      <w:pPr>
        <w:spacing w:line="276" w:lineRule="auto"/>
        <w:jc w:val="both"/>
        <w:rPr>
          <w:rFonts w:eastAsia="Arial Unicode MS" w:cs="Arial"/>
          <w:color w:val="000000" w:themeColor="text1"/>
          <w:shd w:val="clear" w:color="auto" w:fill="FFFFFF"/>
        </w:rPr>
      </w:pPr>
    </w:p>
    <w:p w:rsidR="008056D8" w:rsidRPr="00163F32" w:rsidRDefault="008056D8" w:rsidP="008056D8">
      <w:pPr>
        <w:spacing w:line="276" w:lineRule="auto"/>
        <w:jc w:val="both"/>
      </w:pPr>
      <w:r w:rsidRPr="00163F32">
        <w:t xml:space="preserve">Guy, P.R. 1981. The estimation of the above-ground biomass of the trees and shrubs in the </w:t>
      </w:r>
      <w:proofErr w:type="spellStart"/>
      <w:r w:rsidRPr="00163F32">
        <w:t>Sengwa</w:t>
      </w:r>
      <w:proofErr w:type="spellEnd"/>
      <w:r w:rsidRPr="00163F32">
        <w:t xml:space="preserve"> Wildlife Research Area, Zimbabwe</w:t>
      </w:r>
      <w:r w:rsidRPr="00163F32">
        <w:rPr>
          <w:i/>
        </w:rPr>
        <w:t>. South African Journal of Wildlife Research</w:t>
      </w:r>
      <w:r w:rsidRPr="00163F32">
        <w:t xml:space="preserve"> </w:t>
      </w:r>
      <w:r w:rsidRPr="00163F32">
        <w:rPr>
          <w:b/>
        </w:rPr>
        <w:t>11</w:t>
      </w:r>
      <w:r w:rsidRPr="00163F32">
        <w:t>:135-142.</w:t>
      </w:r>
    </w:p>
    <w:p w:rsidR="008056D8" w:rsidRPr="00163F32" w:rsidRDefault="008056D8" w:rsidP="008056D8">
      <w:pPr>
        <w:spacing w:line="276" w:lineRule="auto"/>
        <w:jc w:val="both"/>
      </w:pPr>
    </w:p>
    <w:p w:rsidR="008056D8" w:rsidRPr="00163F32" w:rsidRDefault="008056D8" w:rsidP="008056D8">
      <w:pPr>
        <w:spacing w:line="276" w:lineRule="auto"/>
        <w:jc w:val="both"/>
      </w:pPr>
      <w:proofErr w:type="spellStart"/>
      <w:r w:rsidRPr="00163F32">
        <w:t>McWilliam</w:t>
      </w:r>
      <w:proofErr w:type="spellEnd"/>
      <w:r w:rsidRPr="00163F32">
        <w:t xml:space="preserve">, A.L.C., Roberts, J. M., Cabral, O.M.R., </w:t>
      </w:r>
      <w:proofErr w:type="spellStart"/>
      <w:r w:rsidRPr="00163F32">
        <w:t>Leitao</w:t>
      </w:r>
      <w:proofErr w:type="spellEnd"/>
      <w:r w:rsidRPr="00163F32">
        <w:t xml:space="preserve">, M.V.B.R., de Costa, A.C.L., </w:t>
      </w:r>
      <w:proofErr w:type="spellStart"/>
      <w:r w:rsidRPr="00163F32">
        <w:t>Maitelli</w:t>
      </w:r>
      <w:proofErr w:type="spellEnd"/>
      <w:r w:rsidRPr="00163F32">
        <w:t xml:space="preserve">, G.T. and </w:t>
      </w:r>
      <w:proofErr w:type="spellStart"/>
      <w:r w:rsidRPr="00163F32">
        <w:t>Zamparoni</w:t>
      </w:r>
      <w:proofErr w:type="spellEnd"/>
      <w:r w:rsidRPr="00163F32">
        <w:t xml:space="preserve">, C.A.G.P. 1993. Leaf area index and above-ground biomass of terra firma rain forest and adjacent clearings in Amazonia. </w:t>
      </w:r>
      <w:r w:rsidRPr="00163F32">
        <w:rPr>
          <w:i/>
        </w:rPr>
        <w:t>Functional Ecology</w:t>
      </w:r>
      <w:r w:rsidRPr="00163F32">
        <w:t xml:space="preserve"> </w:t>
      </w:r>
      <w:r w:rsidRPr="00163F32">
        <w:rPr>
          <w:b/>
        </w:rPr>
        <w:t>7</w:t>
      </w:r>
      <w:r w:rsidRPr="00163F32">
        <w:t>:310–317.</w:t>
      </w:r>
    </w:p>
    <w:p w:rsidR="008056D8" w:rsidRPr="00163F32" w:rsidRDefault="008056D8" w:rsidP="008056D8">
      <w:pPr>
        <w:tabs>
          <w:tab w:val="left" w:pos="-1418"/>
        </w:tabs>
        <w:spacing w:before="100" w:beforeAutospacing="1" w:after="100" w:afterAutospacing="1" w:line="276" w:lineRule="auto"/>
        <w:jc w:val="both"/>
        <w:rPr>
          <w:rFonts w:cs="Arial"/>
          <w:color w:val="000000" w:themeColor="text1"/>
        </w:rPr>
      </w:pPr>
      <w:proofErr w:type="spellStart"/>
      <w:r w:rsidRPr="00163F32">
        <w:rPr>
          <w:rFonts w:cs="Arial"/>
          <w:color w:val="000000" w:themeColor="text1"/>
        </w:rPr>
        <w:t>Nicol</w:t>
      </w:r>
      <w:proofErr w:type="spellEnd"/>
      <w:r w:rsidRPr="00163F32">
        <w:rPr>
          <w:rFonts w:cs="Arial"/>
          <w:color w:val="000000" w:themeColor="text1"/>
        </w:rPr>
        <w:t xml:space="preserve">, G., Singh, J., and Khan, T. 2002. </w:t>
      </w:r>
      <w:r w:rsidRPr="00163F32">
        <w:rPr>
          <w:rFonts w:cs="Arial"/>
          <w:i/>
          <w:color w:val="000000" w:themeColor="text1"/>
        </w:rPr>
        <w:t>Methods of yield regulation in tropical mixed forests: pilot studies using MYRLIN and SYMFOR in Guyana</w:t>
      </w:r>
      <w:r w:rsidRPr="00163F32">
        <w:rPr>
          <w:rFonts w:cs="Arial"/>
          <w:color w:val="000000" w:themeColor="text1"/>
        </w:rPr>
        <w:t xml:space="preserve">. Guyana Forestry Commission, Guyana. </w:t>
      </w:r>
    </w:p>
    <w:p w:rsidR="008056D8" w:rsidRPr="00163F32" w:rsidRDefault="008056D8" w:rsidP="008056D8">
      <w:pPr>
        <w:autoSpaceDE w:val="0"/>
        <w:autoSpaceDN w:val="0"/>
        <w:adjustRightInd w:val="0"/>
        <w:spacing w:line="276" w:lineRule="auto"/>
        <w:jc w:val="both"/>
        <w:rPr>
          <w:rFonts w:cs="AdvCaeciliaRm"/>
        </w:rPr>
      </w:pPr>
      <w:r w:rsidRPr="00163F32">
        <w:rPr>
          <w:rFonts w:cs="AdvCaeciliaRm"/>
        </w:rPr>
        <w:t xml:space="preserve">Ryan, C.M., Williams, M., and Grace, J. 2010. Above- and belowground carbon stocks in a </w:t>
      </w:r>
      <w:proofErr w:type="spellStart"/>
      <w:r w:rsidRPr="00163F32">
        <w:rPr>
          <w:rFonts w:cs="AdvCaeciliaRm"/>
        </w:rPr>
        <w:t>miombo</w:t>
      </w:r>
      <w:proofErr w:type="spellEnd"/>
      <w:r w:rsidRPr="00163F32">
        <w:rPr>
          <w:rFonts w:cs="AdvCaeciliaRm"/>
        </w:rPr>
        <w:t xml:space="preserve"> woodland landscape of Zimbabwe. </w:t>
      </w:r>
      <w:proofErr w:type="spellStart"/>
      <w:r w:rsidRPr="00163F32">
        <w:rPr>
          <w:rFonts w:cs="AdvCaeciliaRm"/>
          <w:i/>
        </w:rPr>
        <w:t>Biotropica</w:t>
      </w:r>
      <w:proofErr w:type="spellEnd"/>
      <w:r w:rsidRPr="00163F32">
        <w:rPr>
          <w:rFonts w:cs="AdvCaeciliaRm"/>
        </w:rPr>
        <w:t xml:space="preserve"> </w:t>
      </w:r>
      <w:r w:rsidRPr="00163F32">
        <w:rPr>
          <w:rFonts w:cs="AdvCaeciliaRm"/>
          <w:b/>
        </w:rPr>
        <w:t>1-10</w:t>
      </w:r>
      <w:r w:rsidRPr="00163F32">
        <w:rPr>
          <w:rFonts w:cs="AdvCaeciliaRm"/>
        </w:rPr>
        <w:t xml:space="preserve">. </w:t>
      </w:r>
    </w:p>
    <w:p w:rsidR="008056D8" w:rsidRPr="00163F32" w:rsidRDefault="008056D8" w:rsidP="008056D8">
      <w:pPr>
        <w:spacing w:line="276" w:lineRule="auto"/>
        <w:jc w:val="both"/>
      </w:pPr>
    </w:p>
    <w:p w:rsidR="008056D8" w:rsidRPr="00163F32" w:rsidRDefault="008056D8" w:rsidP="008056D8">
      <w:pPr>
        <w:spacing w:line="276" w:lineRule="auto"/>
        <w:jc w:val="both"/>
        <w:rPr>
          <w:rFonts w:cs="Arial"/>
          <w:color w:val="000000" w:themeColor="text1"/>
          <w:shd w:val="clear" w:color="auto" w:fill="FFFFFF"/>
        </w:rPr>
      </w:pPr>
      <w:r w:rsidRPr="00163F32">
        <w:rPr>
          <w:rFonts w:cs="Arial"/>
          <w:color w:val="000000" w:themeColor="text1"/>
          <w:shd w:val="clear" w:color="auto" w:fill="FFFFFF"/>
        </w:rPr>
        <w:t xml:space="preserve">Smith, B., Prentice. I.C., and Sykes, M.T. 2001. Representation of vegetation dynamics in the modelling of terrestrial ecosystems: comparing two contrasting approaches within European Climate Space. </w:t>
      </w:r>
      <w:r w:rsidRPr="00163F32">
        <w:rPr>
          <w:rFonts w:cs="Arial"/>
          <w:i/>
          <w:color w:val="000000" w:themeColor="text1"/>
          <w:shd w:val="clear" w:color="auto" w:fill="FFFFFF"/>
        </w:rPr>
        <w:t>Global Ecology and Biogeography</w:t>
      </w:r>
      <w:r w:rsidRPr="00163F32">
        <w:rPr>
          <w:rFonts w:cs="Arial"/>
          <w:color w:val="000000" w:themeColor="text1"/>
          <w:shd w:val="clear" w:color="auto" w:fill="FFFFFF"/>
        </w:rPr>
        <w:t xml:space="preserve"> </w:t>
      </w:r>
      <w:r w:rsidRPr="00163F32">
        <w:rPr>
          <w:rFonts w:cs="Arial"/>
          <w:b/>
          <w:color w:val="000000" w:themeColor="text1"/>
          <w:shd w:val="clear" w:color="auto" w:fill="FFFFFF"/>
        </w:rPr>
        <w:t>10</w:t>
      </w:r>
      <w:r w:rsidRPr="00163F32">
        <w:rPr>
          <w:rFonts w:cs="Arial"/>
          <w:color w:val="000000" w:themeColor="text1"/>
          <w:shd w:val="clear" w:color="auto" w:fill="FFFFFF"/>
        </w:rPr>
        <w:t>(6):621-637.</w:t>
      </w:r>
    </w:p>
    <w:p w:rsidR="008056D8" w:rsidRPr="00163F32" w:rsidRDefault="008056D8" w:rsidP="008056D8">
      <w:pPr>
        <w:spacing w:line="276" w:lineRule="auto"/>
        <w:jc w:val="both"/>
        <w:rPr>
          <w:rFonts w:cs="Arial"/>
          <w:color w:val="000000" w:themeColor="text1"/>
          <w:shd w:val="clear" w:color="auto" w:fill="FFFFFF"/>
        </w:rPr>
      </w:pPr>
    </w:p>
    <w:p w:rsidR="008056D8" w:rsidRPr="00163F32" w:rsidRDefault="008056D8" w:rsidP="008056D8">
      <w:pPr>
        <w:spacing w:line="276" w:lineRule="auto"/>
        <w:jc w:val="both"/>
        <w:rPr>
          <w:rFonts w:cs="Arial"/>
          <w:color w:val="000000" w:themeColor="text1"/>
          <w:shd w:val="clear" w:color="auto" w:fill="FFFFFF"/>
        </w:rPr>
      </w:pPr>
      <w:r w:rsidRPr="00163F32">
        <w:rPr>
          <w:rFonts w:cs="Arial"/>
          <w:color w:val="000000" w:themeColor="text1"/>
          <w:shd w:val="clear" w:color="auto" w:fill="FFFFFF"/>
        </w:rPr>
        <w:t xml:space="preserve">Tang, G., </w:t>
      </w:r>
      <w:proofErr w:type="spellStart"/>
      <w:r w:rsidRPr="00163F32">
        <w:rPr>
          <w:rFonts w:cs="Arial"/>
          <w:color w:val="000000" w:themeColor="text1"/>
          <w:shd w:val="clear" w:color="auto" w:fill="FFFFFF"/>
        </w:rPr>
        <w:t>Beckage</w:t>
      </w:r>
      <w:proofErr w:type="spellEnd"/>
      <w:r w:rsidRPr="00163F32">
        <w:rPr>
          <w:rFonts w:cs="Arial"/>
          <w:color w:val="000000" w:themeColor="text1"/>
          <w:shd w:val="clear" w:color="auto" w:fill="FFFFFF"/>
        </w:rPr>
        <w:t xml:space="preserve">, B., Smith, B., and Miller, P.A. 2010. Estimating potential forest NTP, biomass and their climatic sensitivity in New England using a dynamic ecosystem model. </w:t>
      </w:r>
      <w:r w:rsidRPr="00163F32">
        <w:rPr>
          <w:rFonts w:cs="Arial"/>
          <w:i/>
          <w:color w:val="000000" w:themeColor="text1"/>
          <w:shd w:val="clear" w:color="auto" w:fill="FFFFFF"/>
        </w:rPr>
        <w:t>Ecosphere</w:t>
      </w:r>
      <w:r w:rsidRPr="00163F32">
        <w:rPr>
          <w:rFonts w:cs="Arial"/>
          <w:color w:val="000000" w:themeColor="text1"/>
          <w:shd w:val="clear" w:color="auto" w:fill="FFFFFF"/>
        </w:rPr>
        <w:t xml:space="preserve"> </w:t>
      </w:r>
      <w:r w:rsidRPr="00163F32">
        <w:rPr>
          <w:rFonts w:cs="Arial"/>
          <w:b/>
          <w:color w:val="000000" w:themeColor="text1"/>
          <w:shd w:val="clear" w:color="auto" w:fill="FFFFFF"/>
        </w:rPr>
        <w:t>1</w:t>
      </w:r>
      <w:r w:rsidRPr="00163F32">
        <w:rPr>
          <w:rFonts w:cs="Arial"/>
          <w:color w:val="000000" w:themeColor="text1"/>
          <w:shd w:val="clear" w:color="auto" w:fill="FFFFFF"/>
        </w:rPr>
        <w:t>(6):1-20.</w:t>
      </w:r>
    </w:p>
    <w:p w:rsidR="008056D8" w:rsidRPr="00163F32" w:rsidRDefault="008056D8" w:rsidP="008056D8">
      <w:pPr>
        <w:spacing w:line="276" w:lineRule="auto"/>
        <w:jc w:val="both"/>
        <w:rPr>
          <w:rFonts w:cs="Arial"/>
          <w:color w:val="000000" w:themeColor="text1"/>
          <w:shd w:val="clear" w:color="auto" w:fill="FFFFFF"/>
        </w:rPr>
      </w:pPr>
    </w:p>
    <w:p w:rsidR="00735D88" w:rsidRDefault="008056D8" w:rsidP="006B4B50">
      <w:proofErr w:type="gramStart"/>
      <w:r w:rsidRPr="00163F32">
        <w:rPr>
          <w:rFonts w:cs="Arial"/>
          <w:color w:val="000000" w:themeColor="text1"/>
          <w:lang w:val="en-US"/>
        </w:rPr>
        <w:t>van</w:t>
      </w:r>
      <w:proofErr w:type="gramEnd"/>
      <w:r w:rsidRPr="00163F32">
        <w:rPr>
          <w:rFonts w:cs="Arial"/>
          <w:color w:val="000000" w:themeColor="text1"/>
          <w:lang w:val="en-US"/>
        </w:rPr>
        <w:t xml:space="preserve"> </w:t>
      </w:r>
      <w:proofErr w:type="spellStart"/>
      <w:r w:rsidRPr="00163F32">
        <w:rPr>
          <w:rFonts w:cs="Arial"/>
          <w:color w:val="000000" w:themeColor="text1"/>
          <w:lang w:val="en-US"/>
        </w:rPr>
        <w:t>Gardingen</w:t>
      </w:r>
      <w:proofErr w:type="spellEnd"/>
      <w:r w:rsidRPr="00163F32">
        <w:rPr>
          <w:rFonts w:cs="Arial"/>
          <w:color w:val="000000" w:themeColor="text1"/>
          <w:lang w:val="en-US"/>
        </w:rPr>
        <w:t>, P.R. 2003. Regulating the yield of goods and services from forests: Developing tools to support mana</w:t>
      </w:r>
      <w:bookmarkStart w:id="0" w:name="_GoBack"/>
      <w:bookmarkEnd w:id="0"/>
      <w:r w:rsidRPr="00163F32">
        <w:rPr>
          <w:rFonts w:cs="Arial"/>
          <w:color w:val="000000" w:themeColor="text1"/>
          <w:lang w:val="en-US"/>
        </w:rPr>
        <w:t xml:space="preserve">gement decisions and policy development for multiple objective forest management. </w:t>
      </w:r>
      <w:r w:rsidR="006B4B50">
        <w:rPr>
          <w:rFonts w:cs="Arial"/>
          <w:color w:val="000000" w:themeColor="text1"/>
          <w:lang w:val="en-US"/>
        </w:rPr>
        <w:t>pp</w:t>
      </w:r>
      <w:r w:rsidRPr="00163F32">
        <w:rPr>
          <w:rFonts w:cs="Arial"/>
          <w:color w:val="000000" w:themeColor="text1"/>
          <w:lang w:val="en-US"/>
        </w:rPr>
        <w:t xml:space="preserve"> 307-319 in A. </w:t>
      </w:r>
      <w:proofErr w:type="spellStart"/>
      <w:r w:rsidRPr="00163F32">
        <w:rPr>
          <w:rFonts w:cs="Arial"/>
          <w:color w:val="000000" w:themeColor="text1"/>
          <w:lang w:val="en-US"/>
        </w:rPr>
        <w:t>Amaro</w:t>
      </w:r>
      <w:proofErr w:type="spellEnd"/>
      <w:r w:rsidRPr="00163F32">
        <w:rPr>
          <w:rFonts w:cs="Arial"/>
          <w:color w:val="000000" w:themeColor="text1"/>
          <w:lang w:val="en-US"/>
        </w:rPr>
        <w:t xml:space="preserve">, D. Reed, P. </w:t>
      </w:r>
      <w:proofErr w:type="spellStart"/>
      <w:r w:rsidRPr="00163F32">
        <w:rPr>
          <w:rFonts w:cs="Arial"/>
          <w:color w:val="000000" w:themeColor="text1"/>
          <w:lang w:val="en-US"/>
        </w:rPr>
        <w:t>Goares</w:t>
      </w:r>
      <w:proofErr w:type="spellEnd"/>
      <w:r w:rsidRPr="00163F32">
        <w:rPr>
          <w:rFonts w:cs="Arial"/>
          <w:color w:val="000000" w:themeColor="text1"/>
          <w:lang w:val="en-US"/>
        </w:rPr>
        <w:t xml:space="preserve">, editors. </w:t>
      </w:r>
      <w:r w:rsidRPr="00163F32">
        <w:rPr>
          <w:rFonts w:cs="Arial"/>
          <w:i/>
          <w:color w:val="000000" w:themeColor="text1"/>
          <w:lang w:val="en-US"/>
        </w:rPr>
        <w:t>Modelling Forest Systems.</w:t>
      </w:r>
      <w:r w:rsidRPr="00163F32">
        <w:rPr>
          <w:rFonts w:cs="Arial"/>
          <w:color w:val="000000" w:themeColor="text1"/>
          <w:lang w:val="en-US"/>
        </w:rPr>
        <w:t xml:space="preserve"> CABI publishing, Oxon, UK.</w:t>
      </w:r>
    </w:p>
    <w:sectPr w:rsidR="00735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CaeciliaR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D8"/>
    <w:rsid w:val="003A5FBE"/>
    <w:rsid w:val="003D7196"/>
    <w:rsid w:val="006B4B50"/>
    <w:rsid w:val="008056D8"/>
    <w:rsid w:val="00D21094"/>
    <w:rsid w:val="00FF2E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7326-3C03-498C-B4BD-4FA416A8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D8"/>
    <w:pPr>
      <w:spacing w:after="0" w:line="240" w:lineRule="auto"/>
    </w:pPr>
    <w:rPr>
      <w:rFonts w:eastAsiaTheme="minorHAnsi"/>
      <w:sz w:val="24"/>
      <w:szCs w:val="24"/>
      <w:lang w:eastAsia="en-US"/>
    </w:rPr>
  </w:style>
  <w:style w:type="paragraph" w:styleId="Heading1">
    <w:name w:val="heading 1"/>
    <w:basedOn w:val="Normal"/>
    <w:next w:val="Normal"/>
    <w:link w:val="Heading1Char"/>
    <w:qFormat/>
    <w:rsid w:val="008056D8"/>
    <w:pPr>
      <w:spacing w:line="360" w:lineRule="auto"/>
      <w:contextualSpacing/>
      <w:outlineLvl w:val="0"/>
    </w:pPr>
    <w:rPr>
      <w:rFonts w:ascii="Helvetica Neue" w:eastAsia="Helvetica Neue" w:hAnsi="Helvetica Neue" w:cs="Helvetica Neue"/>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6D8"/>
    <w:rPr>
      <w:rFonts w:ascii="Helvetica Neue" w:eastAsia="Helvetica Neue" w:hAnsi="Helvetica Neue" w:cs="Helvetica Neue"/>
      <w:sz w:val="36"/>
      <w:szCs w:val="24"/>
      <w:lang w:val="en-US" w:eastAsia="en-US"/>
    </w:rPr>
  </w:style>
  <w:style w:type="paragraph" w:styleId="Footer">
    <w:name w:val="footer"/>
    <w:basedOn w:val="Normal"/>
    <w:link w:val="FooterChar"/>
    <w:uiPriority w:val="99"/>
    <w:unhideWhenUsed/>
    <w:rsid w:val="008056D8"/>
    <w:pPr>
      <w:tabs>
        <w:tab w:val="center" w:pos="4513"/>
        <w:tab w:val="right" w:pos="9026"/>
      </w:tabs>
    </w:pPr>
  </w:style>
  <w:style w:type="character" w:customStyle="1" w:styleId="FooterChar">
    <w:name w:val="Footer Char"/>
    <w:basedOn w:val="DefaultParagraphFont"/>
    <w:link w:val="Footer"/>
    <w:uiPriority w:val="99"/>
    <w:rsid w:val="008056D8"/>
    <w:rPr>
      <w:rFonts w:eastAsiaTheme="minorHAnsi"/>
      <w:sz w:val="24"/>
      <w:szCs w:val="24"/>
      <w:lang w:eastAsia="en-US"/>
    </w:rPr>
  </w:style>
  <w:style w:type="character" w:styleId="Emphasis">
    <w:name w:val="Emphasis"/>
    <w:uiPriority w:val="20"/>
    <w:qFormat/>
    <w:rsid w:val="008056D8"/>
    <w:rPr>
      <w:i/>
      <w:iCs/>
    </w:rPr>
  </w:style>
  <w:style w:type="character" w:customStyle="1" w:styleId="apple-converted-space">
    <w:name w:val="apple-converted-space"/>
    <w:basedOn w:val="DefaultParagraphFont"/>
    <w:rsid w:val="0080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1047</Words>
  <Characters>5968</Characters>
  <Application>Microsoft Office Word</Application>
  <DocSecurity>0</DocSecurity>
  <Lines>49</Lines>
  <Paragraphs>14</Paragraphs>
  <ScaleCrop>false</ScaleCrop>
  <Company>University of Southampton</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Willcock S.P.</dc:creator>
  <cp:keywords/>
  <dc:description/>
  <cp:lastModifiedBy>Willcock S.P.</cp:lastModifiedBy>
  <cp:revision>3</cp:revision>
  <dcterms:created xsi:type="dcterms:W3CDTF">2016-10-11T09:26:00Z</dcterms:created>
  <dcterms:modified xsi:type="dcterms:W3CDTF">2016-10-11T12:07:00Z</dcterms:modified>
</cp:coreProperties>
</file>