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0A56" w14:textId="77777777" w:rsidR="0035564B" w:rsidRPr="00113A55" w:rsidRDefault="0035564B" w:rsidP="00B11CA9">
      <w:pPr>
        <w:pStyle w:val="Beschriftung"/>
        <w:rPr>
          <w:rFonts w:ascii="Times New Roman" w:hAnsi="Times New Roman"/>
          <w:color w:val="auto"/>
          <w:lang w:val="en-GB"/>
        </w:rPr>
      </w:pPr>
      <w:r w:rsidRPr="00113A55">
        <w:rPr>
          <w:rFonts w:ascii="Times New Roman" w:hAnsi="Times New Roman"/>
          <w:color w:val="auto"/>
          <w:lang w:val="en-GB"/>
        </w:rPr>
        <w:t>Table</w:t>
      </w:r>
      <w:r>
        <w:rPr>
          <w:rFonts w:ascii="Times New Roman" w:hAnsi="Times New Roman"/>
          <w:color w:val="auto"/>
          <w:lang w:val="en-GB"/>
        </w:rPr>
        <w:t xml:space="preserve"> S4</w:t>
      </w:r>
      <w:r w:rsidRPr="00113A55">
        <w:rPr>
          <w:rFonts w:ascii="Times New Roman" w:hAnsi="Times New Roman"/>
          <w:color w:val="auto"/>
          <w:lang w:val="en-GB"/>
        </w:rPr>
        <w:t>: Tenure issues</w:t>
      </w:r>
    </w:p>
    <w:tbl>
      <w:tblPr>
        <w:tblStyle w:val="HelleSchattieru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541"/>
      </w:tblGrid>
      <w:tr w:rsidR="0035564B" w:rsidRPr="00113A55" w14:paraId="4FCB539D" w14:textId="77777777" w:rsidTr="006D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E286047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E02783B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Tenure issues </w:t>
            </w:r>
          </w:p>
        </w:tc>
      </w:tr>
      <w:tr w:rsidR="0035564B" w:rsidRPr="00113A55" w14:paraId="70AD0189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538241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B8D7C0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Insecure tenure right that still need to be consolidated even though indigenous (particularly in the northern Amazon) have tenure over their territories </w:t>
            </w:r>
          </w:p>
          <w:p w14:paraId="2A3995F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Tenure rights in most of the forests in the Bolivia lowlands are poorly defined, undefined or conflictive in relation to most of the forests </w:t>
            </w:r>
          </w:p>
          <w:p w14:paraId="7E3A63C4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Lack of clarification on land tenure and overlapping of land rights threatens several territories and promotes deforestation </w:t>
            </w:r>
          </w:p>
          <w:p w14:paraId="211243E6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Weak enforcement of both the law and forest policy </w:t>
            </w:r>
          </w:p>
          <w:p w14:paraId="54C3A565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No clear law addressing land conflict resolution mechanisms</w:t>
            </w:r>
          </w:p>
        </w:tc>
      </w:tr>
      <w:tr w:rsidR="0035564B" w:rsidRPr="00113A55" w14:paraId="23775322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20C98D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0" w:type="auto"/>
            <w:shd w:val="clear" w:color="auto" w:fill="auto"/>
          </w:tcPr>
          <w:p w14:paraId="5CE0E58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High level of contestation over forest lands though pattern is spatially uneven</w:t>
            </w:r>
          </w:p>
          <w:p w14:paraId="3AD2A544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Unclear tenure rights, overlapping rights, extensive areas claimed by squatters (24% of Brazilian Amazon is unclassified public land)</w:t>
            </w:r>
          </w:p>
          <w:p w14:paraId="3E1AFC24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Problems in the implementation of the Forest Code because minimum forest area requirements are heavily contested</w:t>
            </w:r>
          </w:p>
          <w:p w14:paraId="2C47D42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Pressures on indigenous areas despite clear borders and rights (although in a minority of cases)</w:t>
            </w:r>
          </w:p>
          <w:p w14:paraId="5AA1FB22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Major inconsistencies in interpretation of the law, failure to implement regulations</w:t>
            </w:r>
          </w:p>
          <w:p w14:paraId="132C3EF1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Lack of sufficient funding and staff for land regularisation; very slow progress</w:t>
            </w:r>
          </w:p>
        </w:tc>
      </w:tr>
      <w:tr w:rsidR="0035564B" w:rsidRPr="00113A55" w14:paraId="639C2FE5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BCFFF1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Peru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B38A0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Native peoples have alienable land rights rather than broader inalienable territory rights </w:t>
            </w:r>
          </w:p>
          <w:p w14:paraId="26C41C32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Overlapping titles and lack of land registry</w:t>
            </w:r>
          </w:p>
          <w:p w14:paraId="4C7A6D3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State authorises overlapping rights and obligations among sectors (forest, tenure, mining, water, etc.) </w:t>
            </w:r>
          </w:p>
          <w:p w14:paraId="0FBD135A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Reserves and other forest categories declared on paper but without defined borders</w:t>
            </w:r>
          </w:p>
        </w:tc>
      </w:tr>
      <w:tr w:rsidR="0035564B" w:rsidRPr="00113A55" w14:paraId="63E261C1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E659FA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Burkina Faso</w:t>
            </w:r>
          </w:p>
        </w:tc>
        <w:tc>
          <w:tcPr>
            <w:tcW w:w="0" w:type="auto"/>
            <w:shd w:val="clear" w:color="auto" w:fill="auto"/>
          </w:tcPr>
          <w:p w14:paraId="1516BA58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Land tenure insecurity due to conflict between traditional rules and modern law</w:t>
            </w:r>
          </w:p>
          <w:p w14:paraId="23F7727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Procedures and decision-making authorities on land tenure reorganization seem to have little legitimacy</w:t>
            </w:r>
          </w:p>
          <w:p w14:paraId="66EE6D42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Politicisation of the land tenure issue</w:t>
            </w:r>
          </w:p>
        </w:tc>
      </w:tr>
      <w:tr w:rsidR="0035564B" w:rsidRPr="00113A55" w14:paraId="1B5D41B2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CD0EB6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Cameroon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BA680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Conflict between customary and formal law; formal law limits local use rights</w:t>
            </w:r>
          </w:p>
          <w:p w14:paraId="5934F35C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Community forestry represents an attempt to make a formal link between communities and forests without recognising customary claims</w:t>
            </w:r>
          </w:p>
          <w:p w14:paraId="5F68FA12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Only the elite have the means to register land, which is the only formally recognised ownership right</w:t>
            </w:r>
          </w:p>
          <w:p w14:paraId="594E62B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Zoning has resulted in constant conflict among stakeholders</w:t>
            </w:r>
          </w:p>
          <w:p w14:paraId="2F2E396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State authorises overlapping rights and obligations among sectors (forest, tenure, mining, water, etc.)</w:t>
            </w:r>
          </w:p>
        </w:tc>
      </w:tr>
      <w:tr w:rsidR="0035564B" w:rsidRPr="00113A55" w14:paraId="178B07E8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3AE0741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DR Congo</w:t>
            </w:r>
          </w:p>
        </w:tc>
        <w:tc>
          <w:tcPr>
            <w:tcW w:w="0" w:type="auto"/>
            <w:shd w:val="clear" w:color="auto" w:fill="auto"/>
          </w:tcPr>
          <w:p w14:paraId="26592E4B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Land considered vacant has been subject to appropriation by the state</w:t>
            </w:r>
          </w:p>
          <w:p w14:paraId="4651B961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Absence of planning tools for possible land allocation</w:t>
            </w:r>
          </w:p>
          <w:p w14:paraId="484198A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Overlapping land and mining claims</w:t>
            </w:r>
          </w:p>
        </w:tc>
      </w:tr>
      <w:tr w:rsidR="0035564B" w:rsidRPr="00113A55" w14:paraId="228E86C6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BB07B4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Mozambique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3559C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Weak enforcement of laws and regulations may jeopardise equity of results</w:t>
            </w:r>
          </w:p>
          <w:p w14:paraId="23983DFB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Incomplete rights to use and benefit from the land, poor enforcement of laws and regulations</w:t>
            </w:r>
          </w:p>
        </w:tc>
      </w:tr>
      <w:tr w:rsidR="0035564B" w:rsidRPr="00113A55" w14:paraId="432FDB64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D5236F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Tanzania</w:t>
            </w:r>
          </w:p>
        </w:tc>
        <w:tc>
          <w:tcPr>
            <w:tcW w:w="0" w:type="auto"/>
            <w:shd w:val="clear" w:color="auto" w:fill="auto"/>
          </w:tcPr>
          <w:p w14:paraId="1BBD3A6F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Coexistence of state, village, private and collective tenure on forest lands without clear property rights </w:t>
            </w:r>
          </w:p>
          <w:p w14:paraId="4577776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No legal recognition at national level of indigenous rights</w:t>
            </w:r>
            <w:r w:rsidRPr="00113A55" w:rsidDel="0098059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132BDA3F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Some government bodies interpret formal land categories in such a way that the state owns much of village land (e.g. Forestry and Beekeeping Division)</w:t>
            </w:r>
          </w:p>
          <w:p w14:paraId="14606F17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Conflicts between farmers and pastoralists</w:t>
            </w:r>
          </w:p>
          <w:p w14:paraId="529294C7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Conflicts over evictions of pastoralists for environmental purposes</w:t>
            </w:r>
          </w:p>
          <w:p w14:paraId="5C6284D0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Contested and overlapping tenure regimes and risk of elite capture</w:t>
            </w:r>
          </w:p>
          <w:p w14:paraId="4A8DF654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6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Customary rights recognised but are not always respected</w:t>
            </w:r>
          </w:p>
        </w:tc>
      </w:tr>
      <w:tr w:rsidR="0035564B" w:rsidRPr="00113A55" w14:paraId="238FD993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00743B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77BA4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Unclear forest area boundaries, conflicting claims and forest encroachment </w:t>
            </w:r>
          </w:p>
          <w:p w14:paraId="1632DEA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Inaccurate land-use maps</w:t>
            </w:r>
          </w:p>
          <w:p w14:paraId="3894C632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Reluctance to recognize customary claims and support local access and ownership rights</w:t>
            </w:r>
          </w:p>
          <w:p w14:paraId="3E844CF9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National and local governments issue licenses on forest lands in overlapping areas</w:t>
            </w:r>
          </w:p>
          <w:p w14:paraId="7489BA01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Low government commitment to addressing community tenure issues</w:t>
            </w:r>
          </w:p>
          <w:p w14:paraId="62B1B87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Limits on customary use rights in favour of business use of forests</w:t>
            </w:r>
          </w:p>
          <w:p w14:paraId="56FF84A0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Absence of rules and procedures for registering community forests</w:t>
            </w:r>
          </w:p>
        </w:tc>
      </w:tr>
      <w:tr w:rsidR="0035564B" w:rsidRPr="00113A55" w14:paraId="7712E3AF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09AA202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lastRenderedPageBreak/>
              <w:t>Lao PDR</w:t>
            </w:r>
          </w:p>
        </w:tc>
        <w:tc>
          <w:tcPr>
            <w:tcW w:w="0" w:type="auto"/>
            <w:shd w:val="clear" w:color="auto" w:fill="auto"/>
          </w:tcPr>
          <w:p w14:paraId="27461D1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Increasing complexity of the Land Use Planning and Land Allocation system  </w:t>
            </w:r>
          </w:p>
          <w:p w14:paraId="47D7BB13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Weak law enforcement, hampering efforts to secure land rights for local communities and indigenous people </w:t>
            </w:r>
          </w:p>
          <w:p w14:paraId="3A30A411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Unclear legal aspects related to tenure and land registration</w:t>
            </w:r>
          </w:p>
        </w:tc>
      </w:tr>
      <w:tr w:rsidR="0035564B" w:rsidRPr="00113A55" w14:paraId="64AF5400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B5A3AA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Nepal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548A9A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The government decisions since Nepal embraced REDD+ are mostly oriented towards recentralization of forest management and restriction of local rights</w:t>
            </w:r>
          </w:p>
          <w:p w14:paraId="6755E140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No explicit law for indigenous rights in relation to land tenure</w:t>
            </w:r>
          </w:p>
        </w:tc>
      </w:tr>
      <w:tr w:rsidR="0035564B" w:rsidRPr="00113A55" w14:paraId="5F2DE12F" w14:textId="77777777" w:rsidTr="006D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5367897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Papua New Guinea</w:t>
            </w:r>
          </w:p>
        </w:tc>
        <w:tc>
          <w:tcPr>
            <w:tcW w:w="0" w:type="auto"/>
            <w:shd w:val="clear" w:color="auto" w:fill="auto"/>
          </w:tcPr>
          <w:p w14:paraId="05BD049D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De jure and legal tenure (recognition of customary rights) but not always respected by local authorities</w:t>
            </w:r>
          </w:p>
          <w:p w14:paraId="3F66A0A6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There is seemingly strong de jure customary rights, but many land-owners are not aware of their rights leaving them vulnerable to exploitation</w:t>
            </w:r>
          </w:p>
        </w:tc>
      </w:tr>
      <w:tr w:rsidR="0035564B" w:rsidRPr="00113A55" w14:paraId="3F28A596" w14:textId="77777777" w:rsidTr="006D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E24C2F4" w14:textId="77777777" w:rsidR="0035564B" w:rsidRPr="00113A55" w:rsidRDefault="0035564B" w:rsidP="006D28D5">
            <w:pPr>
              <w:pStyle w:val="Textdt"/>
              <w:spacing w:before="60" w:after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35806A5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Complex forestland tenure and ownership systems</w:t>
            </w:r>
          </w:p>
          <w:p w14:paraId="4303D975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Gap between national and customary laws, customary tenure not recognized</w:t>
            </w:r>
          </w:p>
          <w:p w14:paraId="05BA3E77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Overlaps between indigenous and colonial land claims </w:t>
            </w:r>
          </w:p>
          <w:p w14:paraId="54FB105B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Lack of human and financial resources for forest land allocation</w:t>
            </w:r>
          </w:p>
          <w:p w14:paraId="3EAF4495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Technological problems leading to inaccurate maps</w:t>
            </w:r>
          </w:p>
          <w:p w14:paraId="64E6D394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Inequity in forest allocation; land grabbing</w:t>
            </w:r>
          </w:p>
          <w:p w14:paraId="064FD19A" w14:textId="77777777" w:rsidR="0035564B" w:rsidRPr="00113A55" w:rsidRDefault="0035564B" w:rsidP="0035564B">
            <w:pPr>
              <w:pStyle w:val="Textdt"/>
              <w:numPr>
                <w:ilvl w:val="0"/>
                <w:numId w:val="8"/>
              </w:numPr>
              <w:spacing w:after="0" w:line="240" w:lineRule="auto"/>
              <w:ind w:left="317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3A55">
              <w:rPr>
                <w:rFonts w:ascii="Times New Roman" w:hAnsi="Times New Roman"/>
                <w:sz w:val="20"/>
                <w:szCs w:val="20"/>
                <w:lang w:val="en-GB"/>
              </w:rPr>
              <w:t>Limited understanding by forest users of rights and responsibilities associated with forest land allocation</w:t>
            </w:r>
          </w:p>
        </w:tc>
      </w:tr>
    </w:tbl>
    <w:p w14:paraId="15653E84" w14:textId="77777777" w:rsidR="0035564B" w:rsidRPr="00410D9A" w:rsidRDefault="0035564B" w:rsidP="00410D9A">
      <w:pPr>
        <w:pStyle w:val="Textdt"/>
        <w:spacing w:before="60" w:after="240" w:line="240" w:lineRule="auto"/>
        <w:rPr>
          <w:rFonts w:ascii="Times New Roman" w:hAnsi="Times New Roman"/>
          <w:sz w:val="20"/>
          <w:szCs w:val="20"/>
          <w:lang w:val="en-GB"/>
        </w:rPr>
      </w:pPr>
      <w:r w:rsidRPr="00113A55">
        <w:rPr>
          <w:rFonts w:ascii="Times New Roman" w:hAnsi="Times New Roman"/>
          <w:sz w:val="20"/>
          <w:szCs w:val="20"/>
          <w:lang w:val="en-GB"/>
        </w:rPr>
        <w:t xml:space="preserve">Sources: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Paudel </w:t>
      </w:r>
      <w:r>
        <w:rPr>
          <w:rFonts w:ascii="Times New Roman" w:hAnsi="Times New Roman"/>
          <w:noProof/>
          <w:sz w:val="20"/>
          <w:szCs w:val="20"/>
          <w:lang w:val="en-GB"/>
        </w:rPr>
        <w:t>&amp;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 Vedeld (2015)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Sunderlin</w:t>
      </w:r>
      <w:r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>et al.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 (2014b)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Larson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Müller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sz w:val="20"/>
          <w:szCs w:val="20"/>
          <w:lang w:val="en-GB"/>
        </w:rPr>
        <w:t>(2014)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GB"/>
        </w:rPr>
        <w:t>Babon &amp;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 Gowae 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Lestrelin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Mpoyi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Paudel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Piu </w:t>
      </w:r>
      <w:r>
        <w:rPr>
          <w:rFonts w:ascii="Times New Roman" w:hAnsi="Times New Roman"/>
          <w:noProof/>
          <w:sz w:val="20"/>
          <w:szCs w:val="20"/>
          <w:lang w:val="en-GB"/>
        </w:rPr>
        <w:t>&amp;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 Menton (2013)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Indrarto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(2012)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GB"/>
        </w:rPr>
        <w:t>Kweka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>
        <w:rPr>
          <w:rFonts w:ascii="Times New Roman" w:hAnsi="Times New Roman"/>
          <w:noProof/>
          <w:sz w:val="20"/>
          <w:szCs w:val="20"/>
          <w:lang w:val="en-GB"/>
        </w:rPr>
        <w:t>(2015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F1451D"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Kambir</w:t>
      </w:r>
      <w:r w:rsidRPr="00F1451D">
        <w:rPr>
          <w:rFonts w:ascii="Times New Roman" w:hAnsi="Times New Roman"/>
          <w:sz w:val="20"/>
          <w:szCs w:val="20"/>
          <w:lang w:val="en-GB"/>
        </w:rPr>
        <w:t>e</w:t>
      </w:r>
      <w:proofErr w:type="spellEnd"/>
      <w:r w:rsidRPr="00F1451D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1451D">
        <w:rPr>
          <w:rFonts w:ascii="Times New Roman" w:hAnsi="Times New Roman"/>
          <w:i/>
          <w:sz w:val="20"/>
          <w:szCs w:val="20"/>
          <w:lang w:val="en-GB"/>
        </w:rPr>
        <w:t xml:space="preserve">et al. </w:t>
      </w:r>
      <w:r>
        <w:rPr>
          <w:rFonts w:ascii="Times New Roman" w:hAnsi="Times New Roman"/>
          <w:sz w:val="20"/>
          <w:szCs w:val="20"/>
          <w:lang w:val="en-GB"/>
        </w:rPr>
        <w:t>(</w:t>
      </w:r>
      <w:r w:rsidRPr="00F1451D">
        <w:rPr>
          <w:rFonts w:ascii="Times New Roman" w:hAnsi="Times New Roman"/>
          <w:sz w:val="20"/>
          <w:szCs w:val="20"/>
          <w:lang w:val="en-GB"/>
        </w:rPr>
        <w:t>2015</w:t>
      </w:r>
      <w:r>
        <w:rPr>
          <w:rFonts w:ascii="Times New Roman" w:hAnsi="Times New Roman"/>
          <w:sz w:val="20"/>
          <w:szCs w:val="20"/>
          <w:lang w:val="en-GB"/>
        </w:rPr>
        <w:t>);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Pham</w:t>
      </w:r>
      <w:r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>
        <w:rPr>
          <w:rFonts w:ascii="Times New Roman" w:hAnsi="Times New Roman"/>
          <w:noProof/>
          <w:sz w:val="20"/>
          <w:szCs w:val="20"/>
          <w:lang w:val="en-GB"/>
        </w:rPr>
        <w:t>(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2012)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 xml:space="preserve">Sitoe </w:t>
      </w:r>
      <w:r>
        <w:rPr>
          <w:rFonts w:ascii="Times New Roman" w:hAnsi="Times New Roman"/>
          <w:i/>
          <w:noProof/>
          <w:sz w:val="20"/>
          <w:szCs w:val="20"/>
          <w:lang w:val="en-GB"/>
        </w:rPr>
        <w:t xml:space="preserve">et al.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(2012)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13A55">
        <w:rPr>
          <w:rFonts w:ascii="Times New Roman" w:hAnsi="Times New Roman"/>
          <w:noProof/>
          <w:sz w:val="20"/>
          <w:szCs w:val="20"/>
          <w:lang w:val="en-GB"/>
        </w:rPr>
        <w:t>Dkamela (2011)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113A5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10D9A">
        <w:rPr>
          <w:rFonts w:ascii="Times New Roman" w:hAnsi="Times New Roman"/>
          <w:noProof/>
          <w:sz w:val="20"/>
          <w:szCs w:val="20"/>
          <w:lang w:val="en-GB"/>
        </w:rPr>
        <w:t xml:space="preserve">May </w:t>
      </w:r>
      <w:r w:rsidRPr="00410D9A">
        <w:rPr>
          <w:rFonts w:ascii="Times New Roman" w:hAnsi="Times New Roman"/>
          <w:i/>
          <w:noProof/>
          <w:sz w:val="20"/>
          <w:szCs w:val="20"/>
          <w:lang w:val="en-GB"/>
        </w:rPr>
        <w:t>et al.</w:t>
      </w:r>
      <w:r w:rsidRPr="00410D9A">
        <w:rPr>
          <w:rFonts w:ascii="Times New Roman" w:hAnsi="Times New Roman"/>
          <w:noProof/>
          <w:sz w:val="20"/>
          <w:szCs w:val="20"/>
          <w:lang w:val="en-GB"/>
        </w:rPr>
        <w:t xml:space="preserve"> (2011)</w:t>
      </w:r>
      <w:r w:rsidRPr="00410D9A">
        <w:rPr>
          <w:rFonts w:ascii="Times New Roman" w:hAnsi="Times New Roman"/>
          <w:sz w:val="20"/>
          <w:szCs w:val="20"/>
          <w:lang w:val="en-GB"/>
        </w:rPr>
        <w:t>.</w:t>
      </w:r>
    </w:p>
    <w:p w14:paraId="681C0B51" w14:textId="77777777" w:rsidR="0035564B" w:rsidRPr="00410D9A" w:rsidRDefault="0035564B" w:rsidP="00410D9A">
      <w:pPr>
        <w:pStyle w:val="Textdt"/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410D9A">
        <w:rPr>
          <w:rFonts w:ascii="Times New Roman" w:hAnsi="Times New Roman"/>
          <w:b/>
          <w:sz w:val="20"/>
          <w:szCs w:val="20"/>
          <w:lang w:val="en-GB"/>
        </w:rPr>
        <w:t>Additional references not cited in the main text:</w:t>
      </w:r>
    </w:p>
    <w:p w14:paraId="16EB1991" w14:textId="77777777" w:rsidR="0035564B" w:rsidRPr="00410D9A" w:rsidRDefault="0035564B" w:rsidP="00410D9A">
      <w:pPr>
        <w:pStyle w:val="Textdt"/>
        <w:spacing w:before="60" w:after="24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Paudel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, N.S. &amp; </w:t>
      </w: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Vedeld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>, P.O. (2015) Prospects and challenges of tenure and forest governance reform in the context of REDD+ initiatives in Nepal. Forest Policy and Economics 52: 1-8.</w:t>
      </w:r>
    </w:p>
    <w:p w14:paraId="54407BCF" w14:textId="77777777" w:rsidR="0035564B" w:rsidRPr="00410D9A" w:rsidRDefault="0035564B" w:rsidP="00410D9A">
      <w:pPr>
        <w:pStyle w:val="Textdt"/>
        <w:spacing w:before="60" w:after="24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Sunderlin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, W.D., Larson, A.M., </w:t>
      </w: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Duchelle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, A.E., </w:t>
      </w: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Resosudarmo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, I.A.P., Huynh, T.B., </w:t>
      </w: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Awono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 A., &amp; </w:t>
      </w:r>
      <w:proofErr w:type="spellStart"/>
      <w:r w:rsidRPr="00410D9A">
        <w:rPr>
          <w:rFonts w:ascii="Times New Roman" w:hAnsi="Times New Roman"/>
          <w:sz w:val="20"/>
          <w:szCs w:val="20"/>
          <w:lang w:val="en-GB"/>
        </w:rPr>
        <w:t>Dokken</w:t>
      </w:r>
      <w:proofErr w:type="spellEnd"/>
      <w:r w:rsidRPr="00410D9A">
        <w:rPr>
          <w:rFonts w:ascii="Times New Roman" w:hAnsi="Times New Roman"/>
          <w:sz w:val="20"/>
          <w:szCs w:val="20"/>
          <w:lang w:val="en-GB"/>
        </w:rPr>
        <w:t xml:space="preserve"> T. (2014b) How are REDD+ proponents addressing tenure problems? Evidence from Brazil, Cameroon, Tanzania, Indonesia, and Vietnam. World Development 55: 37-52.</w:t>
      </w:r>
    </w:p>
    <w:p w14:paraId="48DA8D83" w14:textId="77777777" w:rsidR="0035564B" w:rsidRPr="00410D9A" w:rsidRDefault="0035564B" w:rsidP="00410D9A">
      <w:pPr>
        <w:pStyle w:val="Textdt"/>
        <w:spacing w:before="60" w:after="24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373C837" w14:textId="77777777" w:rsidR="00971574" w:rsidRDefault="0035564B">
      <w:bookmarkStart w:id="0" w:name="_GoBack"/>
      <w:bookmarkEnd w:id="0"/>
    </w:p>
    <w:sectPr w:rsidR="00971574" w:rsidSect="00F616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traface 2 Text Book">
    <w:panose1 w:val="020B0503020202020102"/>
    <w:charset w:val="00"/>
    <w:family w:val="auto"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2A55"/>
    <w:multiLevelType w:val="multilevel"/>
    <w:tmpl w:val="9808DB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30B615D"/>
    <w:multiLevelType w:val="multilevel"/>
    <w:tmpl w:val="8CD69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57A1556"/>
    <w:multiLevelType w:val="hybridMultilevel"/>
    <w:tmpl w:val="4C20F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1010"/>
    <w:multiLevelType w:val="multilevel"/>
    <w:tmpl w:val="15EA12B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564B"/>
    <w:rsid w:val="000676FB"/>
    <w:rsid w:val="00086999"/>
    <w:rsid w:val="000F2A88"/>
    <w:rsid w:val="00100345"/>
    <w:rsid w:val="00205A61"/>
    <w:rsid w:val="00206B95"/>
    <w:rsid w:val="0035564B"/>
    <w:rsid w:val="00356B6B"/>
    <w:rsid w:val="00380A1A"/>
    <w:rsid w:val="004D37AA"/>
    <w:rsid w:val="00537255"/>
    <w:rsid w:val="00545EFC"/>
    <w:rsid w:val="005940E2"/>
    <w:rsid w:val="005B1FF4"/>
    <w:rsid w:val="006D46B8"/>
    <w:rsid w:val="00726B78"/>
    <w:rsid w:val="007C1C1E"/>
    <w:rsid w:val="00805AB7"/>
    <w:rsid w:val="0084691C"/>
    <w:rsid w:val="008D167F"/>
    <w:rsid w:val="00982D9E"/>
    <w:rsid w:val="00A12E76"/>
    <w:rsid w:val="00A36600"/>
    <w:rsid w:val="00A563F9"/>
    <w:rsid w:val="00AE1994"/>
    <w:rsid w:val="00B63412"/>
    <w:rsid w:val="00C42D8C"/>
    <w:rsid w:val="00C8619F"/>
    <w:rsid w:val="00CA298F"/>
    <w:rsid w:val="00CF485E"/>
    <w:rsid w:val="00D42C1E"/>
    <w:rsid w:val="00D57185"/>
    <w:rsid w:val="00DD2587"/>
    <w:rsid w:val="00E443AD"/>
    <w:rsid w:val="00E943AF"/>
    <w:rsid w:val="00EA2061"/>
    <w:rsid w:val="00F3087F"/>
    <w:rsid w:val="00F75591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3C6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5564B"/>
    <w:pPr>
      <w:spacing w:after="200" w:line="360" w:lineRule="auto"/>
      <w:jc w:val="both"/>
    </w:pPr>
    <w:rPr>
      <w:rFonts w:ascii="Calibri" w:eastAsia="Calibri" w:hAnsi="Calibri" w:cs="Times New Roman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5564B"/>
    <w:pPr>
      <w:keepNext/>
      <w:keepLines/>
      <w:numPr>
        <w:numId w:val="4"/>
      </w:numPr>
      <w:tabs>
        <w:tab w:val="clear" w:pos="720"/>
      </w:tabs>
      <w:spacing w:before="480"/>
      <w:ind w:left="431" w:hanging="431"/>
      <w:outlineLvl w:val="0"/>
    </w:pPr>
    <w:rPr>
      <w:rFonts w:ascii="Neutraface 2 Text Book" w:eastAsiaTheme="majorEastAsia" w:hAnsi="Neutraface 2 Text Book" w:cstheme="majorBidi"/>
      <w:bCs/>
      <w:color w:val="2C6EAB" w:themeColor="accent1" w:themeShade="B5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564B"/>
    <w:pPr>
      <w:keepNext/>
      <w:keepLines/>
      <w:numPr>
        <w:ilvl w:val="1"/>
        <w:numId w:val="5"/>
      </w:numPr>
      <w:spacing w:before="36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5564B"/>
    <w:pPr>
      <w:keepNext/>
      <w:keepLines/>
      <w:numPr>
        <w:ilvl w:val="2"/>
        <w:numId w:val="5"/>
      </w:numPr>
      <w:spacing w:before="240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  <w:rsid w:val="003556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5564B"/>
  </w:style>
  <w:style w:type="character" w:customStyle="1" w:styleId="berschrift3Zchn">
    <w:name w:val="Überschrift 3 Zchn"/>
    <w:basedOn w:val="Absatz-Standardschriftart"/>
    <w:link w:val="berschrift3"/>
    <w:uiPriority w:val="9"/>
    <w:rsid w:val="0035564B"/>
    <w:rPr>
      <w:rFonts w:asciiTheme="majorHAnsi" w:eastAsiaTheme="majorEastAsia" w:hAnsiTheme="majorHAnsi" w:cstheme="majorBidi"/>
      <w:bCs/>
      <w:color w:val="5B9BD5" w:themeColor="accent1"/>
      <w:sz w:val="22"/>
      <w:szCs w:val="2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564B"/>
    <w:rPr>
      <w:rFonts w:asciiTheme="majorHAnsi" w:eastAsiaTheme="majorEastAsia" w:hAnsiTheme="majorHAnsi" w:cstheme="majorBidi"/>
      <w:b/>
      <w:bCs/>
      <w:color w:val="5B9BD5" w:themeColor="accent1"/>
      <w:sz w:val="22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564B"/>
    <w:rPr>
      <w:rFonts w:ascii="Neutraface 2 Text Book" w:eastAsiaTheme="majorEastAsia" w:hAnsi="Neutraface 2 Text Book" w:cstheme="majorBidi"/>
      <w:bCs/>
      <w:color w:val="2C6EAB" w:themeColor="accent1" w:themeShade="B5"/>
      <w:sz w:val="32"/>
      <w:szCs w:val="32"/>
    </w:rPr>
  </w:style>
  <w:style w:type="paragraph" w:customStyle="1" w:styleId="Textdt">
    <w:name w:val="Text dt"/>
    <w:basedOn w:val="Standard"/>
    <w:link w:val="TextdtChar"/>
    <w:qFormat/>
    <w:rsid w:val="0035564B"/>
    <w:pPr>
      <w:spacing w:after="120"/>
    </w:pPr>
    <w:rPr>
      <w:rFonts w:asciiTheme="minorHAnsi" w:eastAsia="Times New Roman" w:hAnsiTheme="minorHAnsi"/>
    </w:rPr>
  </w:style>
  <w:style w:type="paragraph" w:styleId="Beschriftung">
    <w:name w:val="caption"/>
    <w:basedOn w:val="Standard"/>
    <w:next w:val="Standard"/>
    <w:unhideWhenUsed/>
    <w:qFormat/>
    <w:rsid w:val="0035564B"/>
    <w:pPr>
      <w:tabs>
        <w:tab w:val="left" w:pos="284"/>
      </w:tabs>
      <w:spacing w:before="240" w:after="120" w:line="240" w:lineRule="auto"/>
    </w:pPr>
    <w:rPr>
      <w:rFonts w:eastAsia="Times"/>
      <w:b/>
      <w:bCs/>
      <w:color w:val="5B9BD5" w:themeColor="accent1"/>
      <w:sz w:val="20"/>
      <w:szCs w:val="18"/>
      <w:lang w:eastAsia="de-DE"/>
    </w:rPr>
  </w:style>
  <w:style w:type="table" w:styleId="HelleSchattierung">
    <w:name w:val="Light Shading"/>
    <w:basedOn w:val="NormaleTabelle"/>
    <w:uiPriority w:val="60"/>
    <w:rsid w:val="0035564B"/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dtChar">
    <w:name w:val="Text dt Char"/>
    <w:basedOn w:val="Absatz-Standardschriftart"/>
    <w:link w:val="Textdt"/>
    <w:rsid w:val="0035564B"/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4905</Characters>
  <Application>Microsoft Macintosh Word</Application>
  <DocSecurity>0</DocSecurity>
  <Lines>40</Lines>
  <Paragraphs>11</Paragraphs>
  <ScaleCrop>false</ScaleCrop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Loft</dc:creator>
  <cp:keywords/>
  <dc:description/>
  <cp:lastModifiedBy>Lasse Loft</cp:lastModifiedBy>
  <cp:revision>1</cp:revision>
  <dcterms:created xsi:type="dcterms:W3CDTF">2016-08-03T12:09:00Z</dcterms:created>
  <dcterms:modified xsi:type="dcterms:W3CDTF">2016-08-03T12:09:00Z</dcterms:modified>
</cp:coreProperties>
</file>