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9F79" w14:textId="07CF543F" w:rsidR="00716D1C" w:rsidRPr="00194792" w:rsidRDefault="00716D1C" w:rsidP="00716D1C">
      <w:pPr>
        <w:spacing w:line="480" w:lineRule="auto"/>
        <w:rPr>
          <w:rFonts w:ascii="Times" w:hAnsi="Times" w:cs="Times New Roman"/>
          <w:b/>
        </w:rPr>
      </w:pPr>
      <w:r w:rsidRPr="00194792">
        <w:rPr>
          <w:rFonts w:ascii="Times" w:hAnsi="Times" w:cs="Times New Roman"/>
          <w:b/>
        </w:rPr>
        <w:t xml:space="preserve">Appendix </w:t>
      </w:r>
      <w:r>
        <w:rPr>
          <w:rFonts w:ascii="Times" w:hAnsi="Times" w:cs="Times New Roman"/>
          <w:b/>
        </w:rPr>
        <w:t>S</w:t>
      </w:r>
      <w:r w:rsidR="00F873CF">
        <w:rPr>
          <w:rFonts w:ascii="Times" w:hAnsi="Times" w:cs="Times New Roman"/>
          <w:b/>
        </w:rPr>
        <w:t>3</w:t>
      </w:r>
      <w:bookmarkStart w:id="0" w:name="_GoBack"/>
      <w:bookmarkEnd w:id="0"/>
      <w:r w:rsidRPr="00194792">
        <w:rPr>
          <w:rFonts w:ascii="Times" w:hAnsi="Times" w:cs="Times New Roman"/>
          <w:b/>
        </w:rPr>
        <w:t xml:space="preserve">. </w:t>
      </w:r>
      <w:r w:rsidR="006E3D51">
        <w:rPr>
          <w:rFonts w:ascii="Times" w:hAnsi="Times" w:cs="Times New Roman"/>
          <w:b/>
        </w:rPr>
        <w:t>D</w:t>
      </w:r>
      <w:r w:rsidR="00C978B0">
        <w:rPr>
          <w:rFonts w:ascii="Times" w:hAnsi="Times" w:cs="Times New Roman"/>
          <w:b/>
        </w:rPr>
        <w:t xml:space="preserve">eforestation </w:t>
      </w:r>
      <w:r w:rsidR="00294956">
        <w:rPr>
          <w:rFonts w:ascii="Times" w:hAnsi="Times" w:cs="Times New Roman"/>
          <w:b/>
        </w:rPr>
        <w:t>rates of</w:t>
      </w:r>
      <w:r w:rsidRPr="00261CF5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>FCI</w:t>
      </w:r>
      <w:r w:rsidRPr="00261CF5">
        <w:rPr>
          <w:rFonts w:ascii="Times" w:hAnsi="Times" w:cs="Times New Roman"/>
          <w:b/>
        </w:rPr>
        <w:t xml:space="preserve"> and non-</w:t>
      </w:r>
      <w:r>
        <w:rPr>
          <w:rFonts w:ascii="Times" w:hAnsi="Times" w:cs="Times New Roman"/>
          <w:b/>
        </w:rPr>
        <w:t>FCI</w:t>
      </w:r>
      <w:r w:rsidRPr="00261CF5">
        <w:rPr>
          <w:rFonts w:ascii="Times" w:hAnsi="Times" w:cs="Times New Roman"/>
          <w:b/>
        </w:rPr>
        <w:t xml:space="preserve"> </w:t>
      </w:r>
      <w:r w:rsidR="006E3D51">
        <w:rPr>
          <w:rFonts w:ascii="Times" w:hAnsi="Times" w:cs="Times New Roman"/>
          <w:b/>
        </w:rPr>
        <w:t>participants</w:t>
      </w:r>
      <w:r>
        <w:rPr>
          <w:rFonts w:ascii="Times" w:hAnsi="Times" w:cs="Times New Roman"/>
          <w:b/>
        </w:rPr>
        <w:t xml:space="preserve"> after </w:t>
      </w:r>
      <w:r w:rsidR="005C0D82">
        <w:rPr>
          <w:rFonts w:ascii="Times" w:hAnsi="Times" w:cs="Times New Roman"/>
          <w:b/>
        </w:rPr>
        <w:t>matching</w:t>
      </w:r>
      <w:r w:rsidR="009C53E4">
        <w:rPr>
          <w:rFonts w:ascii="Times" w:hAnsi="Times" w:cs="Times New Roman"/>
          <w:b/>
        </w:rPr>
        <w:t>.</w:t>
      </w:r>
    </w:p>
    <w:p w14:paraId="4E3DA486" w14:textId="77777777" w:rsidR="00EA5C8A" w:rsidRDefault="00EA5C8A" w:rsidP="00716D1C">
      <w:pPr>
        <w:rPr>
          <w:rFonts w:ascii="Times" w:hAnsi="Times" w:cs="Times New Roman"/>
          <w:b/>
        </w:rPr>
      </w:pPr>
    </w:p>
    <w:p w14:paraId="27BC64C8" w14:textId="567FFBFE" w:rsidR="00EA5C8A" w:rsidRDefault="00433FC2" w:rsidP="00716D1C">
      <w:pPr>
        <w:rPr>
          <w:rFonts w:ascii="Times" w:hAnsi="Times" w:cs="Times New Roman"/>
          <w:b/>
        </w:rPr>
      </w:pPr>
      <w:r>
        <w:rPr>
          <w:noProof/>
        </w:rPr>
        <w:drawing>
          <wp:inline distT="0" distB="0" distL="0" distR="0" wp14:anchorId="06F324BB" wp14:editId="3F49FA94">
            <wp:extent cx="54864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157AC0" w14:textId="77777777" w:rsidR="00490E66" w:rsidRDefault="00490E66" w:rsidP="00716D1C">
      <w:pPr>
        <w:jc w:val="center"/>
        <w:rPr>
          <w:rFonts w:ascii="Times" w:hAnsi="Times" w:cs="Times New Roman"/>
          <w:b/>
        </w:rPr>
      </w:pPr>
    </w:p>
    <w:p w14:paraId="67155DA0" w14:textId="47EE6E2B" w:rsidR="00716D1C" w:rsidRDefault="00716D1C" w:rsidP="00716D1C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A) </w:t>
      </w:r>
      <w:r w:rsidRPr="00DF54E7">
        <w:rPr>
          <w:rFonts w:ascii="Times" w:hAnsi="Times" w:cs="Times New Roman"/>
          <w:b/>
        </w:rPr>
        <w:t>2004-2006 Baseline deforestation used in match</w:t>
      </w:r>
    </w:p>
    <w:p w14:paraId="39B5BA90" w14:textId="77777777" w:rsidR="00716D1C" w:rsidRDefault="00716D1C" w:rsidP="00716D1C">
      <w:pPr>
        <w:jc w:val="center"/>
        <w:rPr>
          <w:rFonts w:ascii="Times" w:hAnsi="Times" w:cs="Times New Roman"/>
          <w:b/>
        </w:rPr>
      </w:pPr>
    </w:p>
    <w:p w14:paraId="503D889E" w14:textId="6FE905D4" w:rsidR="00716D1C" w:rsidRDefault="005F5733" w:rsidP="00716D1C">
      <w:pPr>
        <w:jc w:val="center"/>
        <w:rPr>
          <w:rFonts w:ascii="Times" w:hAnsi="Times" w:cs="Times New Roman"/>
          <w:b/>
        </w:rPr>
      </w:pPr>
      <w:r>
        <w:rPr>
          <w:noProof/>
        </w:rPr>
        <w:drawing>
          <wp:inline distT="0" distB="0" distL="0" distR="0" wp14:anchorId="5991850F" wp14:editId="141EE1A0">
            <wp:extent cx="5486400" cy="27432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E9D0C0" w14:textId="77777777" w:rsidR="006065D6" w:rsidRDefault="006065D6" w:rsidP="00716D1C">
      <w:pPr>
        <w:jc w:val="center"/>
        <w:rPr>
          <w:rFonts w:ascii="Times" w:hAnsi="Times" w:cs="Times New Roman"/>
          <w:b/>
        </w:rPr>
      </w:pPr>
    </w:p>
    <w:p w14:paraId="63AF0484" w14:textId="6370693C" w:rsidR="00716D1C" w:rsidRDefault="00716D1C" w:rsidP="00716D1C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B) </w:t>
      </w:r>
      <w:r w:rsidRPr="00DF54E7">
        <w:rPr>
          <w:rFonts w:ascii="Times" w:hAnsi="Times" w:cs="Times New Roman"/>
          <w:b/>
        </w:rPr>
        <w:t>200</w:t>
      </w:r>
      <w:r>
        <w:rPr>
          <w:rFonts w:ascii="Times" w:hAnsi="Times" w:cs="Times New Roman"/>
          <w:b/>
        </w:rPr>
        <w:t>5</w:t>
      </w:r>
      <w:r w:rsidRPr="00DF54E7">
        <w:rPr>
          <w:rFonts w:ascii="Times" w:hAnsi="Times" w:cs="Times New Roman"/>
          <w:b/>
        </w:rPr>
        <w:t>-200</w:t>
      </w:r>
      <w:r>
        <w:rPr>
          <w:rFonts w:ascii="Times" w:hAnsi="Times" w:cs="Times New Roman"/>
          <w:b/>
        </w:rPr>
        <w:t>7</w:t>
      </w:r>
      <w:r w:rsidRPr="00DF54E7">
        <w:rPr>
          <w:rFonts w:ascii="Times" w:hAnsi="Times" w:cs="Times New Roman"/>
          <w:b/>
        </w:rPr>
        <w:t xml:space="preserve"> Baseline deforestation used in match</w:t>
      </w:r>
    </w:p>
    <w:p w14:paraId="4C4D241A" w14:textId="77777777" w:rsidR="00716D1C" w:rsidRDefault="00716D1C" w:rsidP="00716D1C">
      <w:pPr>
        <w:rPr>
          <w:rFonts w:ascii="Times" w:hAnsi="Times" w:cs="Times New Roman"/>
          <w:b/>
        </w:rPr>
      </w:pPr>
    </w:p>
    <w:p w14:paraId="276F8961" w14:textId="77777777" w:rsidR="00716D1C" w:rsidRDefault="00716D1C" w:rsidP="00716D1C">
      <w:pPr>
        <w:rPr>
          <w:rFonts w:ascii="Times" w:hAnsi="Times" w:cs="Times New Roman"/>
          <w:b/>
        </w:rPr>
      </w:pPr>
    </w:p>
    <w:p w14:paraId="588B6CC6" w14:textId="77777777" w:rsidR="006065D6" w:rsidRDefault="006065D6" w:rsidP="00716D1C">
      <w:pPr>
        <w:rPr>
          <w:rFonts w:ascii="Times" w:hAnsi="Times" w:cs="Times New Roman"/>
          <w:b/>
        </w:rPr>
      </w:pPr>
    </w:p>
    <w:p w14:paraId="77D8CB95" w14:textId="77777777" w:rsidR="006065D6" w:rsidRDefault="006065D6" w:rsidP="00716D1C">
      <w:pPr>
        <w:rPr>
          <w:rFonts w:ascii="Times" w:hAnsi="Times" w:cs="Times New Roman"/>
          <w:b/>
        </w:rPr>
      </w:pPr>
    </w:p>
    <w:p w14:paraId="5307034C" w14:textId="3E4B4CDD" w:rsidR="006065D6" w:rsidRDefault="006065D6" w:rsidP="00716D1C">
      <w:pPr>
        <w:rPr>
          <w:rFonts w:ascii="Times" w:hAnsi="Times" w:cs="Times New Roman"/>
          <w:b/>
        </w:rPr>
      </w:pPr>
      <w:r>
        <w:rPr>
          <w:noProof/>
        </w:rPr>
        <w:lastRenderedPageBreak/>
        <w:drawing>
          <wp:inline distT="0" distB="0" distL="0" distR="0" wp14:anchorId="69D07CBF" wp14:editId="61C818DF">
            <wp:extent cx="5486400" cy="27432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79306F" w14:textId="77777777" w:rsidR="006065D6" w:rsidRDefault="006065D6" w:rsidP="00716D1C">
      <w:pPr>
        <w:jc w:val="center"/>
        <w:rPr>
          <w:rFonts w:ascii="Times" w:hAnsi="Times" w:cs="Times New Roman"/>
          <w:b/>
        </w:rPr>
      </w:pPr>
    </w:p>
    <w:p w14:paraId="7CF6174A" w14:textId="6A82015B" w:rsidR="00716D1C" w:rsidRDefault="00716D1C" w:rsidP="00716D1C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C) </w:t>
      </w:r>
      <w:r w:rsidRPr="00DF54E7">
        <w:rPr>
          <w:rFonts w:ascii="Times" w:hAnsi="Times" w:cs="Times New Roman"/>
          <w:b/>
        </w:rPr>
        <w:t>200</w:t>
      </w:r>
      <w:r>
        <w:rPr>
          <w:rFonts w:ascii="Times" w:hAnsi="Times" w:cs="Times New Roman"/>
          <w:b/>
        </w:rPr>
        <w:t>6</w:t>
      </w:r>
      <w:r w:rsidRPr="00DF54E7">
        <w:rPr>
          <w:rFonts w:ascii="Times" w:hAnsi="Times" w:cs="Times New Roman"/>
          <w:b/>
        </w:rPr>
        <w:t>-200</w:t>
      </w:r>
      <w:r>
        <w:rPr>
          <w:rFonts w:ascii="Times" w:hAnsi="Times" w:cs="Times New Roman"/>
          <w:b/>
        </w:rPr>
        <w:t>8</w:t>
      </w:r>
      <w:r w:rsidRPr="00DF54E7">
        <w:rPr>
          <w:rFonts w:ascii="Times" w:hAnsi="Times" w:cs="Times New Roman"/>
          <w:b/>
        </w:rPr>
        <w:t xml:space="preserve"> Baseline deforestation used in match</w:t>
      </w:r>
    </w:p>
    <w:p w14:paraId="07E875E9" w14:textId="77777777" w:rsidR="00F80400" w:rsidRDefault="00F80400"/>
    <w:sectPr w:rsidR="00F80400" w:rsidSect="0027212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7FA1" w14:textId="77777777" w:rsidR="009B788F" w:rsidRDefault="009B788F" w:rsidP="009B788F">
      <w:r>
        <w:separator/>
      </w:r>
    </w:p>
  </w:endnote>
  <w:endnote w:type="continuationSeparator" w:id="0">
    <w:p w14:paraId="210EAC91" w14:textId="77777777" w:rsidR="009B788F" w:rsidRDefault="009B788F" w:rsidP="009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0324" w14:textId="77777777" w:rsidR="009B788F" w:rsidRDefault="009B788F" w:rsidP="007A3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63F9C" w14:textId="77777777" w:rsidR="009B788F" w:rsidRDefault="009B788F" w:rsidP="009B7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DFCA" w14:textId="77777777" w:rsidR="009B788F" w:rsidRDefault="009B788F" w:rsidP="007A3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FBD637" w14:textId="77777777" w:rsidR="009B788F" w:rsidRDefault="009B788F" w:rsidP="009B7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2A8B3" w14:textId="77777777" w:rsidR="009B788F" w:rsidRDefault="009B788F" w:rsidP="009B788F">
      <w:r>
        <w:separator/>
      </w:r>
    </w:p>
  </w:footnote>
  <w:footnote w:type="continuationSeparator" w:id="0">
    <w:p w14:paraId="251F480B" w14:textId="77777777" w:rsidR="009B788F" w:rsidRDefault="009B788F" w:rsidP="009B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C"/>
    <w:rsid w:val="001520E7"/>
    <w:rsid w:val="00272129"/>
    <w:rsid w:val="00294956"/>
    <w:rsid w:val="00433FC2"/>
    <w:rsid w:val="00490E66"/>
    <w:rsid w:val="005C0D82"/>
    <w:rsid w:val="005F5733"/>
    <w:rsid w:val="006065D6"/>
    <w:rsid w:val="006E3D51"/>
    <w:rsid w:val="00716D1C"/>
    <w:rsid w:val="00777E43"/>
    <w:rsid w:val="008304FA"/>
    <w:rsid w:val="0084514A"/>
    <w:rsid w:val="009B788F"/>
    <w:rsid w:val="009C53E4"/>
    <w:rsid w:val="00BF1A92"/>
    <w:rsid w:val="00C978B0"/>
    <w:rsid w:val="00CF6057"/>
    <w:rsid w:val="00EA5C8A"/>
    <w:rsid w:val="00F80400"/>
    <w:rsid w:val="00F873CF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8A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7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8F"/>
  </w:style>
  <w:style w:type="character" w:styleId="PageNumber">
    <w:name w:val="page number"/>
    <w:basedOn w:val="DefaultParagraphFont"/>
    <w:uiPriority w:val="99"/>
    <w:semiHidden/>
    <w:unhideWhenUsed/>
    <w:rsid w:val="009B7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7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8F"/>
  </w:style>
  <w:style w:type="character" w:styleId="PageNumber">
    <w:name w:val="page number"/>
    <w:basedOn w:val="DefaultParagraphFont"/>
    <w:uiPriority w:val="99"/>
    <w:semiHidden/>
    <w:unhideWhenUsed/>
    <w:rsid w:val="009B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elly:Dropbox:Papers%20in%20Progress:SocioBosque%20paper_2015:Stata:parallel%20trends%20graph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elly:Dropbox:Papers%20in%20Progress:SocioBosque%20paper_2015:Stata:parallel%20trends%20graph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elly:Dropbox:Papers%20in%20Progress:SocioBosque%20paper_2015:Stata:parallel%20trends%20graph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FCI</c:v>
          </c:tx>
          <c:spPr>
            <a:ln w="28575" cmpd="sng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numRef>
              <c:f>'Sept 2015'!$L$12:$L$21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2015'!$M$12:$M$21</c:f>
              <c:numCache>
                <c:formatCode>General</c:formatCode>
                <c:ptCount val="10"/>
                <c:pt idx="0">
                  <c:v>0.2108929</c:v>
                </c:pt>
                <c:pt idx="1">
                  <c:v>0.4503571</c:v>
                </c:pt>
                <c:pt idx="2">
                  <c:v>0.2315536</c:v>
                </c:pt>
                <c:pt idx="3">
                  <c:v>0.2494464</c:v>
                </c:pt>
                <c:pt idx="4">
                  <c:v>0.6734821</c:v>
                </c:pt>
                <c:pt idx="5">
                  <c:v>0.173</c:v>
                </c:pt>
                <c:pt idx="6">
                  <c:v>0.3814107</c:v>
                </c:pt>
                <c:pt idx="7">
                  <c:v>0.2625536</c:v>
                </c:pt>
                <c:pt idx="8">
                  <c:v>0.1019286</c:v>
                </c:pt>
                <c:pt idx="9">
                  <c:v>0.1105714</c:v>
                </c:pt>
              </c:numCache>
            </c:numRef>
          </c:val>
          <c:smooth val="0"/>
        </c:ser>
        <c:ser>
          <c:idx val="1"/>
          <c:order val="1"/>
          <c:tx>
            <c:v>No FCI</c:v>
          </c:tx>
          <c:spPr>
            <a:ln w="285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'Sept 2015'!$L$12:$L$21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2015'!$N$12:$N$21</c:f>
              <c:numCache>
                <c:formatCode>General</c:formatCode>
                <c:ptCount val="10"/>
                <c:pt idx="0">
                  <c:v>0.105375</c:v>
                </c:pt>
                <c:pt idx="1">
                  <c:v>0.3666607</c:v>
                </c:pt>
                <c:pt idx="2">
                  <c:v>0.2056607</c:v>
                </c:pt>
                <c:pt idx="3">
                  <c:v>0.2434643</c:v>
                </c:pt>
                <c:pt idx="4">
                  <c:v>0.3335</c:v>
                </c:pt>
                <c:pt idx="5">
                  <c:v>0.249875</c:v>
                </c:pt>
                <c:pt idx="6">
                  <c:v>0.5418393</c:v>
                </c:pt>
                <c:pt idx="7">
                  <c:v>0.1379464</c:v>
                </c:pt>
                <c:pt idx="8">
                  <c:v>0.8910714</c:v>
                </c:pt>
                <c:pt idx="9">
                  <c:v>0.631125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9747432"/>
        <c:axId val="-2119207336"/>
      </c:lineChart>
      <c:catAx>
        <c:axId val="-2119747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207336"/>
        <c:crosses val="autoZero"/>
        <c:auto val="1"/>
        <c:lblAlgn val="ctr"/>
        <c:lblOffset val="100"/>
        <c:noMultiLvlLbl val="0"/>
      </c:catAx>
      <c:valAx>
        <c:axId val="-2119207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Deforestation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747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391221930592"/>
          <c:y val="0.0573950131233596"/>
          <c:w val="0.293842045785943"/>
          <c:h val="0.090753135024788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FCI</c:v>
          </c:tx>
          <c:spPr>
            <a:ln w="25400" cap="flat" cmpd="sng" algn="ctr">
              <a:solidFill>
                <a:schemeClr val="dk1"/>
              </a:solidFill>
              <a:prstDash val="dash"/>
            </a:ln>
            <a:effectLst/>
          </c:spPr>
          <c:marker>
            <c:symbol val="none"/>
          </c:marker>
          <c:cat>
            <c:numRef>
              <c:f>'Sept 2015'!$L$39:$L$48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2015'!$M$39:$M$48</c:f>
              <c:numCache>
                <c:formatCode>General</c:formatCode>
                <c:ptCount val="10"/>
                <c:pt idx="0">
                  <c:v>0.207193</c:v>
                </c:pt>
                <c:pt idx="1">
                  <c:v>0.4470702</c:v>
                </c:pt>
                <c:pt idx="2">
                  <c:v>0.2015614</c:v>
                </c:pt>
                <c:pt idx="3">
                  <c:v>0.2450702</c:v>
                </c:pt>
                <c:pt idx="4">
                  <c:v>0.6474035</c:v>
                </c:pt>
                <c:pt idx="5">
                  <c:v>0.1699649</c:v>
                </c:pt>
                <c:pt idx="6">
                  <c:v>0.3747193</c:v>
                </c:pt>
                <c:pt idx="7">
                  <c:v>0.2579474</c:v>
                </c:pt>
                <c:pt idx="8">
                  <c:v>0.1001404</c:v>
                </c:pt>
                <c:pt idx="9">
                  <c:v>0.1086316</c:v>
                </c:pt>
              </c:numCache>
            </c:numRef>
          </c:val>
          <c:smooth val="0"/>
        </c:ser>
        <c:ser>
          <c:idx val="1"/>
          <c:order val="1"/>
          <c:tx>
            <c:v>No FCI</c:v>
          </c:tx>
          <c:spPr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cat>
            <c:numRef>
              <c:f>'Sept 2015'!$L$39:$L$48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2015'!$N$39:$N$48</c:f>
              <c:numCache>
                <c:formatCode>General</c:formatCode>
                <c:ptCount val="10"/>
                <c:pt idx="0">
                  <c:v>0.1332807</c:v>
                </c:pt>
                <c:pt idx="1">
                  <c:v>0.546807</c:v>
                </c:pt>
                <c:pt idx="2">
                  <c:v>0.124193</c:v>
                </c:pt>
                <c:pt idx="3">
                  <c:v>0.5251228</c:v>
                </c:pt>
                <c:pt idx="4">
                  <c:v>0.5592807</c:v>
                </c:pt>
                <c:pt idx="5">
                  <c:v>0.1732982</c:v>
                </c:pt>
                <c:pt idx="6">
                  <c:v>0.4957368</c:v>
                </c:pt>
                <c:pt idx="7">
                  <c:v>0.334</c:v>
                </c:pt>
                <c:pt idx="8">
                  <c:v>0.7331754</c:v>
                </c:pt>
                <c:pt idx="9">
                  <c:v>0.7921053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1641528"/>
        <c:axId val="-2119616648"/>
      </c:lineChart>
      <c:catAx>
        <c:axId val="-2121641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616648"/>
        <c:crosses val="autoZero"/>
        <c:auto val="1"/>
        <c:lblAlgn val="ctr"/>
        <c:lblOffset val="100"/>
        <c:noMultiLvlLbl val="0"/>
      </c:catAx>
      <c:valAx>
        <c:axId val="-2119616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Deforestation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1641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391221930592"/>
          <c:y val="0.0620246427529892"/>
          <c:w val="0.293842045785943"/>
          <c:h val="0.090753135024788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FCI</c:v>
          </c:tx>
          <c:spPr>
            <a:ln w="25400" cap="flat" cmpd="sng" algn="ctr">
              <a:solidFill>
                <a:schemeClr val="dk1"/>
              </a:solidFill>
              <a:prstDash val="dash"/>
            </a:ln>
            <a:effectLst/>
          </c:spPr>
          <c:marker>
            <c:symbol val="none"/>
          </c:marker>
          <c:cat>
            <c:numRef>
              <c:f>'Sept 2015'!$L$63:$L$72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2015'!$M$63:$M$72</c:f>
              <c:numCache>
                <c:formatCode>General</c:formatCode>
                <c:ptCount val="10"/>
                <c:pt idx="0">
                  <c:v>0.207193</c:v>
                </c:pt>
                <c:pt idx="1">
                  <c:v>0.4466316</c:v>
                </c:pt>
                <c:pt idx="2">
                  <c:v>0.2299123</c:v>
                </c:pt>
                <c:pt idx="3">
                  <c:v>0.2450702</c:v>
                </c:pt>
                <c:pt idx="4">
                  <c:v>0.6517719</c:v>
                </c:pt>
                <c:pt idx="5">
                  <c:v>0.1741579</c:v>
                </c:pt>
                <c:pt idx="6">
                  <c:v>0.3747193</c:v>
                </c:pt>
                <c:pt idx="7">
                  <c:v>0.2579474</c:v>
                </c:pt>
                <c:pt idx="8">
                  <c:v>0.1001404</c:v>
                </c:pt>
                <c:pt idx="9">
                  <c:v>0.1212456</c:v>
                </c:pt>
              </c:numCache>
            </c:numRef>
          </c:val>
          <c:smooth val="0"/>
        </c:ser>
        <c:ser>
          <c:idx val="1"/>
          <c:order val="1"/>
          <c:tx>
            <c:v>No FCI</c:v>
          </c:tx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cat>
            <c:numRef>
              <c:f>'Sept 2015'!$L$63:$L$72</c:f>
              <c:numCache>
                <c:formatCode>General</c:formatCode>
                <c:ptCount val="10"/>
                <c:pt idx="0">
                  <c:v>2004.0</c:v>
                </c:pt>
                <c:pt idx="1">
                  <c:v>2005.0</c:v>
                </c:pt>
                <c:pt idx="2">
                  <c:v>2006.0</c:v>
                </c:pt>
                <c:pt idx="3">
                  <c:v>2007.0</c:v>
                </c:pt>
                <c:pt idx="4">
                  <c:v>2008.0</c:v>
                </c:pt>
                <c:pt idx="5">
                  <c:v>2009.0</c:v>
                </c:pt>
                <c:pt idx="6">
                  <c:v>2010.0</c:v>
                </c:pt>
                <c:pt idx="7">
                  <c:v>2011.0</c:v>
                </c:pt>
                <c:pt idx="8">
                  <c:v>2012.0</c:v>
                </c:pt>
                <c:pt idx="9">
                  <c:v>2013.0</c:v>
                </c:pt>
              </c:numCache>
            </c:numRef>
          </c:cat>
          <c:val>
            <c:numRef>
              <c:f>'Sept 2015'!$N$63:$N$72</c:f>
              <c:numCache>
                <c:formatCode>General</c:formatCode>
                <c:ptCount val="10"/>
                <c:pt idx="0">
                  <c:v>0.207386</c:v>
                </c:pt>
                <c:pt idx="1">
                  <c:v>0.9520877</c:v>
                </c:pt>
                <c:pt idx="2">
                  <c:v>0.2318421</c:v>
                </c:pt>
                <c:pt idx="3">
                  <c:v>0.7638596</c:v>
                </c:pt>
                <c:pt idx="4">
                  <c:v>0.4411404</c:v>
                </c:pt>
                <c:pt idx="5">
                  <c:v>0.4618772</c:v>
                </c:pt>
                <c:pt idx="6">
                  <c:v>0.4924386</c:v>
                </c:pt>
                <c:pt idx="7">
                  <c:v>0.4108246</c:v>
                </c:pt>
                <c:pt idx="8">
                  <c:v>0.8414912</c:v>
                </c:pt>
                <c:pt idx="9">
                  <c:v>1.175649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9444520"/>
        <c:axId val="-2119441544"/>
      </c:lineChart>
      <c:catAx>
        <c:axId val="-2119444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441544"/>
        <c:crosses val="autoZero"/>
        <c:auto val="1"/>
        <c:lblAlgn val="ctr"/>
        <c:lblOffset val="100"/>
        <c:noMultiLvlLbl val="0"/>
      </c:catAx>
      <c:valAx>
        <c:axId val="-2119441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Deforestation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19444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391221930592"/>
          <c:y val="0.0805431612715077"/>
          <c:w val="0.293842045785943"/>
          <c:h val="0.090753135024788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2016-06-02T19:16:00Z</dcterms:created>
  <dcterms:modified xsi:type="dcterms:W3CDTF">2016-06-15T17:52:00Z</dcterms:modified>
</cp:coreProperties>
</file>