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342F" w14:textId="77777777" w:rsidR="00411BB9" w:rsidRPr="00B45565" w:rsidRDefault="003B3739" w:rsidP="00B45565">
      <w:pPr>
        <w:pStyle w:val="Heading1"/>
      </w:pPr>
      <w:r w:rsidRPr="00B45565">
        <w:t>SUPPLEMENTARY INFORMATION</w:t>
      </w:r>
    </w:p>
    <w:p w14:paraId="29565951" w14:textId="6DCF9DAD" w:rsidR="00B45565" w:rsidRDefault="00B45565" w:rsidP="00B45565">
      <w:pPr>
        <w:pBdr>
          <w:top w:val="nil"/>
          <w:left w:val="nil"/>
          <w:bottom w:val="nil"/>
          <w:right w:val="nil"/>
          <w:between w:val="nil"/>
        </w:pBdr>
        <w:spacing w:after="0" w:line="240" w:lineRule="auto"/>
        <w:rPr>
          <w:b/>
          <w:color w:val="000000"/>
        </w:rPr>
      </w:pPr>
      <w:r>
        <w:rPr>
          <w:b/>
          <w:color w:val="000000"/>
        </w:rPr>
        <w:t xml:space="preserve">For: “A model predicting healthcare capacity gaps for Alzheimer’s disease modifying treatment in Canada.” </w:t>
      </w:r>
    </w:p>
    <w:p w14:paraId="55705560" w14:textId="3955BD92" w:rsidR="00B45565" w:rsidRDefault="00B45565" w:rsidP="00B45565">
      <w:pPr>
        <w:pBdr>
          <w:top w:val="nil"/>
          <w:left w:val="nil"/>
          <w:bottom w:val="nil"/>
          <w:right w:val="nil"/>
          <w:between w:val="nil"/>
        </w:pBdr>
        <w:spacing w:after="0" w:line="240" w:lineRule="auto"/>
        <w:rPr>
          <w:b/>
          <w:color w:val="000000"/>
        </w:rPr>
      </w:pPr>
      <w:r>
        <w:rPr>
          <w:b/>
          <w:color w:val="000000"/>
        </w:rPr>
        <w:t xml:space="preserve"> </w:t>
      </w:r>
    </w:p>
    <w:p w14:paraId="19213432" w14:textId="3496645F" w:rsidR="00411BB9" w:rsidRPr="00662860" w:rsidRDefault="003B3739" w:rsidP="00662860">
      <w:pPr>
        <w:pStyle w:val="NoSpacing"/>
        <w:rPr>
          <w:b/>
          <w:bCs/>
        </w:rPr>
      </w:pPr>
      <w:r w:rsidRPr="00662860">
        <w:rPr>
          <w:b/>
          <w:bCs/>
        </w:rPr>
        <w:t>Table S1. Model variables/assumptions for health care capacity demand</w:t>
      </w:r>
    </w:p>
    <w:tbl>
      <w:tblPr>
        <w:tblStyle w:val="a"/>
        <w:tblW w:w="916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00" w:firstRow="0" w:lastRow="0" w:firstColumn="0" w:lastColumn="0" w:noHBand="0" w:noVBand="1"/>
      </w:tblPr>
      <w:tblGrid>
        <w:gridCol w:w="2647"/>
        <w:gridCol w:w="2693"/>
        <w:gridCol w:w="1843"/>
        <w:gridCol w:w="1984"/>
      </w:tblGrid>
      <w:tr w:rsidR="00DE039C" w14:paraId="19213438" w14:textId="77777777" w:rsidTr="006F5861">
        <w:trPr>
          <w:trHeight w:val="261"/>
        </w:trPr>
        <w:tc>
          <w:tcPr>
            <w:tcW w:w="2647" w:type="dxa"/>
            <w:shd w:val="clear" w:color="auto" w:fill="BFBFBF" w:themeFill="background1" w:themeFillShade="BF"/>
          </w:tcPr>
          <w:p w14:paraId="19213433"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Canadian Population</w:t>
            </w:r>
          </w:p>
        </w:tc>
        <w:tc>
          <w:tcPr>
            <w:tcW w:w="2693" w:type="dxa"/>
            <w:shd w:val="clear" w:color="auto" w:fill="BFBFBF" w:themeFill="background1" w:themeFillShade="BF"/>
          </w:tcPr>
          <w:p w14:paraId="19213434" w14:textId="77777777" w:rsidR="00DE039C" w:rsidRDefault="00DE039C" w:rsidP="00DE039C">
            <w:pPr>
              <w:tabs>
                <w:tab w:val="left" w:pos="384"/>
              </w:tabs>
              <w:rPr>
                <w:b/>
                <w:color w:val="000000"/>
              </w:rPr>
            </w:pPr>
          </w:p>
        </w:tc>
        <w:tc>
          <w:tcPr>
            <w:tcW w:w="1843" w:type="dxa"/>
            <w:shd w:val="clear" w:color="auto" w:fill="BFBFBF" w:themeFill="background1" w:themeFillShade="BF"/>
          </w:tcPr>
          <w:p w14:paraId="19213435" w14:textId="77777777" w:rsidR="00DE039C" w:rsidRDefault="00DE039C" w:rsidP="00DE039C">
            <w:pPr>
              <w:tabs>
                <w:tab w:val="left" w:pos="384"/>
              </w:tabs>
              <w:rPr>
                <w:b/>
                <w:color w:val="000000"/>
              </w:rPr>
            </w:pPr>
          </w:p>
        </w:tc>
        <w:tc>
          <w:tcPr>
            <w:tcW w:w="1984" w:type="dxa"/>
            <w:shd w:val="clear" w:color="auto" w:fill="BFBFBF" w:themeFill="background1" w:themeFillShade="BF"/>
          </w:tcPr>
          <w:p w14:paraId="19213436" w14:textId="77777777" w:rsidR="00DE039C" w:rsidRDefault="00DE039C" w:rsidP="00DE039C">
            <w:pPr>
              <w:tabs>
                <w:tab w:val="left" w:pos="384"/>
              </w:tabs>
              <w:rPr>
                <w:b/>
                <w:color w:val="000000"/>
              </w:rPr>
            </w:pPr>
          </w:p>
        </w:tc>
      </w:tr>
      <w:tr w:rsidR="00DE039C" w14:paraId="1921343E" w14:textId="77777777" w:rsidTr="006F5861">
        <w:trPr>
          <w:trHeight w:val="139"/>
        </w:trPr>
        <w:tc>
          <w:tcPr>
            <w:tcW w:w="2647" w:type="dxa"/>
          </w:tcPr>
          <w:p w14:paraId="19213439" w14:textId="0F3532E8"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Population</w:t>
            </w:r>
            <w:r w:rsidR="004F7CDB">
              <w:rPr>
                <w:rFonts w:asciiTheme="majorHAnsi" w:hAnsiTheme="majorHAnsi" w:cstheme="majorHAnsi"/>
                <w:b/>
                <w:color w:val="000000"/>
                <w:sz w:val="18"/>
                <w:szCs w:val="18"/>
              </w:rPr>
              <w:t xml:space="preserve"> (by province, 50 years and older)</w:t>
            </w:r>
          </w:p>
        </w:tc>
        <w:tc>
          <w:tcPr>
            <w:tcW w:w="2693" w:type="dxa"/>
          </w:tcPr>
          <w:p w14:paraId="4B835CF4" w14:textId="79525388" w:rsidR="004F7CDB" w:rsidRPr="004F7CDB" w:rsidRDefault="004F7CDB" w:rsidP="004F7CDB">
            <w:pPr>
              <w:tabs>
                <w:tab w:val="left" w:pos="384"/>
              </w:tabs>
              <w:rPr>
                <w:rFonts w:asciiTheme="majorHAnsi" w:hAnsiTheme="majorHAnsi" w:cstheme="majorHAnsi"/>
                <w:bCs/>
                <w:color w:val="000000"/>
                <w:sz w:val="18"/>
                <w:szCs w:val="18"/>
              </w:rPr>
            </w:pPr>
            <w:r w:rsidRPr="004F7CDB">
              <w:rPr>
                <w:rFonts w:asciiTheme="majorHAnsi" w:hAnsiTheme="majorHAnsi" w:cstheme="majorHAnsi"/>
                <w:bCs/>
                <w:color w:val="000000"/>
                <w:sz w:val="18"/>
                <w:szCs w:val="18"/>
              </w:rPr>
              <w:t>Newfoundland</w:t>
            </w:r>
            <w:r>
              <w:rPr>
                <w:rFonts w:asciiTheme="majorHAnsi" w:hAnsiTheme="majorHAnsi" w:cstheme="majorHAnsi"/>
                <w:bCs/>
                <w:color w:val="000000"/>
                <w:sz w:val="18"/>
                <w:szCs w:val="18"/>
              </w:rPr>
              <w:t xml:space="preserve"> (NL)</w:t>
            </w:r>
          </w:p>
          <w:p w14:paraId="0991D07D" w14:textId="77F7FD84" w:rsidR="004F7CDB" w:rsidRPr="004F7CDB" w:rsidRDefault="004F7CDB" w:rsidP="004F7CDB">
            <w:pPr>
              <w:tabs>
                <w:tab w:val="left" w:pos="384"/>
              </w:tabs>
              <w:rPr>
                <w:rFonts w:asciiTheme="majorHAnsi" w:hAnsiTheme="majorHAnsi" w:cstheme="majorHAnsi"/>
                <w:bCs/>
                <w:color w:val="000000"/>
                <w:sz w:val="18"/>
                <w:szCs w:val="18"/>
              </w:rPr>
            </w:pPr>
            <w:r w:rsidRPr="004F7CDB">
              <w:rPr>
                <w:rFonts w:asciiTheme="majorHAnsi" w:hAnsiTheme="majorHAnsi" w:cstheme="majorHAnsi"/>
                <w:bCs/>
                <w:color w:val="000000"/>
                <w:sz w:val="18"/>
                <w:szCs w:val="18"/>
              </w:rPr>
              <w:t>P</w:t>
            </w:r>
            <w:r>
              <w:rPr>
                <w:rFonts w:asciiTheme="majorHAnsi" w:hAnsiTheme="majorHAnsi" w:cstheme="majorHAnsi"/>
                <w:bCs/>
                <w:color w:val="000000"/>
                <w:sz w:val="18"/>
                <w:szCs w:val="18"/>
              </w:rPr>
              <w:t>rince Edward Island (PEI)</w:t>
            </w:r>
          </w:p>
          <w:p w14:paraId="39F808B4" w14:textId="62D85EDB" w:rsidR="004F7CDB" w:rsidRPr="004F7CDB" w:rsidRDefault="004F7CDB" w:rsidP="004F7CDB">
            <w:pPr>
              <w:tabs>
                <w:tab w:val="left" w:pos="384"/>
              </w:tabs>
              <w:rPr>
                <w:rFonts w:asciiTheme="majorHAnsi" w:hAnsiTheme="majorHAnsi" w:cstheme="majorHAnsi"/>
                <w:bCs/>
                <w:color w:val="000000"/>
                <w:sz w:val="18"/>
                <w:szCs w:val="18"/>
              </w:rPr>
            </w:pPr>
            <w:r w:rsidRPr="004F7CDB">
              <w:rPr>
                <w:rFonts w:asciiTheme="majorHAnsi" w:hAnsiTheme="majorHAnsi" w:cstheme="majorHAnsi"/>
                <w:bCs/>
                <w:color w:val="000000"/>
                <w:sz w:val="18"/>
                <w:szCs w:val="18"/>
              </w:rPr>
              <w:t>Nova Scotia</w:t>
            </w:r>
            <w:r>
              <w:rPr>
                <w:rFonts w:asciiTheme="majorHAnsi" w:hAnsiTheme="majorHAnsi" w:cstheme="majorHAnsi"/>
                <w:bCs/>
                <w:color w:val="000000"/>
                <w:sz w:val="18"/>
                <w:szCs w:val="18"/>
              </w:rPr>
              <w:t xml:space="preserve"> (NS)</w:t>
            </w:r>
          </w:p>
          <w:p w14:paraId="7B72AB31" w14:textId="74B7830C" w:rsidR="004F7CDB" w:rsidRPr="004F7CDB" w:rsidRDefault="004F7CDB" w:rsidP="004F7CDB">
            <w:pPr>
              <w:tabs>
                <w:tab w:val="left" w:pos="384"/>
              </w:tabs>
              <w:rPr>
                <w:rFonts w:asciiTheme="majorHAnsi" w:hAnsiTheme="majorHAnsi" w:cstheme="majorHAnsi"/>
                <w:bCs/>
                <w:color w:val="000000"/>
                <w:sz w:val="18"/>
                <w:szCs w:val="18"/>
              </w:rPr>
            </w:pPr>
            <w:r w:rsidRPr="004F7CDB">
              <w:rPr>
                <w:rFonts w:asciiTheme="majorHAnsi" w:hAnsiTheme="majorHAnsi" w:cstheme="majorHAnsi"/>
                <w:bCs/>
                <w:color w:val="000000"/>
                <w:sz w:val="18"/>
                <w:szCs w:val="18"/>
              </w:rPr>
              <w:t>New Brunswick</w:t>
            </w:r>
            <w:r>
              <w:rPr>
                <w:rFonts w:asciiTheme="majorHAnsi" w:hAnsiTheme="majorHAnsi" w:cstheme="majorHAnsi"/>
                <w:bCs/>
                <w:color w:val="000000"/>
                <w:sz w:val="18"/>
                <w:szCs w:val="18"/>
              </w:rPr>
              <w:t xml:space="preserve"> (NB)</w:t>
            </w:r>
          </w:p>
          <w:p w14:paraId="791E73C7" w14:textId="6AA17EBA" w:rsidR="004F7CDB" w:rsidRPr="004F7CDB" w:rsidRDefault="004F7CDB" w:rsidP="004F7CDB">
            <w:pPr>
              <w:tabs>
                <w:tab w:val="left" w:pos="384"/>
              </w:tabs>
              <w:rPr>
                <w:rFonts w:asciiTheme="majorHAnsi" w:hAnsiTheme="majorHAnsi" w:cstheme="majorHAnsi"/>
                <w:bCs/>
                <w:color w:val="000000"/>
                <w:sz w:val="18"/>
                <w:szCs w:val="18"/>
              </w:rPr>
            </w:pPr>
            <w:r w:rsidRPr="004F7CDB">
              <w:rPr>
                <w:rFonts w:asciiTheme="majorHAnsi" w:hAnsiTheme="majorHAnsi" w:cstheme="majorHAnsi"/>
                <w:bCs/>
                <w:color w:val="000000"/>
                <w:sz w:val="18"/>
                <w:szCs w:val="18"/>
              </w:rPr>
              <w:t>Quebec</w:t>
            </w:r>
            <w:r>
              <w:rPr>
                <w:rFonts w:asciiTheme="majorHAnsi" w:hAnsiTheme="majorHAnsi" w:cstheme="majorHAnsi"/>
                <w:bCs/>
                <w:color w:val="000000"/>
                <w:sz w:val="18"/>
                <w:szCs w:val="18"/>
              </w:rPr>
              <w:t xml:space="preserve"> (QC)</w:t>
            </w:r>
          </w:p>
          <w:p w14:paraId="204C9899" w14:textId="2287220C" w:rsidR="004F7CDB" w:rsidRPr="004F7CDB" w:rsidRDefault="004F7CDB" w:rsidP="004F7CDB">
            <w:pPr>
              <w:tabs>
                <w:tab w:val="left" w:pos="384"/>
              </w:tabs>
              <w:rPr>
                <w:rFonts w:asciiTheme="majorHAnsi" w:hAnsiTheme="majorHAnsi" w:cstheme="majorHAnsi"/>
                <w:bCs/>
                <w:color w:val="000000"/>
                <w:sz w:val="18"/>
                <w:szCs w:val="18"/>
              </w:rPr>
            </w:pPr>
            <w:r w:rsidRPr="004F7CDB">
              <w:rPr>
                <w:rFonts w:asciiTheme="majorHAnsi" w:hAnsiTheme="majorHAnsi" w:cstheme="majorHAnsi"/>
                <w:bCs/>
                <w:color w:val="000000"/>
                <w:sz w:val="18"/>
                <w:szCs w:val="18"/>
              </w:rPr>
              <w:t>Ontario</w:t>
            </w:r>
            <w:r>
              <w:rPr>
                <w:rFonts w:asciiTheme="majorHAnsi" w:hAnsiTheme="majorHAnsi" w:cstheme="majorHAnsi"/>
                <w:bCs/>
                <w:color w:val="000000"/>
                <w:sz w:val="18"/>
                <w:szCs w:val="18"/>
              </w:rPr>
              <w:t xml:space="preserve"> (ON)</w:t>
            </w:r>
          </w:p>
          <w:p w14:paraId="3586F070" w14:textId="70052DB2" w:rsidR="004F7CDB" w:rsidRPr="004F7CDB" w:rsidRDefault="004F7CDB" w:rsidP="004F7CDB">
            <w:pPr>
              <w:tabs>
                <w:tab w:val="left" w:pos="384"/>
              </w:tabs>
              <w:rPr>
                <w:rFonts w:asciiTheme="majorHAnsi" w:hAnsiTheme="majorHAnsi" w:cstheme="majorHAnsi"/>
                <w:bCs/>
                <w:color w:val="000000"/>
                <w:sz w:val="18"/>
                <w:szCs w:val="18"/>
              </w:rPr>
            </w:pPr>
            <w:r w:rsidRPr="004F7CDB">
              <w:rPr>
                <w:rFonts w:asciiTheme="majorHAnsi" w:hAnsiTheme="majorHAnsi" w:cstheme="majorHAnsi"/>
                <w:bCs/>
                <w:color w:val="000000"/>
                <w:sz w:val="18"/>
                <w:szCs w:val="18"/>
              </w:rPr>
              <w:t>Manitoba</w:t>
            </w:r>
            <w:r>
              <w:rPr>
                <w:rFonts w:asciiTheme="majorHAnsi" w:hAnsiTheme="majorHAnsi" w:cstheme="majorHAnsi"/>
                <w:bCs/>
                <w:color w:val="000000"/>
                <w:sz w:val="18"/>
                <w:szCs w:val="18"/>
              </w:rPr>
              <w:t xml:space="preserve"> (MB)</w:t>
            </w:r>
          </w:p>
          <w:p w14:paraId="14C2BDC6" w14:textId="11843D17" w:rsidR="004F7CDB" w:rsidRPr="004F7CDB" w:rsidRDefault="004F7CDB" w:rsidP="004F7CDB">
            <w:pPr>
              <w:tabs>
                <w:tab w:val="left" w:pos="384"/>
              </w:tabs>
              <w:rPr>
                <w:rFonts w:asciiTheme="majorHAnsi" w:hAnsiTheme="majorHAnsi" w:cstheme="majorHAnsi"/>
                <w:bCs/>
                <w:color w:val="000000"/>
                <w:sz w:val="18"/>
                <w:szCs w:val="18"/>
              </w:rPr>
            </w:pPr>
            <w:r w:rsidRPr="004F7CDB">
              <w:rPr>
                <w:rFonts w:asciiTheme="majorHAnsi" w:hAnsiTheme="majorHAnsi" w:cstheme="majorHAnsi"/>
                <w:bCs/>
                <w:color w:val="000000"/>
                <w:sz w:val="18"/>
                <w:szCs w:val="18"/>
              </w:rPr>
              <w:t>Saskatchewan</w:t>
            </w:r>
            <w:r>
              <w:rPr>
                <w:rFonts w:asciiTheme="majorHAnsi" w:hAnsiTheme="majorHAnsi" w:cstheme="majorHAnsi"/>
                <w:bCs/>
                <w:color w:val="000000"/>
                <w:sz w:val="18"/>
                <w:szCs w:val="18"/>
              </w:rPr>
              <w:t xml:space="preserve"> (SK)</w:t>
            </w:r>
          </w:p>
          <w:p w14:paraId="0DF71A8B" w14:textId="3C2BF4E8" w:rsidR="004F7CDB" w:rsidRPr="004F7CDB" w:rsidRDefault="004F7CDB" w:rsidP="004F7CDB">
            <w:pPr>
              <w:tabs>
                <w:tab w:val="left" w:pos="384"/>
              </w:tabs>
              <w:rPr>
                <w:rFonts w:asciiTheme="majorHAnsi" w:hAnsiTheme="majorHAnsi" w:cstheme="majorHAnsi"/>
                <w:bCs/>
                <w:color w:val="000000"/>
                <w:sz w:val="18"/>
                <w:szCs w:val="18"/>
              </w:rPr>
            </w:pPr>
            <w:r w:rsidRPr="004F7CDB">
              <w:rPr>
                <w:rFonts w:asciiTheme="majorHAnsi" w:hAnsiTheme="majorHAnsi" w:cstheme="majorHAnsi"/>
                <w:bCs/>
                <w:color w:val="000000"/>
                <w:sz w:val="18"/>
                <w:szCs w:val="18"/>
              </w:rPr>
              <w:t>Alberta</w:t>
            </w:r>
            <w:r>
              <w:rPr>
                <w:rFonts w:asciiTheme="majorHAnsi" w:hAnsiTheme="majorHAnsi" w:cstheme="majorHAnsi"/>
                <w:bCs/>
                <w:color w:val="000000"/>
                <w:sz w:val="18"/>
                <w:szCs w:val="18"/>
              </w:rPr>
              <w:t xml:space="preserve"> (AB)</w:t>
            </w:r>
          </w:p>
          <w:p w14:paraId="1921343A" w14:textId="6B65548A" w:rsidR="00DE039C" w:rsidRPr="00DE039C" w:rsidRDefault="004F7CDB" w:rsidP="004F7CDB">
            <w:pPr>
              <w:tabs>
                <w:tab w:val="left" w:pos="384"/>
              </w:tabs>
              <w:rPr>
                <w:rFonts w:asciiTheme="majorHAnsi" w:hAnsiTheme="majorHAnsi" w:cstheme="majorHAnsi"/>
                <w:bCs/>
                <w:color w:val="000000"/>
                <w:sz w:val="18"/>
                <w:szCs w:val="18"/>
              </w:rPr>
            </w:pPr>
            <w:r w:rsidRPr="004F7CDB">
              <w:rPr>
                <w:rFonts w:asciiTheme="majorHAnsi" w:hAnsiTheme="majorHAnsi" w:cstheme="majorHAnsi"/>
                <w:bCs/>
                <w:color w:val="000000"/>
                <w:sz w:val="18"/>
                <w:szCs w:val="18"/>
              </w:rPr>
              <w:t>British Columbia</w:t>
            </w:r>
            <w:r>
              <w:rPr>
                <w:rFonts w:asciiTheme="majorHAnsi" w:hAnsiTheme="majorHAnsi" w:cstheme="majorHAnsi"/>
                <w:bCs/>
                <w:color w:val="000000"/>
                <w:sz w:val="18"/>
                <w:szCs w:val="18"/>
              </w:rPr>
              <w:t xml:space="preserve"> (BC)</w:t>
            </w:r>
          </w:p>
        </w:tc>
        <w:tc>
          <w:tcPr>
            <w:tcW w:w="1843" w:type="dxa"/>
          </w:tcPr>
          <w:p w14:paraId="3992EC59" w14:textId="77777777" w:rsidR="00C32015" w:rsidRPr="00C32015" w:rsidRDefault="00C32015" w:rsidP="00C32015">
            <w:pPr>
              <w:tabs>
                <w:tab w:val="left" w:pos="384"/>
              </w:tabs>
              <w:rPr>
                <w:rFonts w:asciiTheme="majorHAnsi" w:hAnsiTheme="majorHAnsi" w:cstheme="majorHAnsi"/>
                <w:bCs/>
                <w:color w:val="000000"/>
                <w:sz w:val="18"/>
                <w:szCs w:val="18"/>
              </w:rPr>
            </w:pPr>
            <w:r w:rsidRPr="00C32015">
              <w:rPr>
                <w:rFonts w:asciiTheme="majorHAnsi" w:hAnsiTheme="majorHAnsi" w:cstheme="majorHAnsi"/>
                <w:bCs/>
                <w:color w:val="000000"/>
                <w:sz w:val="18"/>
                <w:szCs w:val="18"/>
              </w:rPr>
              <w:t>243,745</w:t>
            </w:r>
          </w:p>
          <w:p w14:paraId="5481D338" w14:textId="77777777" w:rsidR="00C32015" w:rsidRPr="00C32015" w:rsidRDefault="00C32015" w:rsidP="00C32015">
            <w:pPr>
              <w:tabs>
                <w:tab w:val="left" w:pos="384"/>
              </w:tabs>
              <w:rPr>
                <w:rFonts w:asciiTheme="majorHAnsi" w:hAnsiTheme="majorHAnsi" w:cstheme="majorHAnsi"/>
                <w:bCs/>
                <w:color w:val="000000"/>
                <w:sz w:val="18"/>
                <w:szCs w:val="18"/>
              </w:rPr>
            </w:pPr>
            <w:r w:rsidRPr="00C32015">
              <w:rPr>
                <w:rFonts w:asciiTheme="majorHAnsi" w:hAnsiTheme="majorHAnsi" w:cstheme="majorHAnsi"/>
                <w:bCs/>
                <w:color w:val="000000"/>
                <w:sz w:val="18"/>
                <w:szCs w:val="18"/>
              </w:rPr>
              <w:t>66,627</w:t>
            </w:r>
          </w:p>
          <w:p w14:paraId="1390F0BA" w14:textId="77777777" w:rsidR="00C32015" w:rsidRPr="00C32015" w:rsidRDefault="00C32015" w:rsidP="00C32015">
            <w:pPr>
              <w:tabs>
                <w:tab w:val="left" w:pos="384"/>
              </w:tabs>
              <w:rPr>
                <w:rFonts w:asciiTheme="majorHAnsi" w:hAnsiTheme="majorHAnsi" w:cstheme="majorHAnsi"/>
                <w:bCs/>
                <w:color w:val="000000"/>
                <w:sz w:val="18"/>
                <w:szCs w:val="18"/>
              </w:rPr>
            </w:pPr>
            <w:r w:rsidRPr="00C32015">
              <w:rPr>
                <w:rFonts w:asciiTheme="majorHAnsi" w:hAnsiTheme="majorHAnsi" w:cstheme="majorHAnsi"/>
                <w:bCs/>
                <w:color w:val="000000"/>
                <w:sz w:val="18"/>
                <w:szCs w:val="18"/>
              </w:rPr>
              <w:t>432,700</w:t>
            </w:r>
          </w:p>
          <w:p w14:paraId="3A6FB9D5" w14:textId="77777777" w:rsidR="00C32015" w:rsidRPr="00C32015" w:rsidRDefault="00C32015" w:rsidP="00C32015">
            <w:pPr>
              <w:tabs>
                <w:tab w:val="left" w:pos="384"/>
              </w:tabs>
              <w:rPr>
                <w:rFonts w:asciiTheme="majorHAnsi" w:hAnsiTheme="majorHAnsi" w:cstheme="majorHAnsi"/>
                <w:bCs/>
                <w:color w:val="000000"/>
                <w:sz w:val="18"/>
                <w:szCs w:val="18"/>
              </w:rPr>
            </w:pPr>
            <w:r w:rsidRPr="00C32015">
              <w:rPr>
                <w:rFonts w:asciiTheme="majorHAnsi" w:hAnsiTheme="majorHAnsi" w:cstheme="majorHAnsi"/>
                <w:bCs/>
                <w:color w:val="000000"/>
                <w:sz w:val="18"/>
                <w:szCs w:val="18"/>
              </w:rPr>
              <w:t>353,741</w:t>
            </w:r>
          </w:p>
          <w:p w14:paraId="6B38E4F0" w14:textId="77777777" w:rsidR="00C32015" w:rsidRPr="00C32015" w:rsidRDefault="00C32015" w:rsidP="00C32015">
            <w:pPr>
              <w:tabs>
                <w:tab w:val="left" w:pos="384"/>
              </w:tabs>
              <w:rPr>
                <w:rFonts w:asciiTheme="majorHAnsi" w:hAnsiTheme="majorHAnsi" w:cstheme="majorHAnsi"/>
                <w:bCs/>
                <w:color w:val="000000"/>
                <w:sz w:val="18"/>
                <w:szCs w:val="18"/>
              </w:rPr>
            </w:pPr>
            <w:r w:rsidRPr="00C32015">
              <w:rPr>
                <w:rFonts w:asciiTheme="majorHAnsi" w:hAnsiTheme="majorHAnsi" w:cstheme="majorHAnsi"/>
                <w:bCs/>
                <w:color w:val="000000"/>
                <w:sz w:val="18"/>
                <w:szCs w:val="18"/>
              </w:rPr>
              <w:t>3,514,980</w:t>
            </w:r>
          </w:p>
          <w:p w14:paraId="00B3ACC0" w14:textId="77777777" w:rsidR="00C32015" w:rsidRPr="00C32015" w:rsidRDefault="00C32015" w:rsidP="00C32015">
            <w:pPr>
              <w:tabs>
                <w:tab w:val="left" w:pos="384"/>
              </w:tabs>
              <w:rPr>
                <w:rFonts w:asciiTheme="majorHAnsi" w:hAnsiTheme="majorHAnsi" w:cstheme="majorHAnsi"/>
                <w:bCs/>
                <w:color w:val="000000"/>
                <w:sz w:val="18"/>
                <w:szCs w:val="18"/>
              </w:rPr>
            </w:pPr>
            <w:r w:rsidRPr="00C32015">
              <w:rPr>
                <w:rFonts w:asciiTheme="majorHAnsi" w:hAnsiTheme="majorHAnsi" w:cstheme="majorHAnsi"/>
                <w:bCs/>
                <w:color w:val="000000"/>
                <w:sz w:val="18"/>
                <w:szCs w:val="18"/>
              </w:rPr>
              <w:t>5,653,744</w:t>
            </w:r>
          </w:p>
          <w:p w14:paraId="07F6E20C" w14:textId="77777777" w:rsidR="00C32015" w:rsidRPr="00C32015" w:rsidRDefault="00C32015" w:rsidP="00C32015">
            <w:pPr>
              <w:tabs>
                <w:tab w:val="left" w:pos="384"/>
              </w:tabs>
              <w:rPr>
                <w:rFonts w:asciiTheme="majorHAnsi" w:hAnsiTheme="majorHAnsi" w:cstheme="majorHAnsi"/>
                <w:bCs/>
                <w:color w:val="000000"/>
                <w:sz w:val="18"/>
                <w:szCs w:val="18"/>
              </w:rPr>
            </w:pPr>
            <w:r w:rsidRPr="00C32015">
              <w:rPr>
                <w:rFonts w:asciiTheme="majorHAnsi" w:hAnsiTheme="majorHAnsi" w:cstheme="majorHAnsi"/>
                <w:bCs/>
                <w:color w:val="000000"/>
                <w:sz w:val="18"/>
                <w:szCs w:val="18"/>
              </w:rPr>
              <w:t>476,676</w:t>
            </w:r>
          </w:p>
          <w:p w14:paraId="254AA4DA" w14:textId="77777777" w:rsidR="00C32015" w:rsidRPr="00C32015" w:rsidRDefault="00C32015" w:rsidP="00C32015">
            <w:pPr>
              <w:tabs>
                <w:tab w:val="left" w:pos="384"/>
              </w:tabs>
              <w:rPr>
                <w:rFonts w:asciiTheme="majorHAnsi" w:hAnsiTheme="majorHAnsi" w:cstheme="majorHAnsi"/>
                <w:bCs/>
                <w:color w:val="000000"/>
                <w:sz w:val="18"/>
                <w:szCs w:val="18"/>
              </w:rPr>
            </w:pPr>
            <w:r w:rsidRPr="00C32015">
              <w:rPr>
                <w:rFonts w:asciiTheme="majorHAnsi" w:hAnsiTheme="majorHAnsi" w:cstheme="majorHAnsi"/>
                <w:bCs/>
                <w:color w:val="000000"/>
                <w:sz w:val="18"/>
                <w:szCs w:val="18"/>
              </w:rPr>
              <w:t>408,241</w:t>
            </w:r>
          </w:p>
          <w:p w14:paraId="3BA310E8" w14:textId="77777777" w:rsidR="00C32015" w:rsidRPr="00C32015" w:rsidRDefault="00C32015" w:rsidP="00C32015">
            <w:pPr>
              <w:tabs>
                <w:tab w:val="left" w:pos="384"/>
              </w:tabs>
              <w:rPr>
                <w:rFonts w:asciiTheme="majorHAnsi" w:hAnsiTheme="majorHAnsi" w:cstheme="majorHAnsi"/>
                <w:bCs/>
                <w:color w:val="000000"/>
                <w:sz w:val="18"/>
                <w:szCs w:val="18"/>
              </w:rPr>
            </w:pPr>
            <w:r w:rsidRPr="00C32015">
              <w:rPr>
                <w:rFonts w:asciiTheme="majorHAnsi" w:hAnsiTheme="majorHAnsi" w:cstheme="majorHAnsi"/>
                <w:bCs/>
                <w:color w:val="000000"/>
                <w:sz w:val="18"/>
                <w:szCs w:val="18"/>
              </w:rPr>
              <w:t>1,447,376</w:t>
            </w:r>
          </w:p>
          <w:p w14:paraId="1921343B" w14:textId="79CC5DF8" w:rsidR="00DE039C" w:rsidRPr="00DE039C" w:rsidRDefault="00C32015" w:rsidP="00C32015">
            <w:pPr>
              <w:tabs>
                <w:tab w:val="left" w:pos="384"/>
              </w:tabs>
              <w:rPr>
                <w:rFonts w:asciiTheme="majorHAnsi" w:hAnsiTheme="majorHAnsi" w:cstheme="majorHAnsi"/>
                <w:bCs/>
                <w:color w:val="000000"/>
                <w:sz w:val="18"/>
                <w:szCs w:val="18"/>
              </w:rPr>
            </w:pPr>
            <w:r w:rsidRPr="00C32015">
              <w:rPr>
                <w:rFonts w:asciiTheme="majorHAnsi" w:hAnsiTheme="majorHAnsi" w:cstheme="majorHAnsi"/>
                <w:bCs/>
                <w:color w:val="000000"/>
                <w:sz w:val="18"/>
                <w:szCs w:val="18"/>
              </w:rPr>
              <w:t>2,096,282</w:t>
            </w:r>
          </w:p>
        </w:tc>
        <w:tc>
          <w:tcPr>
            <w:tcW w:w="1984" w:type="dxa"/>
          </w:tcPr>
          <w:p w14:paraId="1921343C" w14:textId="77777777" w:rsidR="00DE039C" w:rsidRPr="00DE039C" w:rsidRDefault="00AC5A79" w:rsidP="00DE039C">
            <w:pPr>
              <w:tabs>
                <w:tab w:val="left" w:pos="384"/>
              </w:tabs>
              <w:rPr>
                <w:rFonts w:asciiTheme="majorHAnsi" w:hAnsiTheme="majorHAnsi" w:cstheme="majorHAnsi"/>
                <w:bCs/>
                <w:color w:val="000000"/>
                <w:sz w:val="18"/>
                <w:szCs w:val="18"/>
              </w:rPr>
            </w:pPr>
            <w:hyperlink r:id="rId8" w:history="1">
              <w:r w:rsidR="00DE039C" w:rsidRPr="00DE039C">
                <w:rPr>
                  <w:rFonts w:asciiTheme="majorHAnsi" w:hAnsiTheme="majorHAnsi" w:cstheme="majorHAnsi"/>
                  <w:bCs/>
                  <w:color w:val="000000"/>
                  <w:sz w:val="18"/>
                  <w:szCs w:val="18"/>
                </w:rPr>
                <w:t>Statistics Canada</w:t>
              </w:r>
            </w:hyperlink>
          </w:p>
        </w:tc>
      </w:tr>
      <w:tr w:rsidR="00DE039C" w14:paraId="1921344A" w14:textId="77777777" w:rsidTr="006542FE">
        <w:tc>
          <w:tcPr>
            <w:tcW w:w="2647" w:type="dxa"/>
            <w:shd w:val="clear" w:color="auto" w:fill="BFBFBF" w:themeFill="background1" w:themeFillShade="BF"/>
          </w:tcPr>
          <w:p w14:paraId="19213445"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Existing patient demand</w:t>
            </w:r>
          </w:p>
        </w:tc>
        <w:tc>
          <w:tcPr>
            <w:tcW w:w="2693" w:type="dxa"/>
            <w:shd w:val="clear" w:color="auto" w:fill="BFBFBF" w:themeFill="background1" w:themeFillShade="BF"/>
          </w:tcPr>
          <w:p w14:paraId="19213446" w14:textId="77777777" w:rsidR="00DE039C" w:rsidRPr="00DE039C" w:rsidRDefault="00DE039C" w:rsidP="00DE039C">
            <w:pPr>
              <w:tabs>
                <w:tab w:val="left" w:pos="384"/>
              </w:tabs>
              <w:rPr>
                <w:rFonts w:asciiTheme="majorHAnsi" w:hAnsiTheme="majorHAnsi" w:cstheme="majorHAnsi"/>
                <w:bCs/>
                <w:color w:val="000000"/>
                <w:sz w:val="18"/>
                <w:szCs w:val="18"/>
              </w:rPr>
            </w:pPr>
          </w:p>
        </w:tc>
        <w:tc>
          <w:tcPr>
            <w:tcW w:w="1843" w:type="dxa"/>
            <w:shd w:val="clear" w:color="auto" w:fill="BFBFBF" w:themeFill="background1" w:themeFillShade="BF"/>
          </w:tcPr>
          <w:p w14:paraId="19213447" w14:textId="77777777" w:rsidR="00DE039C" w:rsidRPr="00DE039C" w:rsidRDefault="00DE039C" w:rsidP="00DE039C">
            <w:pPr>
              <w:tabs>
                <w:tab w:val="left" w:pos="384"/>
              </w:tabs>
              <w:rPr>
                <w:rFonts w:asciiTheme="majorHAnsi" w:hAnsiTheme="majorHAnsi" w:cstheme="majorHAnsi"/>
                <w:bCs/>
                <w:color w:val="000000"/>
                <w:sz w:val="18"/>
                <w:szCs w:val="18"/>
              </w:rPr>
            </w:pPr>
          </w:p>
        </w:tc>
        <w:tc>
          <w:tcPr>
            <w:tcW w:w="1984" w:type="dxa"/>
            <w:shd w:val="clear" w:color="auto" w:fill="BFBFBF" w:themeFill="background1" w:themeFillShade="BF"/>
          </w:tcPr>
          <w:p w14:paraId="19213448" w14:textId="77777777" w:rsidR="00DE039C" w:rsidRPr="00DE039C" w:rsidRDefault="00DE039C" w:rsidP="00DE039C">
            <w:pPr>
              <w:tabs>
                <w:tab w:val="left" w:pos="384"/>
              </w:tabs>
              <w:rPr>
                <w:rFonts w:asciiTheme="majorHAnsi" w:hAnsiTheme="majorHAnsi" w:cstheme="majorHAnsi"/>
                <w:bCs/>
                <w:color w:val="000000"/>
                <w:sz w:val="18"/>
                <w:szCs w:val="18"/>
              </w:rPr>
            </w:pPr>
          </w:p>
        </w:tc>
      </w:tr>
      <w:tr w:rsidR="00DE039C" w14:paraId="19213450" w14:textId="77777777" w:rsidTr="006F5861">
        <w:trPr>
          <w:trHeight w:val="380"/>
        </w:trPr>
        <w:tc>
          <w:tcPr>
            <w:tcW w:w="2647" w:type="dxa"/>
            <w:vMerge w:val="restart"/>
          </w:tcPr>
          <w:p w14:paraId="1921344B"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AD disease prevalence rate</w:t>
            </w:r>
          </w:p>
        </w:tc>
        <w:tc>
          <w:tcPr>
            <w:tcW w:w="2693" w:type="dxa"/>
          </w:tcPr>
          <w:p w14:paraId="1921344C"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AD dementia</w:t>
            </w:r>
          </w:p>
        </w:tc>
        <w:tc>
          <w:tcPr>
            <w:tcW w:w="1843" w:type="dxa"/>
          </w:tcPr>
          <w:p w14:paraId="1921344D"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3.1-32.2% (varies with age)</w:t>
            </w:r>
          </w:p>
        </w:tc>
        <w:tc>
          <w:tcPr>
            <w:tcW w:w="1984" w:type="dxa"/>
          </w:tcPr>
          <w:p w14:paraId="1921344E" w14:textId="77777777" w:rsidR="00DE039C" w:rsidRPr="00DE039C" w:rsidRDefault="00AC5A79" w:rsidP="00DE039C">
            <w:pPr>
              <w:tabs>
                <w:tab w:val="left" w:pos="384"/>
              </w:tabs>
              <w:rPr>
                <w:rFonts w:asciiTheme="majorHAnsi" w:hAnsiTheme="majorHAnsi" w:cstheme="majorHAnsi"/>
                <w:bCs/>
                <w:color w:val="000000"/>
                <w:sz w:val="18"/>
                <w:szCs w:val="18"/>
              </w:rPr>
            </w:pPr>
            <w:hyperlink r:id="rId9" w:history="1">
              <w:r w:rsidR="00DE039C" w:rsidRPr="00DE039C">
                <w:rPr>
                  <w:rFonts w:asciiTheme="majorHAnsi" w:hAnsiTheme="majorHAnsi" w:cstheme="majorHAnsi"/>
                  <w:bCs/>
                  <w:color w:val="000000"/>
                  <w:sz w:val="18"/>
                  <w:szCs w:val="18"/>
                </w:rPr>
                <w:t>Herbert et al., 2013</w:t>
              </w:r>
            </w:hyperlink>
          </w:p>
        </w:tc>
      </w:tr>
      <w:tr w:rsidR="00DE039C" w14:paraId="19213456" w14:textId="77777777" w:rsidTr="006F5861">
        <w:trPr>
          <w:trHeight w:val="380"/>
        </w:trPr>
        <w:tc>
          <w:tcPr>
            <w:tcW w:w="2647" w:type="dxa"/>
            <w:vMerge/>
          </w:tcPr>
          <w:p w14:paraId="19213451" w14:textId="77777777" w:rsidR="00DE039C" w:rsidRPr="00DE039C" w:rsidRDefault="00DE039C" w:rsidP="00DE039C">
            <w:pPr>
              <w:tabs>
                <w:tab w:val="left" w:pos="384"/>
              </w:tabs>
              <w:rPr>
                <w:rFonts w:asciiTheme="majorHAnsi" w:hAnsiTheme="majorHAnsi" w:cstheme="majorHAnsi"/>
                <w:b/>
                <w:color w:val="000000"/>
                <w:sz w:val="18"/>
                <w:szCs w:val="18"/>
              </w:rPr>
            </w:pPr>
          </w:p>
        </w:tc>
        <w:tc>
          <w:tcPr>
            <w:tcW w:w="2693" w:type="dxa"/>
          </w:tcPr>
          <w:p w14:paraId="19213452"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MCI</w:t>
            </w:r>
          </w:p>
        </w:tc>
        <w:tc>
          <w:tcPr>
            <w:tcW w:w="1843" w:type="dxa"/>
          </w:tcPr>
          <w:p w14:paraId="19213453"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6.7-25.2%</w:t>
            </w:r>
          </w:p>
        </w:tc>
        <w:tc>
          <w:tcPr>
            <w:tcW w:w="1984" w:type="dxa"/>
          </w:tcPr>
          <w:p w14:paraId="19213454" w14:textId="77777777" w:rsidR="00DE039C" w:rsidRPr="00DE039C" w:rsidRDefault="00AC5A79" w:rsidP="00DE039C">
            <w:pPr>
              <w:tabs>
                <w:tab w:val="left" w:pos="384"/>
              </w:tabs>
              <w:rPr>
                <w:rFonts w:asciiTheme="majorHAnsi" w:hAnsiTheme="majorHAnsi" w:cstheme="majorHAnsi"/>
                <w:bCs/>
                <w:color w:val="000000"/>
                <w:sz w:val="18"/>
                <w:szCs w:val="18"/>
              </w:rPr>
            </w:pPr>
            <w:hyperlink r:id="rId10" w:history="1">
              <w:r w:rsidR="00DE039C" w:rsidRPr="00DE039C">
                <w:rPr>
                  <w:rFonts w:asciiTheme="majorHAnsi" w:hAnsiTheme="majorHAnsi" w:cstheme="majorHAnsi"/>
                  <w:bCs/>
                  <w:color w:val="000000"/>
                  <w:sz w:val="18"/>
                  <w:szCs w:val="18"/>
                </w:rPr>
                <w:t>Petersen et al., 2018</w:t>
              </w:r>
            </w:hyperlink>
          </w:p>
        </w:tc>
      </w:tr>
      <w:tr w:rsidR="00E948D4" w14:paraId="21442CBE" w14:textId="77777777" w:rsidTr="006F5861">
        <w:trPr>
          <w:trHeight w:val="380"/>
        </w:trPr>
        <w:tc>
          <w:tcPr>
            <w:tcW w:w="2647" w:type="dxa"/>
          </w:tcPr>
          <w:p w14:paraId="5B39F8F6" w14:textId="31C036A6" w:rsidR="00E948D4" w:rsidRPr="00DE039C" w:rsidRDefault="00E948D4" w:rsidP="00DE039C">
            <w:pPr>
              <w:tabs>
                <w:tab w:val="left" w:pos="384"/>
              </w:tabs>
              <w:rPr>
                <w:rFonts w:asciiTheme="majorHAnsi" w:hAnsiTheme="majorHAnsi" w:cstheme="majorHAnsi"/>
                <w:b/>
                <w:color w:val="000000"/>
                <w:sz w:val="18"/>
                <w:szCs w:val="18"/>
              </w:rPr>
            </w:pPr>
            <w:r>
              <w:rPr>
                <w:rFonts w:asciiTheme="majorHAnsi" w:hAnsiTheme="majorHAnsi" w:cstheme="majorHAnsi"/>
                <w:b/>
                <w:color w:val="000000"/>
                <w:sz w:val="18"/>
                <w:szCs w:val="18"/>
              </w:rPr>
              <w:t>Access to Primary care</w:t>
            </w:r>
          </w:p>
        </w:tc>
        <w:tc>
          <w:tcPr>
            <w:tcW w:w="2693" w:type="dxa"/>
          </w:tcPr>
          <w:p w14:paraId="5A10CAB6" w14:textId="77777777" w:rsidR="00E948D4" w:rsidRPr="00DE039C" w:rsidRDefault="00E948D4" w:rsidP="00DE039C">
            <w:pPr>
              <w:tabs>
                <w:tab w:val="left" w:pos="384"/>
              </w:tabs>
              <w:rPr>
                <w:rFonts w:asciiTheme="majorHAnsi" w:hAnsiTheme="majorHAnsi" w:cstheme="majorHAnsi"/>
                <w:bCs/>
                <w:color w:val="000000"/>
                <w:sz w:val="18"/>
                <w:szCs w:val="18"/>
              </w:rPr>
            </w:pPr>
          </w:p>
        </w:tc>
        <w:tc>
          <w:tcPr>
            <w:tcW w:w="1843" w:type="dxa"/>
          </w:tcPr>
          <w:p w14:paraId="513D8926" w14:textId="730B8FEF" w:rsidR="00E948D4" w:rsidRPr="00DE039C" w:rsidRDefault="00E948D4" w:rsidP="00DE039C">
            <w:pPr>
              <w:tabs>
                <w:tab w:val="left" w:pos="384"/>
              </w:tabs>
              <w:rPr>
                <w:rFonts w:asciiTheme="majorHAnsi" w:hAnsiTheme="majorHAnsi" w:cstheme="majorHAnsi"/>
                <w:bCs/>
                <w:color w:val="000000"/>
                <w:sz w:val="18"/>
                <w:szCs w:val="18"/>
              </w:rPr>
            </w:pPr>
            <w:r>
              <w:rPr>
                <w:rFonts w:asciiTheme="majorHAnsi" w:hAnsiTheme="majorHAnsi" w:cstheme="majorHAnsi"/>
                <w:bCs/>
                <w:color w:val="000000"/>
                <w:sz w:val="18"/>
                <w:szCs w:val="18"/>
              </w:rPr>
              <w:t>85.5%</w:t>
            </w:r>
          </w:p>
        </w:tc>
        <w:tc>
          <w:tcPr>
            <w:tcW w:w="1984" w:type="dxa"/>
          </w:tcPr>
          <w:p w14:paraId="40C35943" w14:textId="77777777" w:rsidR="00E948D4" w:rsidRDefault="00E948D4" w:rsidP="00DE039C">
            <w:pPr>
              <w:tabs>
                <w:tab w:val="left" w:pos="384"/>
              </w:tabs>
            </w:pPr>
          </w:p>
        </w:tc>
      </w:tr>
      <w:tr w:rsidR="00DE039C" w14:paraId="1921345C" w14:textId="77777777" w:rsidTr="006F5861">
        <w:trPr>
          <w:trHeight w:val="380"/>
        </w:trPr>
        <w:tc>
          <w:tcPr>
            <w:tcW w:w="2647" w:type="dxa"/>
            <w:vMerge w:val="restart"/>
          </w:tcPr>
          <w:p w14:paraId="19213457" w14:textId="77777777" w:rsidR="00DE039C" w:rsidRPr="00DE039C" w:rsidRDefault="00DE039C" w:rsidP="00DE039C">
            <w:pPr>
              <w:tabs>
                <w:tab w:val="left" w:pos="384"/>
              </w:tabs>
              <w:jc w:val="both"/>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Diagnostic rate</w:t>
            </w:r>
          </w:p>
        </w:tc>
        <w:tc>
          <w:tcPr>
            <w:tcW w:w="2693" w:type="dxa"/>
          </w:tcPr>
          <w:p w14:paraId="19213458"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AD</w:t>
            </w:r>
          </w:p>
        </w:tc>
        <w:tc>
          <w:tcPr>
            <w:tcW w:w="1843" w:type="dxa"/>
          </w:tcPr>
          <w:p w14:paraId="19213459"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60%</w:t>
            </w:r>
          </w:p>
        </w:tc>
        <w:tc>
          <w:tcPr>
            <w:tcW w:w="1984" w:type="dxa"/>
          </w:tcPr>
          <w:p w14:paraId="1921345A" w14:textId="550B3B80" w:rsidR="00DE039C" w:rsidRPr="00DE039C" w:rsidRDefault="00E0272B" w:rsidP="00DE039C">
            <w:pPr>
              <w:tabs>
                <w:tab w:val="left" w:pos="384"/>
              </w:tabs>
              <w:rPr>
                <w:rFonts w:asciiTheme="majorHAnsi" w:hAnsiTheme="majorHAnsi" w:cstheme="majorHAnsi"/>
                <w:bCs/>
                <w:color w:val="000000"/>
                <w:sz w:val="18"/>
                <w:szCs w:val="18"/>
              </w:rPr>
            </w:pPr>
            <w:r w:rsidRPr="00E0272B">
              <w:rPr>
                <w:rFonts w:asciiTheme="majorHAnsi" w:hAnsiTheme="majorHAnsi" w:cstheme="majorHAnsi"/>
                <w:bCs/>
                <w:color w:val="000000"/>
                <w:sz w:val="18"/>
                <w:szCs w:val="18"/>
              </w:rPr>
              <w:t xml:space="preserve">The </w:t>
            </w:r>
            <w:proofErr w:type="spellStart"/>
            <w:r w:rsidRPr="00E0272B">
              <w:rPr>
                <w:rFonts w:asciiTheme="majorHAnsi" w:hAnsiTheme="majorHAnsi" w:cstheme="majorHAnsi"/>
                <w:bCs/>
                <w:color w:val="000000"/>
                <w:sz w:val="18"/>
                <w:szCs w:val="18"/>
              </w:rPr>
              <w:t>Dieringer</w:t>
            </w:r>
            <w:proofErr w:type="spellEnd"/>
            <w:r w:rsidRPr="00E0272B">
              <w:rPr>
                <w:rFonts w:asciiTheme="majorHAnsi" w:hAnsiTheme="majorHAnsi" w:cstheme="majorHAnsi"/>
                <w:bCs/>
                <w:color w:val="000000"/>
                <w:sz w:val="18"/>
                <w:szCs w:val="18"/>
              </w:rPr>
              <w:t xml:space="preserve"> Research Group, Inc.</w:t>
            </w:r>
          </w:p>
        </w:tc>
      </w:tr>
      <w:tr w:rsidR="00DE039C" w14:paraId="19213462" w14:textId="77777777" w:rsidTr="006F5861">
        <w:trPr>
          <w:trHeight w:val="380"/>
        </w:trPr>
        <w:tc>
          <w:tcPr>
            <w:tcW w:w="2647" w:type="dxa"/>
            <w:vMerge/>
          </w:tcPr>
          <w:p w14:paraId="1921345D" w14:textId="77777777" w:rsidR="00DE039C" w:rsidRPr="00DE039C" w:rsidRDefault="00DE039C" w:rsidP="00DE039C">
            <w:pPr>
              <w:tabs>
                <w:tab w:val="left" w:pos="384"/>
              </w:tabs>
              <w:rPr>
                <w:rFonts w:asciiTheme="majorHAnsi" w:hAnsiTheme="majorHAnsi" w:cstheme="majorHAnsi"/>
                <w:b/>
                <w:color w:val="000000"/>
                <w:sz w:val="18"/>
                <w:szCs w:val="18"/>
              </w:rPr>
            </w:pPr>
          </w:p>
        </w:tc>
        <w:tc>
          <w:tcPr>
            <w:tcW w:w="2693" w:type="dxa"/>
          </w:tcPr>
          <w:p w14:paraId="1921345E"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MCI</w:t>
            </w:r>
          </w:p>
        </w:tc>
        <w:tc>
          <w:tcPr>
            <w:tcW w:w="1843" w:type="dxa"/>
          </w:tcPr>
          <w:p w14:paraId="1921345F"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20%</w:t>
            </w:r>
          </w:p>
        </w:tc>
        <w:tc>
          <w:tcPr>
            <w:tcW w:w="1984" w:type="dxa"/>
          </w:tcPr>
          <w:p w14:paraId="19213460" w14:textId="5AA6D344" w:rsidR="00DE039C" w:rsidRPr="00DE039C" w:rsidRDefault="00E0272B" w:rsidP="00DE039C">
            <w:pPr>
              <w:tabs>
                <w:tab w:val="left" w:pos="384"/>
              </w:tabs>
              <w:rPr>
                <w:rFonts w:asciiTheme="majorHAnsi" w:hAnsiTheme="majorHAnsi" w:cstheme="majorHAnsi"/>
                <w:bCs/>
                <w:color w:val="000000"/>
                <w:sz w:val="18"/>
                <w:szCs w:val="18"/>
              </w:rPr>
            </w:pPr>
            <w:r w:rsidRPr="00E0272B">
              <w:rPr>
                <w:rFonts w:asciiTheme="majorHAnsi" w:hAnsiTheme="majorHAnsi" w:cstheme="majorHAnsi"/>
                <w:bCs/>
                <w:color w:val="000000"/>
                <w:sz w:val="18"/>
                <w:szCs w:val="18"/>
              </w:rPr>
              <w:t xml:space="preserve">The </w:t>
            </w:r>
            <w:proofErr w:type="spellStart"/>
            <w:r w:rsidRPr="00E0272B">
              <w:rPr>
                <w:rFonts w:asciiTheme="majorHAnsi" w:hAnsiTheme="majorHAnsi" w:cstheme="majorHAnsi"/>
                <w:bCs/>
                <w:color w:val="000000"/>
                <w:sz w:val="18"/>
                <w:szCs w:val="18"/>
              </w:rPr>
              <w:t>Dieringer</w:t>
            </w:r>
            <w:proofErr w:type="spellEnd"/>
            <w:r w:rsidRPr="00E0272B">
              <w:rPr>
                <w:rFonts w:asciiTheme="majorHAnsi" w:hAnsiTheme="majorHAnsi" w:cstheme="majorHAnsi"/>
                <w:bCs/>
                <w:color w:val="000000"/>
                <w:sz w:val="18"/>
                <w:szCs w:val="18"/>
              </w:rPr>
              <w:t xml:space="preserve"> Research Group, Inc.</w:t>
            </w:r>
          </w:p>
        </w:tc>
      </w:tr>
      <w:tr w:rsidR="00DE039C" w14:paraId="19213468" w14:textId="77777777" w:rsidTr="006F5861">
        <w:tc>
          <w:tcPr>
            <w:tcW w:w="2647" w:type="dxa"/>
          </w:tcPr>
          <w:p w14:paraId="19213463"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 Mild AD</w:t>
            </w:r>
          </w:p>
        </w:tc>
        <w:tc>
          <w:tcPr>
            <w:tcW w:w="2693" w:type="dxa"/>
          </w:tcPr>
          <w:p w14:paraId="19213464" w14:textId="77777777" w:rsidR="00DE039C" w:rsidRPr="00DE039C" w:rsidRDefault="00DE039C" w:rsidP="00DE039C">
            <w:pPr>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Prevalence of patients with Mild AD (vs moderate and severe) over the AD Dx population</w:t>
            </w:r>
          </w:p>
        </w:tc>
        <w:tc>
          <w:tcPr>
            <w:tcW w:w="1843" w:type="dxa"/>
          </w:tcPr>
          <w:p w14:paraId="19213465"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48%</w:t>
            </w:r>
          </w:p>
        </w:tc>
        <w:tc>
          <w:tcPr>
            <w:tcW w:w="1984" w:type="dxa"/>
          </w:tcPr>
          <w:p w14:paraId="19213466" w14:textId="77777777" w:rsidR="00DE039C" w:rsidRPr="00DE039C" w:rsidRDefault="00AC5A79" w:rsidP="00DE039C">
            <w:pPr>
              <w:tabs>
                <w:tab w:val="left" w:pos="384"/>
              </w:tabs>
              <w:rPr>
                <w:rFonts w:asciiTheme="majorHAnsi" w:hAnsiTheme="majorHAnsi" w:cstheme="majorHAnsi"/>
                <w:bCs/>
                <w:color w:val="000000"/>
                <w:sz w:val="18"/>
                <w:szCs w:val="18"/>
              </w:rPr>
            </w:pPr>
            <w:hyperlink r:id="rId11" w:history="1">
              <w:r w:rsidR="00DE039C" w:rsidRPr="00DE039C">
                <w:rPr>
                  <w:rFonts w:asciiTheme="majorHAnsi" w:hAnsiTheme="majorHAnsi" w:cstheme="majorHAnsi"/>
                  <w:bCs/>
                  <w:color w:val="000000"/>
                  <w:sz w:val="18"/>
                  <w:szCs w:val="18"/>
                </w:rPr>
                <w:t>Hebert et al., 2003</w:t>
              </w:r>
            </w:hyperlink>
          </w:p>
        </w:tc>
      </w:tr>
      <w:tr w:rsidR="00DE039C" w14:paraId="1921346E" w14:textId="77777777" w:rsidTr="006F5861">
        <w:tc>
          <w:tcPr>
            <w:tcW w:w="2647" w:type="dxa"/>
          </w:tcPr>
          <w:p w14:paraId="19213469"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MCI diagnosed prevalence</w:t>
            </w:r>
          </w:p>
        </w:tc>
        <w:tc>
          <w:tcPr>
            <w:tcW w:w="2693" w:type="dxa"/>
          </w:tcPr>
          <w:p w14:paraId="1921346A" w14:textId="77777777" w:rsidR="00DE039C" w:rsidRPr="00DE039C" w:rsidRDefault="00DE039C" w:rsidP="00DE039C">
            <w:pPr>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AD dementia etiology among patients with MCI</w:t>
            </w:r>
          </w:p>
        </w:tc>
        <w:tc>
          <w:tcPr>
            <w:tcW w:w="1843" w:type="dxa"/>
          </w:tcPr>
          <w:p w14:paraId="1921346B"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40%</w:t>
            </w:r>
          </w:p>
        </w:tc>
        <w:tc>
          <w:tcPr>
            <w:tcW w:w="1984" w:type="dxa"/>
          </w:tcPr>
          <w:p w14:paraId="1921346C" w14:textId="77777777" w:rsidR="00DE039C" w:rsidRPr="00DE039C" w:rsidRDefault="00AC5A79" w:rsidP="00DE039C">
            <w:pPr>
              <w:tabs>
                <w:tab w:val="left" w:pos="384"/>
              </w:tabs>
              <w:rPr>
                <w:rFonts w:asciiTheme="majorHAnsi" w:hAnsiTheme="majorHAnsi" w:cstheme="majorHAnsi"/>
                <w:bCs/>
                <w:color w:val="000000"/>
                <w:sz w:val="18"/>
                <w:szCs w:val="18"/>
              </w:rPr>
            </w:pPr>
            <w:hyperlink r:id="rId12" w:history="1">
              <w:proofErr w:type="spellStart"/>
              <w:r w:rsidR="00DE039C" w:rsidRPr="00DE039C">
                <w:rPr>
                  <w:rFonts w:asciiTheme="majorHAnsi" w:hAnsiTheme="majorHAnsi" w:cstheme="majorHAnsi"/>
                  <w:bCs/>
                  <w:color w:val="000000"/>
                  <w:sz w:val="18"/>
                  <w:szCs w:val="18"/>
                </w:rPr>
                <w:t>Monfared</w:t>
              </w:r>
              <w:proofErr w:type="spellEnd"/>
              <w:r w:rsidR="00DE039C" w:rsidRPr="00DE039C">
                <w:rPr>
                  <w:rFonts w:asciiTheme="majorHAnsi" w:hAnsiTheme="majorHAnsi" w:cstheme="majorHAnsi"/>
                  <w:bCs/>
                  <w:color w:val="000000"/>
                  <w:sz w:val="18"/>
                  <w:szCs w:val="18"/>
                </w:rPr>
                <w:t xml:space="preserve"> et al., 2022</w:t>
              </w:r>
            </w:hyperlink>
          </w:p>
        </w:tc>
      </w:tr>
      <w:tr w:rsidR="00DE039C" w14:paraId="19213474" w14:textId="77777777" w:rsidTr="006F5861">
        <w:tc>
          <w:tcPr>
            <w:tcW w:w="2647" w:type="dxa"/>
            <w:shd w:val="clear" w:color="auto" w:fill="BFBFBF" w:themeFill="background1" w:themeFillShade="BF"/>
          </w:tcPr>
          <w:p w14:paraId="1921346F"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New patient demand</w:t>
            </w:r>
          </w:p>
        </w:tc>
        <w:tc>
          <w:tcPr>
            <w:tcW w:w="2693" w:type="dxa"/>
            <w:shd w:val="clear" w:color="auto" w:fill="BFBFBF" w:themeFill="background1" w:themeFillShade="BF"/>
          </w:tcPr>
          <w:p w14:paraId="19213470" w14:textId="77777777" w:rsidR="00DE039C" w:rsidRPr="00DE039C" w:rsidRDefault="00DE039C" w:rsidP="00DE039C">
            <w:pPr>
              <w:rPr>
                <w:rFonts w:asciiTheme="majorHAnsi" w:hAnsiTheme="majorHAnsi" w:cstheme="majorHAnsi"/>
                <w:bCs/>
                <w:color w:val="000000"/>
                <w:sz w:val="18"/>
                <w:szCs w:val="18"/>
              </w:rPr>
            </w:pPr>
          </w:p>
        </w:tc>
        <w:tc>
          <w:tcPr>
            <w:tcW w:w="1843" w:type="dxa"/>
            <w:shd w:val="clear" w:color="auto" w:fill="BFBFBF" w:themeFill="background1" w:themeFillShade="BF"/>
          </w:tcPr>
          <w:p w14:paraId="19213471" w14:textId="77777777" w:rsidR="00DE039C" w:rsidRPr="00DE039C" w:rsidRDefault="00DE039C" w:rsidP="00DE039C">
            <w:pPr>
              <w:tabs>
                <w:tab w:val="left" w:pos="384"/>
              </w:tabs>
              <w:rPr>
                <w:rFonts w:asciiTheme="majorHAnsi" w:hAnsiTheme="majorHAnsi" w:cstheme="majorHAnsi"/>
                <w:bCs/>
                <w:color w:val="000000"/>
                <w:sz w:val="18"/>
                <w:szCs w:val="18"/>
              </w:rPr>
            </w:pPr>
          </w:p>
        </w:tc>
        <w:tc>
          <w:tcPr>
            <w:tcW w:w="1984" w:type="dxa"/>
            <w:shd w:val="clear" w:color="auto" w:fill="BFBFBF" w:themeFill="background1" w:themeFillShade="BF"/>
          </w:tcPr>
          <w:p w14:paraId="19213472" w14:textId="77777777" w:rsidR="00DE039C" w:rsidRPr="00DE039C" w:rsidRDefault="00DE039C" w:rsidP="00DE039C">
            <w:pPr>
              <w:tabs>
                <w:tab w:val="left" w:pos="384"/>
              </w:tabs>
              <w:rPr>
                <w:rFonts w:asciiTheme="majorHAnsi" w:hAnsiTheme="majorHAnsi" w:cstheme="majorHAnsi"/>
                <w:bCs/>
                <w:color w:val="000000"/>
                <w:sz w:val="18"/>
                <w:szCs w:val="18"/>
              </w:rPr>
            </w:pPr>
          </w:p>
        </w:tc>
      </w:tr>
      <w:tr w:rsidR="00DE039C" w14:paraId="19213480" w14:textId="77777777" w:rsidTr="006F5861">
        <w:tc>
          <w:tcPr>
            <w:tcW w:w="2647" w:type="dxa"/>
          </w:tcPr>
          <w:p w14:paraId="1921347B"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Subjective memory symptoms (SMS)</w:t>
            </w:r>
          </w:p>
        </w:tc>
        <w:tc>
          <w:tcPr>
            <w:tcW w:w="2693" w:type="dxa"/>
          </w:tcPr>
          <w:p w14:paraId="1921347C"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prevalence of memory-related subjective memory complaint</w:t>
            </w:r>
          </w:p>
        </w:tc>
        <w:tc>
          <w:tcPr>
            <w:tcW w:w="1843" w:type="dxa"/>
          </w:tcPr>
          <w:p w14:paraId="1921347D"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53%</w:t>
            </w:r>
          </w:p>
        </w:tc>
        <w:tc>
          <w:tcPr>
            <w:tcW w:w="1984" w:type="dxa"/>
          </w:tcPr>
          <w:p w14:paraId="1921347E" w14:textId="77777777" w:rsidR="00DE039C" w:rsidRPr="00DE039C" w:rsidRDefault="00AC5A79" w:rsidP="00DE039C">
            <w:pPr>
              <w:tabs>
                <w:tab w:val="left" w:pos="384"/>
              </w:tabs>
              <w:rPr>
                <w:rFonts w:asciiTheme="majorHAnsi" w:hAnsiTheme="majorHAnsi" w:cstheme="majorHAnsi"/>
                <w:bCs/>
                <w:color w:val="000000"/>
                <w:sz w:val="18"/>
                <w:szCs w:val="18"/>
              </w:rPr>
            </w:pPr>
            <w:hyperlink r:id="rId13" w:history="1">
              <w:r w:rsidR="00DE039C" w:rsidRPr="00DE039C">
                <w:rPr>
                  <w:rFonts w:asciiTheme="majorHAnsi" w:hAnsiTheme="majorHAnsi" w:cstheme="majorHAnsi"/>
                  <w:bCs/>
                  <w:color w:val="000000"/>
                  <w:sz w:val="18"/>
                  <w:szCs w:val="18"/>
                </w:rPr>
                <w:t>Luck et al., 2018</w:t>
              </w:r>
            </w:hyperlink>
          </w:p>
        </w:tc>
      </w:tr>
      <w:tr w:rsidR="00DE039C" w14:paraId="19213486" w14:textId="77777777" w:rsidTr="006F5861">
        <w:tc>
          <w:tcPr>
            <w:tcW w:w="2647" w:type="dxa"/>
          </w:tcPr>
          <w:p w14:paraId="19213481"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Care seeking behaviour</w:t>
            </w:r>
          </w:p>
        </w:tc>
        <w:tc>
          <w:tcPr>
            <w:tcW w:w="2693" w:type="dxa"/>
          </w:tcPr>
          <w:p w14:paraId="19213482"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of individuals seeking care (SMS only)</w:t>
            </w:r>
          </w:p>
        </w:tc>
        <w:tc>
          <w:tcPr>
            <w:tcW w:w="1843" w:type="dxa"/>
          </w:tcPr>
          <w:p w14:paraId="19213483"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23%</w:t>
            </w:r>
          </w:p>
        </w:tc>
        <w:tc>
          <w:tcPr>
            <w:tcW w:w="1984" w:type="dxa"/>
          </w:tcPr>
          <w:p w14:paraId="19213484" w14:textId="77777777" w:rsidR="00DE039C" w:rsidRPr="00DE039C" w:rsidRDefault="00AC5A79" w:rsidP="00DE039C">
            <w:pPr>
              <w:tabs>
                <w:tab w:val="left" w:pos="384"/>
              </w:tabs>
              <w:rPr>
                <w:rFonts w:asciiTheme="majorHAnsi" w:hAnsiTheme="majorHAnsi" w:cstheme="majorHAnsi"/>
                <w:bCs/>
                <w:color w:val="000000"/>
                <w:sz w:val="18"/>
                <w:szCs w:val="18"/>
              </w:rPr>
            </w:pPr>
            <w:hyperlink r:id="rId14" w:history="1">
              <w:r w:rsidR="00DE039C" w:rsidRPr="00DE039C">
                <w:rPr>
                  <w:rFonts w:asciiTheme="majorHAnsi" w:hAnsiTheme="majorHAnsi" w:cstheme="majorHAnsi"/>
                  <w:bCs/>
                  <w:color w:val="000000"/>
                  <w:sz w:val="18"/>
                  <w:szCs w:val="18"/>
                </w:rPr>
                <w:t>Steward et al., 2012</w:t>
              </w:r>
            </w:hyperlink>
          </w:p>
        </w:tc>
      </w:tr>
      <w:tr w:rsidR="00DE039C" w14:paraId="1921348C" w14:textId="77777777" w:rsidTr="006F5861">
        <w:tc>
          <w:tcPr>
            <w:tcW w:w="2647" w:type="dxa"/>
            <w:vMerge w:val="restart"/>
          </w:tcPr>
          <w:p w14:paraId="19213487"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Screening rate</w:t>
            </w:r>
          </w:p>
        </w:tc>
        <w:tc>
          <w:tcPr>
            <w:tcW w:w="2693" w:type="dxa"/>
          </w:tcPr>
          <w:p w14:paraId="19213488"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screening rate of individuals with SMS</w:t>
            </w:r>
          </w:p>
        </w:tc>
        <w:tc>
          <w:tcPr>
            <w:tcW w:w="1843" w:type="dxa"/>
          </w:tcPr>
          <w:p w14:paraId="19213489"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71%</w:t>
            </w:r>
          </w:p>
        </w:tc>
        <w:tc>
          <w:tcPr>
            <w:tcW w:w="1984" w:type="dxa"/>
          </w:tcPr>
          <w:p w14:paraId="1921348A" w14:textId="77777777" w:rsidR="00DE039C" w:rsidRPr="00DE039C" w:rsidRDefault="00AC5A79" w:rsidP="00DE039C">
            <w:pPr>
              <w:tabs>
                <w:tab w:val="left" w:pos="384"/>
              </w:tabs>
              <w:rPr>
                <w:rFonts w:asciiTheme="majorHAnsi" w:hAnsiTheme="majorHAnsi" w:cstheme="majorHAnsi"/>
                <w:bCs/>
                <w:color w:val="000000"/>
                <w:sz w:val="18"/>
                <w:szCs w:val="18"/>
              </w:rPr>
            </w:pPr>
            <w:hyperlink r:id="rId15" w:history="1">
              <w:r w:rsidR="00DE039C" w:rsidRPr="00DE039C">
                <w:rPr>
                  <w:rFonts w:asciiTheme="majorHAnsi" w:hAnsiTheme="majorHAnsi" w:cstheme="majorHAnsi"/>
                  <w:bCs/>
                  <w:color w:val="000000"/>
                  <w:sz w:val="18"/>
                  <w:szCs w:val="18"/>
                </w:rPr>
                <w:t>Judge et al., 2019</w:t>
              </w:r>
            </w:hyperlink>
          </w:p>
        </w:tc>
      </w:tr>
      <w:tr w:rsidR="00DE039C" w14:paraId="19213493" w14:textId="77777777" w:rsidTr="006F5861">
        <w:tc>
          <w:tcPr>
            <w:tcW w:w="2647" w:type="dxa"/>
            <w:vMerge/>
          </w:tcPr>
          <w:p w14:paraId="1921348D" w14:textId="77777777" w:rsidR="00DE039C" w:rsidRPr="00DE039C" w:rsidRDefault="00DE039C" w:rsidP="00DE039C">
            <w:pPr>
              <w:widowControl w:val="0"/>
              <w:rPr>
                <w:rFonts w:asciiTheme="majorHAnsi" w:hAnsiTheme="majorHAnsi" w:cstheme="majorHAnsi"/>
                <w:b/>
                <w:color w:val="000000"/>
                <w:sz w:val="18"/>
                <w:szCs w:val="18"/>
              </w:rPr>
            </w:pPr>
          </w:p>
        </w:tc>
        <w:tc>
          <w:tcPr>
            <w:tcW w:w="2693" w:type="dxa"/>
          </w:tcPr>
          <w:p w14:paraId="1921348E"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Non-SMS access to annual check-up visit</w:t>
            </w:r>
          </w:p>
        </w:tc>
        <w:tc>
          <w:tcPr>
            <w:tcW w:w="1843" w:type="dxa"/>
          </w:tcPr>
          <w:p w14:paraId="1921348F" w14:textId="77777777" w:rsidR="00DE039C" w:rsidRPr="00DE039C" w:rsidRDefault="00DE039C" w:rsidP="00DE039C">
            <w:pPr>
              <w:widowControl w:val="0"/>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60%</w:t>
            </w:r>
          </w:p>
          <w:p w14:paraId="19213490" w14:textId="77777777" w:rsidR="00DE039C" w:rsidRPr="00DE039C" w:rsidRDefault="00DE039C" w:rsidP="00DE039C">
            <w:pPr>
              <w:tabs>
                <w:tab w:val="left" w:pos="384"/>
              </w:tabs>
              <w:rPr>
                <w:rFonts w:asciiTheme="majorHAnsi" w:hAnsiTheme="majorHAnsi" w:cstheme="majorHAnsi"/>
                <w:bCs/>
                <w:color w:val="000000"/>
                <w:sz w:val="18"/>
                <w:szCs w:val="18"/>
              </w:rPr>
            </w:pPr>
          </w:p>
        </w:tc>
        <w:tc>
          <w:tcPr>
            <w:tcW w:w="1984" w:type="dxa"/>
          </w:tcPr>
          <w:p w14:paraId="19213491" w14:textId="77777777" w:rsidR="00DE039C" w:rsidRPr="00DE039C" w:rsidRDefault="00AC5A79" w:rsidP="00DE039C">
            <w:pPr>
              <w:tabs>
                <w:tab w:val="left" w:pos="384"/>
              </w:tabs>
              <w:rPr>
                <w:rFonts w:asciiTheme="majorHAnsi" w:hAnsiTheme="majorHAnsi" w:cstheme="majorHAnsi"/>
                <w:bCs/>
                <w:color w:val="000000"/>
                <w:sz w:val="18"/>
                <w:szCs w:val="18"/>
              </w:rPr>
            </w:pPr>
            <w:hyperlink r:id="rId16" w:history="1">
              <w:r w:rsidR="00DE039C" w:rsidRPr="00DE039C">
                <w:rPr>
                  <w:rFonts w:asciiTheme="majorHAnsi" w:hAnsiTheme="majorHAnsi" w:cstheme="majorHAnsi"/>
                  <w:bCs/>
                  <w:color w:val="000000"/>
                  <w:sz w:val="18"/>
                  <w:szCs w:val="18"/>
                </w:rPr>
                <w:t>NAMC survey, 2016</w:t>
              </w:r>
            </w:hyperlink>
          </w:p>
        </w:tc>
      </w:tr>
      <w:tr w:rsidR="00DE039C" w14:paraId="19213499" w14:textId="77777777" w:rsidTr="006F5861">
        <w:tc>
          <w:tcPr>
            <w:tcW w:w="2647" w:type="dxa"/>
            <w:vMerge/>
          </w:tcPr>
          <w:p w14:paraId="19213494" w14:textId="77777777" w:rsidR="00DE039C" w:rsidRPr="00DE039C" w:rsidRDefault="00DE039C" w:rsidP="00DE039C">
            <w:pPr>
              <w:widowControl w:val="0"/>
              <w:rPr>
                <w:rFonts w:asciiTheme="majorHAnsi" w:hAnsiTheme="majorHAnsi" w:cstheme="majorHAnsi"/>
                <w:b/>
                <w:color w:val="000000"/>
                <w:sz w:val="18"/>
                <w:szCs w:val="18"/>
              </w:rPr>
            </w:pPr>
          </w:p>
        </w:tc>
        <w:tc>
          <w:tcPr>
            <w:tcW w:w="2693" w:type="dxa"/>
          </w:tcPr>
          <w:p w14:paraId="19213495"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Non-SMS percentage of cognitive test performed at the annual check-up</w:t>
            </w:r>
          </w:p>
        </w:tc>
        <w:tc>
          <w:tcPr>
            <w:tcW w:w="1843" w:type="dxa"/>
          </w:tcPr>
          <w:p w14:paraId="19213496"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16%</w:t>
            </w:r>
          </w:p>
        </w:tc>
        <w:tc>
          <w:tcPr>
            <w:tcW w:w="1984" w:type="dxa"/>
          </w:tcPr>
          <w:p w14:paraId="19213497" w14:textId="77777777" w:rsidR="00DE039C" w:rsidRPr="00DE039C" w:rsidRDefault="00AC5A79" w:rsidP="00DE039C">
            <w:pPr>
              <w:tabs>
                <w:tab w:val="left" w:pos="384"/>
              </w:tabs>
              <w:rPr>
                <w:rFonts w:asciiTheme="majorHAnsi" w:hAnsiTheme="majorHAnsi" w:cstheme="majorHAnsi"/>
                <w:bCs/>
                <w:color w:val="000000"/>
                <w:sz w:val="18"/>
                <w:szCs w:val="18"/>
              </w:rPr>
            </w:pPr>
            <w:hyperlink r:id="rId17" w:anchor=":~:text=The%20report%20found%20that%20just,%2C%20diabetes%20(66%20percent)%20and" w:history="1">
              <w:r w:rsidR="00DE039C" w:rsidRPr="00DE039C">
                <w:rPr>
                  <w:rFonts w:asciiTheme="majorHAnsi" w:hAnsiTheme="majorHAnsi" w:cstheme="majorHAnsi"/>
                  <w:bCs/>
                  <w:color w:val="000000"/>
                  <w:sz w:val="18"/>
                  <w:szCs w:val="18"/>
                </w:rPr>
                <w:t>Alzheimer’s Association et al., 2019</w:t>
              </w:r>
            </w:hyperlink>
          </w:p>
        </w:tc>
      </w:tr>
      <w:tr w:rsidR="00DE039C" w14:paraId="1921349F" w14:textId="77777777" w:rsidTr="006F5861">
        <w:tc>
          <w:tcPr>
            <w:tcW w:w="2647" w:type="dxa"/>
            <w:shd w:val="clear" w:color="auto" w:fill="BFBFBF" w:themeFill="background1" w:themeFillShade="BF"/>
          </w:tcPr>
          <w:p w14:paraId="1921349A"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Screening positivity at primary care</w:t>
            </w:r>
          </w:p>
        </w:tc>
        <w:tc>
          <w:tcPr>
            <w:tcW w:w="2693" w:type="dxa"/>
            <w:shd w:val="clear" w:color="auto" w:fill="BFBFBF" w:themeFill="background1" w:themeFillShade="BF"/>
          </w:tcPr>
          <w:p w14:paraId="1921349B" w14:textId="77777777" w:rsidR="00DE039C" w:rsidRPr="00DE039C" w:rsidRDefault="00DE039C" w:rsidP="00DE039C">
            <w:pPr>
              <w:tabs>
                <w:tab w:val="left" w:pos="384"/>
              </w:tabs>
              <w:rPr>
                <w:rFonts w:asciiTheme="majorHAnsi" w:hAnsiTheme="majorHAnsi" w:cstheme="majorHAnsi"/>
                <w:bCs/>
                <w:color w:val="000000"/>
                <w:sz w:val="18"/>
                <w:szCs w:val="18"/>
              </w:rPr>
            </w:pPr>
          </w:p>
        </w:tc>
        <w:tc>
          <w:tcPr>
            <w:tcW w:w="1843" w:type="dxa"/>
            <w:shd w:val="clear" w:color="auto" w:fill="BFBFBF" w:themeFill="background1" w:themeFillShade="BF"/>
          </w:tcPr>
          <w:p w14:paraId="1921349C" w14:textId="77777777" w:rsidR="00DE039C" w:rsidRPr="00DE039C" w:rsidRDefault="00DE039C" w:rsidP="00DE039C">
            <w:pPr>
              <w:tabs>
                <w:tab w:val="left" w:pos="384"/>
              </w:tabs>
              <w:rPr>
                <w:rFonts w:asciiTheme="majorHAnsi" w:hAnsiTheme="majorHAnsi" w:cstheme="majorHAnsi"/>
                <w:bCs/>
                <w:color w:val="000000"/>
                <w:sz w:val="18"/>
                <w:szCs w:val="18"/>
              </w:rPr>
            </w:pPr>
          </w:p>
        </w:tc>
        <w:tc>
          <w:tcPr>
            <w:tcW w:w="1984" w:type="dxa"/>
            <w:shd w:val="clear" w:color="auto" w:fill="BFBFBF" w:themeFill="background1" w:themeFillShade="BF"/>
          </w:tcPr>
          <w:p w14:paraId="1921349D" w14:textId="77777777" w:rsidR="00DE039C" w:rsidRPr="00DE039C" w:rsidRDefault="00DE039C" w:rsidP="00DE039C">
            <w:pPr>
              <w:tabs>
                <w:tab w:val="left" w:pos="384"/>
              </w:tabs>
              <w:rPr>
                <w:rFonts w:asciiTheme="majorHAnsi" w:hAnsiTheme="majorHAnsi" w:cstheme="majorHAnsi"/>
                <w:bCs/>
                <w:color w:val="000000"/>
                <w:sz w:val="18"/>
                <w:szCs w:val="18"/>
              </w:rPr>
            </w:pPr>
          </w:p>
        </w:tc>
      </w:tr>
      <w:tr w:rsidR="00DE039C" w14:paraId="192134A8" w14:textId="77777777" w:rsidTr="006F5861">
        <w:tc>
          <w:tcPr>
            <w:tcW w:w="2647" w:type="dxa"/>
          </w:tcPr>
          <w:p w14:paraId="192134A0" w14:textId="4E1C367D"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 xml:space="preserve">Prevalence rate </w:t>
            </w:r>
            <w:r w:rsidR="008B1423">
              <w:rPr>
                <w:rFonts w:asciiTheme="majorHAnsi" w:hAnsiTheme="majorHAnsi" w:cstheme="majorHAnsi"/>
                <w:b/>
                <w:color w:val="000000"/>
                <w:sz w:val="18"/>
                <w:szCs w:val="18"/>
              </w:rPr>
              <w:t>AD</w:t>
            </w:r>
          </w:p>
        </w:tc>
        <w:tc>
          <w:tcPr>
            <w:tcW w:w="2693" w:type="dxa"/>
          </w:tcPr>
          <w:p w14:paraId="192134A1" w14:textId="06059C4C"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Alzheimer’ disease dementia </w:t>
            </w:r>
            <w:r w:rsidR="00FA0CDA">
              <w:rPr>
                <w:rFonts w:asciiTheme="majorHAnsi" w:hAnsiTheme="majorHAnsi" w:cstheme="majorHAnsi"/>
                <w:bCs/>
                <w:color w:val="000000"/>
                <w:sz w:val="18"/>
                <w:szCs w:val="18"/>
              </w:rPr>
              <w:t>(</w:t>
            </w:r>
            <w:r w:rsidRPr="00DE039C">
              <w:rPr>
                <w:rFonts w:asciiTheme="majorHAnsi" w:hAnsiTheme="majorHAnsi" w:cstheme="majorHAnsi"/>
                <w:bCs/>
                <w:color w:val="000000"/>
                <w:sz w:val="18"/>
                <w:szCs w:val="18"/>
              </w:rPr>
              <w:t>prevalence</w:t>
            </w:r>
            <w:r w:rsidR="00FA0CDA">
              <w:rPr>
                <w:rFonts w:asciiTheme="majorHAnsi" w:hAnsiTheme="majorHAnsi" w:cstheme="majorHAnsi"/>
                <w:bCs/>
                <w:color w:val="000000"/>
                <w:sz w:val="18"/>
                <w:szCs w:val="18"/>
              </w:rPr>
              <w:t>)</w:t>
            </w:r>
            <w:r w:rsidRPr="00DE039C">
              <w:rPr>
                <w:rFonts w:asciiTheme="majorHAnsi" w:hAnsiTheme="majorHAnsi" w:cstheme="majorHAnsi"/>
                <w:bCs/>
                <w:color w:val="000000"/>
                <w:sz w:val="18"/>
                <w:szCs w:val="18"/>
              </w:rPr>
              <w:t xml:space="preserve"> </w:t>
            </w:r>
          </w:p>
        </w:tc>
        <w:tc>
          <w:tcPr>
            <w:tcW w:w="1843" w:type="dxa"/>
          </w:tcPr>
          <w:p w14:paraId="192134A2" w14:textId="77777777" w:rsidR="00DE039C" w:rsidRPr="00DE039C" w:rsidRDefault="00DE039C" w:rsidP="00DE039C">
            <w:pPr>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3.1%-32.2%</w:t>
            </w:r>
          </w:p>
          <w:p w14:paraId="192134A3" w14:textId="77777777" w:rsidR="00DE039C" w:rsidRPr="00DE039C" w:rsidRDefault="00DE039C" w:rsidP="00DE039C">
            <w:pPr>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(Age based)</w:t>
            </w:r>
          </w:p>
          <w:p w14:paraId="192134A4" w14:textId="77777777" w:rsidR="00DE039C" w:rsidRPr="00DE039C" w:rsidRDefault="00DE039C" w:rsidP="00DE039C">
            <w:pPr>
              <w:jc w:val="center"/>
              <w:rPr>
                <w:rFonts w:asciiTheme="majorHAnsi" w:hAnsiTheme="majorHAnsi" w:cstheme="majorHAnsi"/>
                <w:bCs/>
                <w:color w:val="000000"/>
                <w:sz w:val="18"/>
                <w:szCs w:val="18"/>
              </w:rPr>
            </w:pPr>
          </w:p>
          <w:p w14:paraId="192134A5" w14:textId="77777777" w:rsidR="00DE039C" w:rsidRPr="00DE039C" w:rsidRDefault="00DE039C" w:rsidP="00DE039C">
            <w:pPr>
              <w:tabs>
                <w:tab w:val="left" w:pos="384"/>
              </w:tabs>
              <w:rPr>
                <w:rFonts w:asciiTheme="majorHAnsi" w:hAnsiTheme="majorHAnsi" w:cstheme="majorHAnsi"/>
                <w:bCs/>
                <w:color w:val="000000"/>
                <w:sz w:val="18"/>
                <w:szCs w:val="18"/>
              </w:rPr>
            </w:pPr>
          </w:p>
        </w:tc>
        <w:tc>
          <w:tcPr>
            <w:tcW w:w="1984" w:type="dxa"/>
          </w:tcPr>
          <w:p w14:paraId="192134A6" w14:textId="31A815E5" w:rsidR="00DE039C" w:rsidRPr="00DE039C" w:rsidRDefault="00AC5A79" w:rsidP="00DE039C">
            <w:pPr>
              <w:tabs>
                <w:tab w:val="left" w:pos="384"/>
              </w:tabs>
              <w:rPr>
                <w:rFonts w:asciiTheme="majorHAnsi" w:hAnsiTheme="majorHAnsi" w:cstheme="majorHAnsi"/>
                <w:bCs/>
                <w:color w:val="000000"/>
                <w:sz w:val="18"/>
                <w:szCs w:val="18"/>
              </w:rPr>
            </w:pPr>
            <w:hyperlink r:id="rId18" w:history="1">
              <w:r w:rsidR="00DE039C" w:rsidRPr="00DE039C">
                <w:rPr>
                  <w:rFonts w:asciiTheme="majorHAnsi" w:hAnsiTheme="majorHAnsi" w:cstheme="majorHAnsi"/>
                  <w:bCs/>
                  <w:color w:val="000000"/>
                  <w:sz w:val="18"/>
                  <w:szCs w:val="18"/>
                </w:rPr>
                <w:t>Herbert et al., 2013</w:t>
              </w:r>
            </w:hyperlink>
          </w:p>
        </w:tc>
      </w:tr>
      <w:tr w:rsidR="00DE039C" w14:paraId="192134AE" w14:textId="77777777" w:rsidTr="006F5861">
        <w:tc>
          <w:tcPr>
            <w:tcW w:w="2647" w:type="dxa"/>
          </w:tcPr>
          <w:p w14:paraId="192134A9"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Prodromal AD Dx</w:t>
            </w:r>
          </w:p>
        </w:tc>
        <w:tc>
          <w:tcPr>
            <w:tcW w:w="2693" w:type="dxa"/>
          </w:tcPr>
          <w:p w14:paraId="192134AA"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Mild cognitive impairment (prevalence)</w:t>
            </w:r>
          </w:p>
        </w:tc>
        <w:tc>
          <w:tcPr>
            <w:tcW w:w="1843" w:type="dxa"/>
          </w:tcPr>
          <w:p w14:paraId="34D0DB0D" w14:textId="77777777" w:rsid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6.7%-25.2%</w:t>
            </w:r>
          </w:p>
          <w:p w14:paraId="192134AB" w14:textId="29B24113" w:rsidR="0083622B" w:rsidRPr="00DE039C" w:rsidRDefault="0083622B" w:rsidP="00DE039C">
            <w:pPr>
              <w:tabs>
                <w:tab w:val="left" w:pos="384"/>
              </w:tabs>
              <w:rPr>
                <w:rFonts w:asciiTheme="majorHAnsi" w:hAnsiTheme="majorHAnsi" w:cstheme="majorHAnsi"/>
                <w:bCs/>
                <w:color w:val="000000"/>
                <w:sz w:val="18"/>
                <w:szCs w:val="18"/>
              </w:rPr>
            </w:pPr>
            <w:r>
              <w:rPr>
                <w:rFonts w:asciiTheme="majorHAnsi" w:hAnsiTheme="majorHAnsi" w:cstheme="majorHAnsi"/>
                <w:bCs/>
                <w:color w:val="000000"/>
                <w:sz w:val="18"/>
                <w:szCs w:val="18"/>
              </w:rPr>
              <w:t>(Age based)</w:t>
            </w:r>
          </w:p>
        </w:tc>
        <w:tc>
          <w:tcPr>
            <w:tcW w:w="1984" w:type="dxa"/>
          </w:tcPr>
          <w:p w14:paraId="192134AC" w14:textId="77777777" w:rsidR="00DE039C" w:rsidRPr="00DE039C" w:rsidRDefault="00AC5A79" w:rsidP="00DE039C">
            <w:pPr>
              <w:tabs>
                <w:tab w:val="left" w:pos="384"/>
              </w:tabs>
              <w:rPr>
                <w:rFonts w:asciiTheme="majorHAnsi" w:hAnsiTheme="majorHAnsi" w:cstheme="majorHAnsi"/>
                <w:bCs/>
                <w:color w:val="000000"/>
                <w:sz w:val="18"/>
                <w:szCs w:val="18"/>
              </w:rPr>
            </w:pPr>
            <w:hyperlink r:id="rId19" w:history="1">
              <w:r w:rsidR="00DE039C" w:rsidRPr="00DE039C">
                <w:rPr>
                  <w:rFonts w:asciiTheme="majorHAnsi" w:hAnsiTheme="majorHAnsi" w:cstheme="majorHAnsi"/>
                  <w:bCs/>
                  <w:color w:val="000000"/>
                  <w:sz w:val="18"/>
                  <w:szCs w:val="18"/>
                </w:rPr>
                <w:t>Petersen et al., 2018</w:t>
              </w:r>
            </w:hyperlink>
          </w:p>
        </w:tc>
      </w:tr>
      <w:tr w:rsidR="00DE039C" w14:paraId="192134B4" w14:textId="77777777" w:rsidTr="006F5861">
        <w:tc>
          <w:tcPr>
            <w:tcW w:w="2647" w:type="dxa"/>
          </w:tcPr>
          <w:p w14:paraId="192134AF"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Diagnostic rate</w:t>
            </w:r>
          </w:p>
        </w:tc>
        <w:tc>
          <w:tcPr>
            <w:tcW w:w="2693" w:type="dxa"/>
          </w:tcPr>
          <w:p w14:paraId="192134B0"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Rate of diagnosed AD </w:t>
            </w:r>
          </w:p>
        </w:tc>
        <w:tc>
          <w:tcPr>
            <w:tcW w:w="1843" w:type="dxa"/>
          </w:tcPr>
          <w:p w14:paraId="192134B1"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60%</w:t>
            </w:r>
          </w:p>
        </w:tc>
        <w:tc>
          <w:tcPr>
            <w:tcW w:w="1984" w:type="dxa"/>
          </w:tcPr>
          <w:p w14:paraId="192134B2"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 DRG</w:t>
            </w:r>
          </w:p>
        </w:tc>
      </w:tr>
      <w:tr w:rsidR="00DE039C" w14:paraId="192134BA" w14:textId="77777777" w:rsidTr="006F5861">
        <w:tc>
          <w:tcPr>
            <w:tcW w:w="2647" w:type="dxa"/>
          </w:tcPr>
          <w:p w14:paraId="192134B5"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Early AD Dx</w:t>
            </w:r>
          </w:p>
        </w:tc>
        <w:tc>
          <w:tcPr>
            <w:tcW w:w="2693" w:type="dxa"/>
          </w:tcPr>
          <w:p w14:paraId="192134B6"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Rate of diagnosed MCI</w:t>
            </w:r>
          </w:p>
        </w:tc>
        <w:tc>
          <w:tcPr>
            <w:tcW w:w="1843" w:type="dxa"/>
          </w:tcPr>
          <w:p w14:paraId="192134B7"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20%</w:t>
            </w:r>
          </w:p>
        </w:tc>
        <w:tc>
          <w:tcPr>
            <w:tcW w:w="1984" w:type="dxa"/>
          </w:tcPr>
          <w:p w14:paraId="192134B8" w14:textId="77777777" w:rsidR="00DE039C" w:rsidRPr="00DE039C" w:rsidRDefault="00DE039C" w:rsidP="00DE039C">
            <w:pPr>
              <w:tabs>
                <w:tab w:val="left" w:pos="384"/>
              </w:tabs>
              <w:rPr>
                <w:rFonts w:asciiTheme="majorHAnsi" w:hAnsiTheme="majorHAnsi" w:cstheme="majorHAnsi"/>
                <w:bCs/>
                <w:color w:val="000000"/>
                <w:sz w:val="18"/>
                <w:szCs w:val="18"/>
              </w:rPr>
            </w:pPr>
          </w:p>
        </w:tc>
      </w:tr>
      <w:tr w:rsidR="00DE039C" w14:paraId="192134C0" w14:textId="77777777" w:rsidTr="006F5861">
        <w:tc>
          <w:tcPr>
            <w:tcW w:w="2647" w:type="dxa"/>
          </w:tcPr>
          <w:p w14:paraId="192134BB"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Progression rate</w:t>
            </w:r>
          </w:p>
        </w:tc>
        <w:tc>
          <w:tcPr>
            <w:tcW w:w="2693" w:type="dxa"/>
          </w:tcPr>
          <w:p w14:paraId="192134BC" w14:textId="77777777" w:rsidR="00DE039C" w:rsidRPr="00DE039C" w:rsidRDefault="00DE039C" w:rsidP="00DE039C">
            <w:pPr>
              <w:tabs>
                <w:tab w:val="left" w:pos="384"/>
              </w:tabs>
              <w:rPr>
                <w:rFonts w:asciiTheme="majorHAnsi" w:hAnsiTheme="majorHAnsi" w:cstheme="majorHAnsi"/>
                <w:bCs/>
                <w:color w:val="000000"/>
                <w:sz w:val="18"/>
                <w:szCs w:val="18"/>
              </w:rPr>
            </w:pPr>
          </w:p>
        </w:tc>
        <w:tc>
          <w:tcPr>
            <w:tcW w:w="1843" w:type="dxa"/>
          </w:tcPr>
          <w:p w14:paraId="192134BD"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2.17 times </w:t>
            </w:r>
          </w:p>
        </w:tc>
        <w:tc>
          <w:tcPr>
            <w:tcW w:w="1984" w:type="dxa"/>
          </w:tcPr>
          <w:p w14:paraId="192134BE" w14:textId="77777777" w:rsidR="00DE039C" w:rsidRPr="00DE039C" w:rsidRDefault="00AC5A79" w:rsidP="00DE039C">
            <w:pPr>
              <w:tabs>
                <w:tab w:val="left" w:pos="384"/>
              </w:tabs>
              <w:rPr>
                <w:rFonts w:asciiTheme="majorHAnsi" w:hAnsiTheme="majorHAnsi" w:cstheme="majorHAnsi"/>
                <w:bCs/>
                <w:color w:val="000000"/>
                <w:sz w:val="18"/>
                <w:szCs w:val="18"/>
              </w:rPr>
            </w:pPr>
            <w:hyperlink r:id="rId20" w:history="1">
              <w:proofErr w:type="spellStart"/>
              <w:r w:rsidR="00DE039C" w:rsidRPr="00DE039C">
                <w:rPr>
                  <w:rFonts w:asciiTheme="majorHAnsi" w:hAnsiTheme="majorHAnsi" w:cstheme="majorHAnsi"/>
                  <w:bCs/>
                  <w:color w:val="000000"/>
                  <w:sz w:val="18"/>
                  <w:szCs w:val="18"/>
                </w:rPr>
                <w:t>Parfenov</w:t>
              </w:r>
              <w:proofErr w:type="spellEnd"/>
              <w:r w:rsidR="00DE039C" w:rsidRPr="00DE039C">
                <w:rPr>
                  <w:rFonts w:asciiTheme="majorHAnsi" w:hAnsiTheme="majorHAnsi" w:cstheme="majorHAnsi"/>
                  <w:bCs/>
                  <w:color w:val="000000"/>
                  <w:sz w:val="18"/>
                  <w:szCs w:val="18"/>
                </w:rPr>
                <w:t xml:space="preserve"> et al., 2020</w:t>
              </w:r>
            </w:hyperlink>
          </w:p>
        </w:tc>
      </w:tr>
      <w:tr w:rsidR="00DE039C" w14:paraId="192134C7" w14:textId="77777777" w:rsidTr="006F5861">
        <w:tc>
          <w:tcPr>
            <w:tcW w:w="2647" w:type="dxa"/>
            <w:vMerge w:val="restart"/>
          </w:tcPr>
          <w:p w14:paraId="192134C1"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Weighted average undiagnosed prevalence</w:t>
            </w:r>
          </w:p>
        </w:tc>
        <w:tc>
          <w:tcPr>
            <w:tcW w:w="2693" w:type="dxa"/>
          </w:tcPr>
          <w:p w14:paraId="192134C2"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Calculated weighted average of undiagnosed mild Alzheimer’s disease</w:t>
            </w:r>
          </w:p>
        </w:tc>
        <w:tc>
          <w:tcPr>
            <w:tcW w:w="1843" w:type="dxa"/>
          </w:tcPr>
          <w:p w14:paraId="192134C3" w14:textId="77777777" w:rsidR="00DE039C" w:rsidRPr="00DE039C" w:rsidRDefault="00DE039C" w:rsidP="00DE039C">
            <w:pPr>
              <w:widowControl w:val="0"/>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General population (non-SMS): 0.66%</w:t>
            </w:r>
          </w:p>
          <w:p w14:paraId="192134C4"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SMS: 1.30%</w:t>
            </w:r>
          </w:p>
        </w:tc>
        <w:tc>
          <w:tcPr>
            <w:tcW w:w="1984" w:type="dxa"/>
          </w:tcPr>
          <w:p w14:paraId="192134C5" w14:textId="77777777" w:rsidR="00DE039C" w:rsidRPr="00DE039C" w:rsidRDefault="00DE039C" w:rsidP="00DE039C">
            <w:pPr>
              <w:tabs>
                <w:tab w:val="left" w:pos="384"/>
              </w:tabs>
              <w:rPr>
                <w:rFonts w:asciiTheme="majorHAnsi" w:hAnsiTheme="majorHAnsi" w:cstheme="majorHAnsi"/>
                <w:bCs/>
                <w:color w:val="000000"/>
                <w:sz w:val="18"/>
                <w:szCs w:val="18"/>
              </w:rPr>
            </w:pPr>
          </w:p>
        </w:tc>
      </w:tr>
      <w:tr w:rsidR="00DE039C" w14:paraId="192134CE" w14:textId="77777777" w:rsidTr="006F5861">
        <w:tc>
          <w:tcPr>
            <w:tcW w:w="2647" w:type="dxa"/>
            <w:vMerge/>
          </w:tcPr>
          <w:p w14:paraId="192134C8" w14:textId="77777777" w:rsidR="00DE039C" w:rsidRPr="00DE039C" w:rsidRDefault="00DE039C" w:rsidP="00DE039C">
            <w:pPr>
              <w:widowControl w:val="0"/>
              <w:rPr>
                <w:rFonts w:asciiTheme="majorHAnsi" w:hAnsiTheme="majorHAnsi" w:cstheme="majorHAnsi"/>
                <w:b/>
                <w:color w:val="000000"/>
                <w:sz w:val="18"/>
                <w:szCs w:val="18"/>
              </w:rPr>
            </w:pPr>
          </w:p>
        </w:tc>
        <w:tc>
          <w:tcPr>
            <w:tcW w:w="2693" w:type="dxa"/>
          </w:tcPr>
          <w:p w14:paraId="192134C9"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Calculated weighted average of undiagnosed mild </w:t>
            </w:r>
            <w:proofErr w:type="spellStart"/>
            <w:r w:rsidRPr="00DE039C">
              <w:rPr>
                <w:rFonts w:asciiTheme="majorHAnsi" w:hAnsiTheme="majorHAnsi" w:cstheme="majorHAnsi"/>
                <w:bCs/>
                <w:color w:val="000000"/>
                <w:sz w:val="18"/>
                <w:szCs w:val="18"/>
              </w:rPr>
              <w:t>Mild</w:t>
            </w:r>
            <w:proofErr w:type="spellEnd"/>
            <w:r w:rsidRPr="00DE039C">
              <w:rPr>
                <w:rFonts w:asciiTheme="majorHAnsi" w:hAnsiTheme="majorHAnsi" w:cstheme="majorHAnsi"/>
                <w:bCs/>
                <w:color w:val="000000"/>
                <w:sz w:val="18"/>
                <w:szCs w:val="18"/>
              </w:rPr>
              <w:t xml:space="preserve"> cognitive impairment</w:t>
            </w:r>
          </w:p>
        </w:tc>
        <w:tc>
          <w:tcPr>
            <w:tcW w:w="1843" w:type="dxa"/>
          </w:tcPr>
          <w:p w14:paraId="192134CA" w14:textId="77777777" w:rsidR="00DE039C" w:rsidRPr="00DE039C" w:rsidRDefault="00DE039C" w:rsidP="00DE039C">
            <w:pPr>
              <w:widowControl w:val="0"/>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General population (non-SMS): 3.40%</w:t>
            </w:r>
          </w:p>
          <w:p w14:paraId="192134CB"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SMS: 6.80%</w:t>
            </w:r>
          </w:p>
        </w:tc>
        <w:tc>
          <w:tcPr>
            <w:tcW w:w="1984" w:type="dxa"/>
          </w:tcPr>
          <w:p w14:paraId="192134CC" w14:textId="77777777" w:rsidR="00DE039C" w:rsidRPr="00DE039C" w:rsidRDefault="00DE039C" w:rsidP="00DE039C">
            <w:pPr>
              <w:tabs>
                <w:tab w:val="left" w:pos="384"/>
              </w:tabs>
              <w:rPr>
                <w:rFonts w:asciiTheme="majorHAnsi" w:hAnsiTheme="majorHAnsi" w:cstheme="majorHAnsi"/>
                <w:bCs/>
                <w:color w:val="000000"/>
                <w:sz w:val="18"/>
                <w:szCs w:val="18"/>
              </w:rPr>
            </w:pPr>
          </w:p>
        </w:tc>
      </w:tr>
      <w:tr w:rsidR="00DE039C" w14:paraId="192134D4" w14:textId="77777777" w:rsidTr="006F5861">
        <w:tc>
          <w:tcPr>
            <w:tcW w:w="2647" w:type="dxa"/>
            <w:vMerge w:val="restart"/>
          </w:tcPr>
          <w:p w14:paraId="192134CF"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Sensitivity of the MoCA</w:t>
            </w:r>
          </w:p>
        </w:tc>
        <w:tc>
          <w:tcPr>
            <w:tcW w:w="2693" w:type="dxa"/>
          </w:tcPr>
          <w:p w14:paraId="192134D0"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MoCA rate to correctly identify patients with MCI</w:t>
            </w:r>
          </w:p>
        </w:tc>
        <w:tc>
          <w:tcPr>
            <w:tcW w:w="1843" w:type="dxa"/>
          </w:tcPr>
          <w:p w14:paraId="192134D1"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90%</w:t>
            </w:r>
          </w:p>
        </w:tc>
        <w:tc>
          <w:tcPr>
            <w:tcW w:w="1984" w:type="dxa"/>
          </w:tcPr>
          <w:p w14:paraId="192134D2" w14:textId="77777777" w:rsidR="00DE039C" w:rsidRPr="00DE039C" w:rsidRDefault="00AC5A79" w:rsidP="00DE039C">
            <w:pPr>
              <w:tabs>
                <w:tab w:val="left" w:pos="384"/>
              </w:tabs>
              <w:rPr>
                <w:rFonts w:asciiTheme="majorHAnsi" w:hAnsiTheme="majorHAnsi" w:cstheme="majorHAnsi"/>
                <w:bCs/>
                <w:color w:val="000000"/>
                <w:sz w:val="18"/>
                <w:szCs w:val="18"/>
              </w:rPr>
            </w:pPr>
            <w:hyperlink r:id="rId21" w:history="1">
              <w:proofErr w:type="spellStart"/>
              <w:r w:rsidR="00DE039C" w:rsidRPr="00DE039C">
                <w:rPr>
                  <w:rFonts w:asciiTheme="majorHAnsi" w:hAnsiTheme="majorHAnsi" w:cstheme="majorHAnsi"/>
                  <w:bCs/>
                  <w:color w:val="000000"/>
                  <w:sz w:val="18"/>
                  <w:szCs w:val="18"/>
                </w:rPr>
                <w:t>Nasreddine</w:t>
              </w:r>
              <w:proofErr w:type="spellEnd"/>
              <w:r w:rsidR="00DE039C" w:rsidRPr="00DE039C">
                <w:rPr>
                  <w:rFonts w:asciiTheme="majorHAnsi" w:hAnsiTheme="majorHAnsi" w:cstheme="majorHAnsi"/>
                  <w:bCs/>
                  <w:color w:val="000000"/>
                  <w:sz w:val="18"/>
                  <w:szCs w:val="18"/>
                </w:rPr>
                <w:t xml:space="preserve"> et al., 2005</w:t>
              </w:r>
            </w:hyperlink>
          </w:p>
        </w:tc>
      </w:tr>
      <w:tr w:rsidR="00DE039C" w14:paraId="192134DA" w14:textId="77777777" w:rsidTr="006F5861">
        <w:tc>
          <w:tcPr>
            <w:tcW w:w="2647" w:type="dxa"/>
            <w:vMerge/>
          </w:tcPr>
          <w:p w14:paraId="192134D5" w14:textId="77777777" w:rsidR="00DE039C" w:rsidRPr="00DE039C" w:rsidRDefault="00DE039C" w:rsidP="00DE039C">
            <w:pPr>
              <w:widowControl w:val="0"/>
              <w:rPr>
                <w:rFonts w:asciiTheme="majorHAnsi" w:hAnsiTheme="majorHAnsi" w:cstheme="majorHAnsi"/>
                <w:b/>
                <w:color w:val="000000"/>
                <w:sz w:val="18"/>
                <w:szCs w:val="18"/>
              </w:rPr>
            </w:pPr>
          </w:p>
        </w:tc>
        <w:tc>
          <w:tcPr>
            <w:tcW w:w="2693" w:type="dxa"/>
          </w:tcPr>
          <w:p w14:paraId="192134D6"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MoCA rate to correctly identify patients with mild Alzheimer’s disease</w:t>
            </w:r>
          </w:p>
        </w:tc>
        <w:tc>
          <w:tcPr>
            <w:tcW w:w="1843" w:type="dxa"/>
          </w:tcPr>
          <w:p w14:paraId="192134D7"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100%</w:t>
            </w:r>
          </w:p>
        </w:tc>
        <w:tc>
          <w:tcPr>
            <w:tcW w:w="1984" w:type="dxa"/>
          </w:tcPr>
          <w:p w14:paraId="192134D8" w14:textId="77777777" w:rsidR="00DE039C" w:rsidRPr="00DE039C" w:rsidRDefault="00DE039C" w:rsidP="00DE039C">
            <w:pPr>
              <w:tabs>
                <w:tab w:val="left" w:pos="384"/>
              </w:tabs>
              <w:rPr>
                <w:rFonts w:asciiTheme="majorHAnsi" w:hAnsiTheme="majorHAnsi" w:cstheme="majorHAnsi"/>
                <w:bCs/>
                <w:color w:val="000000"/>
                <w:sz w:val="18"/>
                <w:szCs w:val="18"/>
              </w:rPr>
            </w:pPr>
          </w:p>
        </w:tc>
      </w:tr>
      <w:tr w:rsidR="00DE039C" w14:paraId="192134E0" w14:textId="77777777" w:rsidTr="006F5861">
        <w:tc>
          <w:tcPr>
            <w:tcW w:w="2647" w:type="dxa"/>
          </w:tcPr>
          <w:p w14:paraId="192134DB"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Specificity</w:t>
            </w:r>
          </w:p>
        </w:tc>
        <w:tc>
          <w:tcPr>
            <w:tcW w:w="2693" w:type="dxa"/>
          </w:tcPr>
          <w:p w14:paraId="192134DC"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MoCA rate of false positivity result</w:t>
            </w:r>
          </w:p>
        </w:tc>
        <w:tc>
          <w:tcPr>
            <w:tcW w:w="1843" w:type="dxa"/>
          </w:tcPr>
          <w:p w14:paraId="192134DD"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13%</w:t>
            </w:r>
          </w:p>
        </w:tc>
        <w:tc>
          <w:tcPr>
            <w:tcW w:w="1984" w:type="dxa"/>
          </w:tcPr>
          <w:p w14:paraId="192134DE" w14:textId="77777777" w:rsidR="00DE039C" w:rsidRPr="00DE039C" w:rsidRDefault="00DE039C" w:rsidP="00DE039C">
            <w:pPr>
              <w:tabs>
                <w:tab w:val="left" w:pos="384"/>
              </w:tabs>
              <w:rPr>
                <w:rFonts w:asciiTheme="majorHAnsi" w:hAnsiTheme="majorHAnsi" w:cstheme="majorHAnsi"/>
                <w:bCs/>
                <w:color w:val="000000"/>
                <w:sz w:val="18"/>
                <w:szCs w:val="18"/>
              </w:rPr>
            </w:pPr>
          </w:p>
        </w:tc>
      </w:tr>
      <w:tr w:rsidR="00DE039C" w14:paraId="192134E6" w14:textId="77777777" w:rsidTr="006F5861">
        <w:tc>
          <w:tcPr>
            <w:tcW w:w="2647" w:type="dxa"/>
          </w:tcPr>
          <w:p w14:paraId="192134E1"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 xml:space="preserve">Referral rate to specialist  </w:t>
            </w:r>
          </w:p>
        </w:tc>
        <w:tc>
          <w:tcPr>
            <w:tcW w:w="2693" w:type="dxa"/>
          </w:tcPr>
          <w:p w14:paraId="192134E2"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of individuals referred to a specialist following a positive MoCA result</w:t>
            </w:r>
          </w:p>
        </w:tc>
        <w:tc>
          <w:tcPr>
            <w:tcW w:w="1843" w:type="dxa"/>
          </w:tcPr>
          <w:p w14:paraId="192134E3"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80%</w:t>
            </w:r>
          </w:p>
        </w:tc>
        <w:tc>
          <w:tcPr>
            <w:tcW w:w="1984" w:type="dxa"/>
          </w:tcPr>
          <w:p w14:paraId="192134E4" w14:textId="77777777" w:rsidR="00DE039C" w:rsidRPr="00DE039C" w:rsidRDefault="00AC5A79" w:rsidP="00DE039C">
            <w:pPr>
              <w:tabs>
                <w:tab w:val="left" w:pos="384"/>
              </w:tabs>
              <w:rPr>
                <w:rFonts w:asciiTheme="majorHAnsi" w:hAnsiTheme="majorHAnsi" w:cstheme="majorHAnsi"/>
                <w:bCs/>
                <w:color w:val="000000"/>
                <w:sz w:val="18"/>
                <w:szCs w:val="18"/>
              </w:rPr>
            </w:pPr>
            <w:hyperlink r:id="rId22" w:history="1">
              <w:proofErr w:type="spellStart"/>
              <w:r w:rsidR="00DE039C" w:rsidRPr="00DE039C">
                <w:rPr>
                  <w:rFonts w:asciiTheme="majorHAnsi" w:hAnsiTheme="majorHAnsi" w:cstheme="majorHAnsi"/>
                  <w:bCs/>
                  <w:color w:val="000000"/>
                  <w:sz w:val="18"/>
                  <w:szCs w:val="18"/>
                </w:rPr>
                <w:t>Mattke</w:t>
              </w:r>
              <w:proofErr w:type="spellEnd"/>
              <w:r w:rsidR="00DE039C" w:rsidRPr="00DE039C">
                <w:rPr>
                  <w:rFonts w:asciiTheme="majorHAnsi" w:hAnsiTheme="majorHAnsi" w:cstheme="majorHAnsi"/>
                  <w:bCs/>
                  <w:color w:val="000000"/>
                  <w:sz w:val="18"/>
                  <w:szCs w:val="18"/>
                </w:rPr>
                <w:t xml:space="preserve"> and Hanson, 2021</w:t>
              </w:r>
            </w:hyperlink>
          </w:p>
        </w:tc>
      </w:tr>
      <w:tr w:rsidR="00DE039C" w14:paraId="192134EC" w14:textId="77777777" w:rsidTr="006F5861">
        <w:tc>
          <w:tcPr>
            <w:tcW w:w="2647" w:type="dxa"/>
            <w:shd w:val="clear" w:color="auto" w:fill="BFBFBF" w:themeFill="background1" w:themeFillShade="BF"/>
          </w:tcPr>
          <w:p w14:paraId="192134E7"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Aβ Positivity</w:t>
            </w:r>
          </w:p>
        </w:tc>
        <w:tc>
          <w:tcPr>
            <w:tcW w:w="2693" w:type="dxa"/>
            <w:shd w:val="clear" w:color="auto" w:fill="BFBFBF" w:themeFill="background1" w:themeFillShade="BF"/>
          </w:tcPr>
          <w:p w14:paraId="192134E8" w14:textId="77777777" w:rsidR="00DE039C" w:rsidRPr="00DE039C" w:rsidRDefault="00DE039C" w:rsidP="00DE039C">
            <w:pPr>
              <w:tabs>
                <w:tab w:val="left" w:pos="384"/>
              </w:tabs>
              <w:rPr>
                <w:rFonts w:asciiTheme="majorHAnsi" w:hAnsiTheme="majorHAnsi" w:cstheme="majorHAnsi"/>
                <w:bCs/>
                <w:color w:val="000000"/>
                <w:sz w:val="18"/>
                <w:szCs w:val="18"/>
              </w:rPr>
            </w:pPr>
          </w:p>
        </w:tc>
        <w:tc>
          <w:tcPr>
            <w:tcW w:w="1843" w:type="dxa"/>
            <w:shd w:val="clear" w:color="auto" w:fill="BFBFBF" w:themeFill="background1" w:themeFillShade="BF"/>
          </w:tcPr>
          <w:p w14:paraId="192134E9" w14:textId="77777777" w:rsidR="00DE039C" w:rsidRPr="00DE039C" w:rsidRDefault="00DE039C" w:rsidP="00DE039C">
            <w:pPr>
              <w:tabs>
                <w:tab w:val="left" w:pos="384"/>
              </w:tabs>
              <w:rPr>
                <w:rFonts w:asciiTheme="majorHAnsi" w:hAnsiTheme="majorHAnsi" w:cstheme="majorHAnsi"/>
                <w:bCs/>
                <w:color w:val="000000"/>
                <w:sz w:val="18"/>
                <w:szCs w:val="18"/>
              </w:rPr>
            </w:pPr>
          </w:p>
        </w:tc>
        <w:tc>
          <w:tcPr>
            <w:tcW w:w="1984" w:type="dxa"/>
            <w:shd w:val="clear" w:color="auto" w:fill="BFBFBF" w:themeFill="background1" w:themeFillShade="BF"/>
          </w:tcPr>
          <w:p w14:paraId="192134EA" w14:textId="77777777" w:rsidR="00DE039C" w:rsidRPr="00DE039C" w:rsidRDefault="00DE039C" w:rsidP="00DE039C">
            <w:pPr>
              <w:tabs>
                <w:tab w:val="left" w:pos="384"/>
              </w:tabs>
              <w:rPr>
                <w:rFonts w:asciiTheme="majorHAnsi" w:hAnsiTheme="majorHAnsi" w:cstheme="majorHAnsi"/>
                <w:bCs/>
                <w:color w:val="000000"/>
                <w:sz w:val="18"/>
                <w:szCs w:val="18"/>
              </w:rPr>
            </w:pPr>
          </w:p>
        </w:tc>
      </w:tr>
      <w:tr w:rsidR="00DE039C" w14:paraId="192134F3" w14:textId="77777777" w:rsidTr="006F5861">
        <w:tc>
          <w:tcPr>
            <w:tcW w:w="2647" w:type="dxa"/>
            <w:vMerge w:val="restart"/>
          </w:tcPr>
          <w:p w14:paraId="192134ED"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 Aβ positivity</w:t>
            </w:r>
          </w:p>
        </w:tc>
        <w:tc>
          <w:tcPr>
            <w:tcW w:w="2693" w:type="dxa"/>
          </w:tcPr>
          <w:p w14:paraId="192134EE"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Prevalence of patients with Aβ positivity over the Mild AD population</w:t>
            </w:r>
          </w:p>
        </w:tc>
        <w:tc>
          <w:tcPr>
            <w:tcW w:w="1843" w:type="dxa"/>
          </w:tcPr>
          <w:p w14:paraId="192134EF"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88%</w:t>
            </w:r>
          </w:p>
        </w:tc>
        <w:tc>
          <w:tcPr>
            <w:tcW w:w="1984" w:type="dxa"/>
          </w:tcPr>
          <w:p w14:paraId="192134F0" w14:textId="77777777" w:rsidR="00DE039C" w:rsidRPr="00DE039C" w:rsidRDefault="00AC5A79" w:rsidP="00DE039C">
            <w:pPr>
              <w:widowControl w:val="0"/>
              <w:rPr>
                <w:rFonts w:asciiTheme="majorHAnsi" w:hAnsiTheme="majorHAnsi" w:cstheme="majorHAnsi"/>
                <w:bCs/>
                <w:color w:val="000000"/>
                <w:sz w:val="18"/>
                <w:szCs w:val="18"/>
              </w:rPr>
            </w:pPr>
            <w:hyperlink r:id="rId23" w:history="1">
              <w:proofErr w:type="spellStart"/>
              <w:r w:rsidR="00DE039C" w:rsidRPr="00DE039C">
                <w:rPr>
                  <w:rFonts w:asciiTheme="majorHAnsi" w:hAnsiTheme="majorHAnsi" w:cstheme="majorHAnsi"/>
                  <w:bCs/>
                  <w:color w:val="000000"/>
                  <w:sz w:val="18"/>
                  <w:szCs w:val="18"/>
                </w:rPr>
                <w:t>Ossenkopple</w:t>
              </w:r>
              <w:proofErr w:type="spellEnd"/>
              <w:r w:rsidR="00DE039C" w:rsidRPr="00DE039C">
                <w:rPr>
                  <w:rFonts w:asciiTheme="majorHAnsi" w:hAnsiTheme="majorHAnsi" w:cstheme="majorHAnsi"/>
                  <w:bCs/>
                  <w:color w:val="000000"/>
                  <w:sz w:val="18"/>
                  <w:szCs w:val="18"/>
                </w:rPr>
                <w:t xml:space="preserve"> et al., 2015</w:t>
              </w:r>
            </w:hyperlink>
          </w:p>
          <w:p w14:paraId="192134F1" w14:textId="77777777" w:rsidR="00DE039C" w:rsidRPr="00DE039C" w:rsidRDefault="00DE039C" w:rsidP="00DE039C">
            <w:pPr>
              <w:tabs>
                <w:tab w:val="left" w:pos="384"/>
              </w:tabs>
              <w:rPr>
                <w:rFonts w:asciiTheme="majorHAnsi" w:hAnsiTheme="majorHAnsi" w:cstheme="majorHAnsi"/>
                <w:bCs/>
                <w:color w:val="000000"/>
                <w:sz w:val="18"/>
                <w:szCs w:val="18"/>
              </w:rPr>
            </w:pPr>
          </w:p>
        </w:tc>
      </w:tr>
      <w:tr w:rsidR="00DE039C" w14:paraId="192134FA" w14:textId="77777777" w:rsidTr="006F5861">
        <w:tc>
          <w:tcPr>
            <w:tcW w:w="2647" w:type="dxa"/>
            <w:vMerge/>
          </w:tcPr>
          <w:p w14:paraId="192134F4" w14:textId="77777777" w:rsidR="00DE039C" w:rsidRPr="00DE039C" w:rsidRDefault="00DE039C" w:rsidP="00DE039C">
            <w:pPr>
              <w:widowControl w:val="0"/>
              <w:rPr>
                <w:rFonts w:asciiTheme="majorHAnsi" w:hAnsiTheme="majorHAnsi" w:cstheme="majorHAnsi"/>
                <w:b/>
                <w:color w:val="000000"/>
                <w:sz w:val="18"/>
                <w:szCs w:val="18"/>
              </w:rPr>
            </w:pPr>
          </w:p>
        </w:tc>
        <w:tc>
          <w:tcPr>
            <w:tcW w:w="2693" w:type="dxa"/>
          </w:tcPr>
          <w:p w14:paraId="192134F5" w14:textId="71B35A9C"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Prevalence of patients with Aβ positivity over the MCI population</w:t>
            </w:r>
          </w:p>
        </w:tc>
        <w:tc>
          <w:tcPr>
            <w:tcW w:w="1843" w:type="dxa"/>
          </w:tcPr>
          <w:p w14:paraId="192134F6"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55%</w:t>
            </w:r>
          </w:p>
        </w:tc>
        <w:tc>
          <w:tcPr>
            <w:tcW w:w="1984" w:type="dxa"/>
          </w:tcPr>
          <w:p w14:paraId="192134F7" w14:textId="77777777" w:rsidR="00DE039C" w:rsidRPr="00DE039C" w:rsidRDefault="00AC5A79" w:rsidP="00DE039C">
            <w:pPr>
              <w:widowControl w:val="0"/>
              <w:rPr>
                <w:rFonts w:asciiTheme="majorHAnsi" w:hAnsiTheme="majorHAnsi" w:cstheme="majorHAnsi"/>
                <w:bCs/>
                <w:color w:val="000000"/>
                <w:sz w:val="18"/>
                <w:szCs w:val="18"/>
              </w:rPr>
            </w:pPr>
            <w:hyperlink r:id="rId24" w:history="1">
              <w:r w:rsidR="00DE039C" w:rsidRPr="00DE039C">
                <w:rPr>
                  <w:rFonts w:asciiTheme="majorHAnsi" w:hAnsiTheme="majorHAnsi" w:cstheme="majorHAnsi"/>
                  <w:bCs/>
                  <w:color w:val="000000"/>
                  <w:sz w:val="18"/>
                  <w:szCs w:val="18"/>
                </w:rPr>
                <w:t>Okello et al., 2009</w:t>
              </w:r>
            </w:hyperlink>
          </w:p>
          <w:p w14:paraId="192134F8" w14:textId="77777777" w:rsidR="00DE039C" w:rsidRPr="00DE039C" w:rsidRDefault="00DE039C" w:rsidP="00DE039C">
            <w:pPr>
              <w:tabs>
                <w:tab w:val="left" w:pos="384"/>
              </w:tabs>
              <w:rPr>
                <w:rFonts w:asciiTheme="majorHAnsi" w:hAnsiTheme="majorHAnsi" w:cstheme="majorHAnsi"/>
                <w:bCs/>
                <w:color w:val="000000"/>
                <w:sz w:val="18"/>
                <w:szCs w:val="18"/>
              </w:rPr>
            </w:pPr>
          </w:p>
        </w:tc>
      </w:tr>
      <w:tr w:rsidR="00DE039C" w14:paraId="19213500" w14:textId="77777777" w:rsidTr="006F5861">
        <w:tc>
          <w:tcPr>
            <w:tcW w:w="2647" w:type="dxa"/>
          </w:tcPr>
          <w:p w14:paraId="192134FB" w14:textId="77777777" w:rsidR="00DE039C" w:rsidRPr="00DE039C" w:rsidRDefault="00DE039C" w:rsidP="00DE039C">
            <w:pPr>
              <w:tabs>
                <w:tab w:val="left" w:pos="384"/>
              </w:tabs>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Treatment rate</w:t>
            </w:r>
          </w:p>
        </w:tc>
        <w:tc>
          <w:tcPr>
            <w:tcW w:w="2693" w:type="dxa"/>
          </w:tcPr>
          <w:p w14:paraId="192134FC"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Share of patient with amyloid who have no contraindications and are treated</w:t>
            </w:r>
          </w:p>
        </w:tc>
        <w:tc>
          <w:tcPr>
            <w:tcW w:w="1843" w:type="dxa"/>
          </w:tcPr>
          <w:p w14:paraId="192134FD"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80%</w:t>
            </w:r>
          </w:p>
        </w:tc>
        <w:tc>
          <w:tcPr>
            <w:tcW w:w="1984" w:type="dxa"/>
          </w:tcPr>
          <w:p w14:paraId="192134FE"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Steering committee input</w:t>
            </w:r>
          </w:p>
        </w:tc>
      </w:tr>
      <w:tr w:rsidR="00DE039C" w14:paraId="19213507" w14:textId="77777777" w:rsidTr="006F5861">
        <w:tc>
          <w:tcPr>
            <w:tcW w:w="2647" w:type="dxa"/>
            <w:vMerge w:val="restart"/>
          </w:tcPr>
          <w:p w14:paraId="19213501" w14:textId="77777777" w:rsidR="00DE039C" w:rsidRPr="00DE039C" w:rsidRDefault="00DE039C" w:rsidP="00DE039C">
            <w:pPr>
              <w:widowControl w:val="0"/>
              <w:rPr>
                <w:rFonts w:asciiTheme="majorHAnsi" w:hAnsiTheme="majorHAnsi" w:cstheme="majorHAnsi"/>
                <w:b/>
                <w:color w:val="000000"/>
                <w:sz w:val="18"/>
                <w:szCs w:val="18"/>
              </w:rPr>
            </w:pPr>
            <w:r w:rsidRPr="00DE039C">
              <w:rPr>
                <w:rFonts w:asciiTheme="majorHAnsi" w:hAnsiTheme="majorHAnsi" w:cstheme="majorHAnsi"/>
                <w:b/>
                <w:color w:val="000000"/>
                <w:sz w:val="18"/>
                <w:szCs w:val="18"/>
              </w:rPr>
              <w:t>Market share</w:t>
            </w:r>
          </w:p>
          <w:p w14:paraId="19213502" w14:textId="77777777" w:rsidR="00DE039C" w:rsidRPr="00DE039C" w:rsidRDefault="00DE039C" w:rsidP="00DE039C">
            <w:pPr>
              <w:tabs>
                <w:tab w:val="left" w:pos="384"/>
              </w:tabs>
              <w:rPr>
                <w:rFonts w:asciiTheme="majorHAnsi" w:hAnsiTheme="majorHAnsi" w:cstheme="majorHAnsi"/>
                <w:b/>
                <w:color w:val="000000"/>
                <w:sz w:val="18"/>
                <w:szCs w:val="18"/>
              </w:rPr>
            </w:pPr>
          </w:p>
        </w:tc>
        <w:tc>
          <w:tcPr>
            <w:tcW w:w="2693" w:type="dxa"/>
          </w:tcPr>
          <w:p w14:paraId="19213503"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Proportion of patients receiving SC </w:t>
            </w:r>
          </w:p>
        </w:tc>
        <w:tc>
          <w:tcPr>
            <w:tcW w:w="1843" w:type="dxa"/>
          </w:tcPr>
          <w:p w14:paraId="19213504"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25%</w:t>
            </w:r>
          </w:p>
        </w:tc>
        <w:tc>
          <w:tcPr>
            <w:tcW w:w="1984" w:type="dxa"/>
          </w:tcPr>
          <w:p w14:paraId="19213505"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Steering committee input</w:t>
            </w:r>
          </w:p>
        </w:tc>
      </w:tr>
      <w:tr w:rsidR="00DE039C" w14:paraId="1921350E" w14:textId="77777777" w:rsidTr="006F5861">
        <w:tc>
          <w:tcPr>
            <w:tcW w:w="2647" w:type="dxa"/>
            <w:vMerge/>
          </w:tcPr>
          <w:p w14:paraId="19213508" w14:textId="77777777" w:rsidR="00DE039C" w:rsidRDefault="00DE039C" w:rsidP="00DE039C">
            <w:pPr>
              <w:widowControl w:val="0"/>
              <w:rPr>
                <w:b/>
                <w:color w:val="000000"/>
              </w:rPr>
            </w:pPr>
          </w:p>
        </w:tc>
        <w:tc>
          <w:tcPr>
            <w:tcW w:w="2693" w:type="dxa"/>
          </w:tcPr>
          <w:p w14:paraId="19213509"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Proportion of patients receiving IV administered products</w:t>
            </w:r>
          </w:p>
        </w:tc>
        <w:tc>
          <w:tcPr>
            <w:tcW w:w="1843" w:type="dxa"/>
          </w:tcPr>
          <w:p w14:paraId="1921350A"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75%</w:t>
            </w:r>
          </w:p>
        </w:tc>
        <w:tc>
          <w:tcPr>
            <w:tcW w:w="1984" w:type="dxa"/>
          </w:tcPr>
          <w:p w14:paraId="1921350B"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Steering committee input</w:t>
            </w:r>
          </w:p>
          <w:p w14:paraId="1921350C" w14:textId="77777777" w:rsidR="00DE039C" w:rsidRPr="00DE039C" w:rsidRDefault="00DE039C" w:rsidP="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(At the time data was collected, Sept 2022, only </w:t>
            </w:r>
            <w:proofErr w:type="spellStart"/>
            <w:r w:rsidRPr="00DE039C">
              <w:rPr>
                <w:rFonts w:asciiTheme="majorHAnsi" w:hAnsiTheme="majorHAnsi" w:cstheme="majorHAnsi"/>
                <w:bCs/>
                <w:color w:val="000000"/>
                <w:sz w:val="18"/>
                <w:szCs w:val="18"/>
              </w:rPr>
              <w:t>lecanemab</w:t>
            </w:r>
            <w:proofErr w:type="spellEnd"/>
            <w:r w:rsidRPr="00DE039C">
              <w:rPr>
                <w:rFonts w:asciiTheme="majorHAnsi" w:hAnsiTheme="majorHAnsi" w:cstheme="majorHAnsi"/>
                <w:bCs/>
                <w:color w:val="000000"/>
                <w:sz w:val="18"/>
                <w:szCs w:val="18"/>
              </w:rPr>
              <w:t xml:space="preserve"> had positive phase 3 data which led to the heavier weighting of this treatment)</w:t>
            </w:r>
          </w:p>
        </w:tc>
      </w:tr>
    </w:tbl>
    <w:p w14:paraId="1EED2958" w14:textId="77777777" w:rsidR="006F5861" w:rsidRPr="006F5861" w:rsidRDefault="006F5861" w:rsidP="006F5861">
      <w:pPr>
        <w:tabs>
          <w:tab w:val="left" w:pos="384"/>
        </w:tabs>
        <w:spacing w:after="0" w:line="240" w:lineRule="auto"/>
        <w:rPr>
          <w:i/>
          <w:iCs/>
          <w:sz w:val="18"/>
          <w:szCs w:val="18"/>
        </w:rPr>
      </w:pPr>
      <w:r w:rsidRPr="006F5861">
        <w:rPr>
          <w:i/>
          <w:iCs/>
          <w:sz w:val="18"/>
          <w:szCs w:val="18"/>
        </w:rPr>
        <w:t xml:space="preserve">Undiagnosed patients were divided into two groups; those with subjective memory symptoms (SMS) and those without. Patients without SMS were expected to undergo screening during their annual primary care visit.  In patients with SMS, the model accounted for an increased rate of screening proportional to an anticipated increase in care seeking behavior. Rates for new early AD due to dementia and MCI (based on prevalent undiagnosed patient population) were then applied to the total screened new patient population. All newly diagnosed patients were assumed to present in the mild stage of disease. </w:t>
      </w:r>
    </w:p>
    <w:p w14:paraId="1921350F" w14:textId="77777777" w:rsidR="00411BB9" w:rsidRDefault="00411BB9">
      <w:pPr>
        <w:rPr>
          <w:b/>
          <w:color w:val="000000"/>
        </w:rPr>
      </w:pPr>
    </w:p>
    <w:p w14:paraId="5DA9EA2D" w14:textId="77777777" w:rsidR="00EA4400" w:rsidRDefault="00EA4400">
      <w:pPr>
        <w:rPr>
          <w:b/>
          <w:color w:val="000000"/>
        </w:rPr>
      </w:pPr>
      <w:r>
        <w:rPr>
          <w:b/>
          <w:color w:val="000000"/>
        </w:rPr>
        <w:br w:type="page"/>
      </w:r>
    </w:p>
    <w:p w14:paraId="19213510" w14:textId="672D5496" w:rsidR="00411BB9" w:rsidRDefault="003B3739">
      <w:pPr>
        <w:spacing w:after="0"/>
        <w:rPr>
          <w:b/>
          <w:color w:val="000000"/>
        </w:rPr>
      </w:pPr>
      <w:r>
        <w:rPr>
          <w:b/>
          <w:color w:val="000000"/>
        </w:rPr>
        <w:lastRenderedPageBreak/>
        <w:t>Table S2. Model variables/assumptions for health care resources required</w:t>
      </w:r>
    </w:p>
    <w:tbl>
      <w:tblPr>
        <w:tblStyle w:val="a0"/>
        <w:tblW w:w="85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00" w:firstRow="0" w:lastRow="0" w:firstColumn="0" w:lastColumn="0" w:noHBand="0" w:noVBand="1"/>
      </w:tblPr>
      <w:tblGrid>
        <w:gridCol w:w="2505"/>
        <w:gridCol w:w="2126"/>
        <w:gridCol w:w="2074"/>
        <w:gridCol w:w="1870"/>
      </w:tblGrid>
      <w:tr w:rsidR="00DE039C" w14:paraId="19213517" w14:textId="77777777" w:rsidTr="006F5861">
        <w:tc>
          <w:tcPr>
            <w:tcW w:w="2505" w:type="dxa"/>
            <w:shd w:val="clear" w:color="auto" w:fill="BFBFBF" w:themeFill="background1" w:themeFillShade="BF"/>
          </w:tcPr>
          <w:p w14:paraId="19213511" w14:textId="540C94F7" w:rsidR="00DE039C" w:rsidRPr="005707F3" w:rsidRDefault="005707F3">
            <w:pPr>
              <w:tabs>
                <w:tab w:val="left" w:pos="384"/>
              </w:tabs>
              <w:rPr>
                <w:b/>
                <w:color w:val="000000"/>
              </w:rPr>
            </w:pPr>
            <w:r w:rsidRPr="005707F3">
              <w:rPr>
                <w:rFonts w:asciiTheme="majorHAnsi" w:hAnsiTheme="majorHAnsi" w:cstheme="majorHAnsi"/>
                <w:b/>
                <w:color w:val="000000"/>
                <w:sz w:val="18"/>
                <w:szCs w:val="18"/>
              </w:rPr>
              <w:t>Resources required  (per year)</w:t>
            </w:r>
          </w:p>
        </w:tc>
        <w:tc>
          <w:tcPr>
            <w:tcW w:w="2126" w:type="dxa"/>
            <w:shd w:val="clear" w:color="auto" w:fill="BFBFBF" w:themeFill="background1" w:themeFillShade="BF"/>
          </w:tcPr>
          <w:p w14:paraId="19213512" w14:textId="77777777" w:rsidR="00DE039C" w:rsidRPr="005707F3" w:rsidRDefault="00DE039C">
            <w:pPr>
              <w:tabs>
                <w:tab w:val="left" w:pos="384"/>
              </w:tabs>
              <w:rPr>
                <w:b/>
                <w:color w:val="000000"/>
                <w:sz w:val="18"/>
                <w:szCs w:val="18"/>
              </w:rPr>
            </w:pPr>
            <w:r w:rsidRPr="005707F3">
              <w:rPr>
                <w:b/>
                <w:color w:val="000000"/>
                <w:sz w:val="18"/>
                <w:szCs w:val="18"/>
              </w:rPr>
              <w:t>Variable</w:t>
            </w:r>
          </w:p>
        </w:tc>
        <w:tc>
          <w:tcPr>
            <w:tcW w:w="2074" w:type="dxa"/>
            <w:shd w:val="clear" w:color="auto" w:fill="BFBFBF" w:themeFill="background1" w:themeFillShade="BF"/>
          </w:tcPr>
          <w:p w14:paraId="19213513" w14:textId="77777777" w:rsidR="00DE039C" w:rsidRPr="005707F3" w:rsidRDefault="00DE039C">
            <w:pPr>
              <w:tabs>
                <w:tab w:val="left" w:pos="384"/>
              </w:tabs>
              <w:rPr>
                <w:b/>
                <w:color w:val="000000"/>
                <w:sz w:val="18"/>
                <w:szCs w:val="18"/>
              </w:rPr>
            </w:pPr>
            <w:r w:rsidRPr="005707F3">
              <w:rPr>
                <w:b/>
                <w:color w:val="000000"/>
                <w:sz w:val="18"/>
                <w:szCs w:val="18"/>
              </w:rPr>
              <w:t>Variable assumption</w:t>
            </w:r>
          </w:p>
        </w:tc>
        <w:tc>
          <w:tcPr>
            <w:tcW w:w="1870" w:type="dxa"/>
            <w:shd w:val="clear" w:color="auto" w:fill="BFBFBF" w:themeFill="background1" w:themeFillShade="BF"/>
          </w:tcPr>
          <w:p w14:paraId="19213514" w14:textId="77777777" w:rsidR="00DE039C" w:rsidRPr="005707F3" w:rsidRDefault="00DE039C">
            <w:pPr>
              <w:tabs>
                <w:tab w:val="left" w:pos="384"/>
              </w:tabs>
              <w:rPr>
                <w:b/>
                <w:color w:val="000000"/>
                <w:sz w:val="18"/>
                <w:szCs w:val="18"/>
              </w:rPr>
            </w:pPr>
            <w:r w:rsidRPr="005707F3">
              <w:rPr>
                <w:b/>
                <w:color w:val="000000"/>
                <w:sz w:val="18"/>
                <w:szCs w:val="18"/>
              </w:rPr>
              <w:t xml:space="preserve">Reference </w:t>
            </w:r>
          </w:p>
        </w:tc>
      </w:tr>
      <w:tr w:rsidR="00DE039C" w:rsidRPr="00AC5A79" w14:paraId="19213524" w14:textId="77777777" w:rsidTr="006F5861">
        <w:tc>
          <w:tcPr>
            <w:tcW w:w="2505" w:type="dxa"/>
          </w:tcPr>
          <w:p w14:paraId="1921351E"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Primary care provider</w:t>
            </w:r>
          </w:p>
        </w:tc>
        <w:tc>
          <w:tcPr>
            <w:tcW w:w="2126" w:type="dxa"/>
          </w:tcPr>
          <w:p w14:paraId="1921351F"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Screening: </w:t>
            </w:r>
          </w:p>
        </w:tc>
        <w:tc>
          <w:tcPr>
            <w:tcW w:w="2074" w:type="dxa"/>
          </w:tcPr>
          <w:p w14:paraId="19213520"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40 min</w:t>
            </w:r>
          </w:p>
        </w:tc>
        <w:tc>
          <w:tcPr>
            <w:tcW w:w="1870" w:type="dxa"/>
          </w:tcPr>
          <w:p w14:paraId="19213521" w14:textId="77777777" w:rsidR="00DE039C" w:rsidRPr="00DE039C" w:rsidRDefault="00AC5A79">
            <w:pPr>
              <w:tabs>
                <w:tab w:val="left" w:pos="384"/>
              </w:tabs>
              <w:rPr>
                <w:rFonts w:asciiTheme="majorHAnsi" w:hAnsiTheme="majorHAnsi" w:cstheme="majorHAnsi"/>
                <w:bCs/>
                <w:color w:val="000000"/>
                <w:sz w:val="18"/>
                <w:szCs w:val="18"/>
                <w:lang w:val="fr-CA"/>
              </w:rPr>
            </w:pPr>
            <w:r>
              <w:fldChar w:fldCharType="begin"/>
            </w:r>
            <w:r w:rsidRPr="00AC5A79">
              <w:rPr>
                <w:lang w:val="fr-CA"/>
                <w:rPrChange w:id="0" w:author="Stevie Kenyon" w:date="2023-07-05T22:17:00Z">
                  <w:rPr/>
                </w:rPrChange>
              </w:rPr>
              <w:instrText>HYPERLINK "https://alzheimersdisease.net/physical-neurological-exam"</w:instrText>
            </w:r>
            <w:r>
              <w:fldChar w:fldCharType="separate"/>
            </w:r>
            <w:r w:rsidR="00DE039C" w:rsidRPr="00DE039C">
              <w:rPr>
                <w:rFonts w:asciiTheme="majorHAnsi" w:hAnsiTheme="majorHAnsi" w:cstheme="majorHAnsi"/>
                <w:bCs/>
                <w:color w:val="000000"/>
                <w:sz w:val="18"/>
                <w:szCs w:val="18"/>
                <w:lang w:val="fr-CA"/>
              </w:rPr>
              <w:t>alzheimersdisease.net</w:t>
            </w:r>
            <w:r>
              <w:rPr>
                <w:rFonts w:asciiTheme="majorHAnsi" w:hAnsiTheme="majorHAnsi" w:cstheme="majorHAnsi"/>
                <w:bCs/>
                <w:color w:val="000000"/>
                <w:sz w:val="18"/>
                <w:szCs w:val="18"/>
                <w:lang w:val="fr-CA"/>
              </w:rPr>
              <w:fldChar w:fldCharType="end"/>
            </w:r>
            <w:r w:rsidR="00DE039C" w:rsidRPr="00DE039C">
              <w:rPr>
                <w:rFonts w:asciiTheme="majorHAnsi" w:hAnsiTheme="majorHAnsi" w:cstheme="majorHAnsi"/>
                <w:bCs/>
                <w:color w:val="000000"/>
                <w:sz w:val="18"/>
                <w:szCs w:val="18"/>
                <w:lang w:val="fr-CA"/>
              </w:rPr>
              <w:t>, 2019</w:t>
            </w:r>
          </w:p>
          <w:p w14:paraId="19213522" w14:textId="77777777" w:rsidR="00DE039C" w:rsidRPr="00DE039C" w:rsidRDefault="00AC5A79">
            <w:pPr>
              <w:tabs>
                <w:tab w:val="left" w:pos="384"/>
              </w:tabs>
              <w:rPr>
                <w:rFonts w:asciiTheme="majorHAnsi" w:hAnsiTheme="majorHAnsi" w:cstheme="majorHAnsi"/>
                <w:bCs/>
                <w:color w:val="000000"/>
                <w:sz w:val="18"/>
                <w:szCs w:val="18"/>
                <w:lang w:val="fr-CA"/>
              </w:rPr>
            </w:pPr>
            <w:r>
              <w:fldChar w:fldCharType="begin"/>
            </w:r>
            <w:r w:rsidRPr="00AC5A79">
              <w:rPr>
                <w:lang w:val="fr-CA"/>
                <w:rPrChange w:id="1" w:author="Stevie Kenyon" w:date="2023-07-05T22:17:00Z">
                  <w:rPr/>
                </w:rPrChange>
              </w:rPr>
              <w:instrText>HYPERLINK "https://pubmed.ncbi.nlm.nih.gov/34380424/"</w:instrText>
            </w:r>
            <w:r>
              <w:fldChar w:fldCharType="separate"/>
            </w:r>
            <w:r w:rsidR="00DE039C" w:rsidRPr="00DE039C">
              <w:rPr>
                <w:rFonts w:asciiTheme="majorHAnsi" w:hAnsiTheme="majorHAnsi" w:cstheme="majorHAnsi"/>
                <w:bCs/>
                <w:color w:val="000000"/>
                <w:sz w:val="18"/>
                <w:szCs w:val="18"/>
                <w:lang w:val="fr-CA"/>
              </w:rPr>
              <w:t>Fernandes et al., 2021</w:t>
            </w:r>
            <w:r>
              <w:rPr>
                <w:rFonts w:asciiTheme="majorHAnsi" w:hAnsiTheme="majorHAnsi" w:cstheme="majorHAnsi"/>
                <w:bCs/>
                <w:color w:val="000000"/>
                <w:sz w:val="18"/>
                <w:szCs w:val="18"/>
                <w:lang w:val="fr-CA"/>
              </w:rPr>
              <w:fldChar w:fldCharType="end"/>
            </w:r>
          </w:p>
        </w:tc>
      </w:tr>
      <w:tr w:rsidR="00DE039C" w:rsidRPr="00DE039C" w14:paraId="19213534" w14:textId="77777777" w:rsidTr="006F5861">
        <w:tc>
          <w:tcPr>
            <w:tcW w:w="2505" w:type="dxa"/>
          </w:tcPr>
          <w:p w14:paraId="19213525"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AD physician</w:t>
            </w:r>
          </w:p>
        </w:tc>
        <w:tc>
          <w:tcPr>
            <w:tcW w:w="2126" w:type="dxa"/>
          </w:tcPr>
          <w:p w14:paraId="19213526"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Diagnosis: </w:t>
            </w:r>
          </w:p>
          <w:p w14:paraId="19213527"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Eligibility: </w:t>
            </w:r>
          </w:p>
          <w:p w14:paraId="19213528"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SC titration: </w:t>
            </w:r>
          </w:p>
          <w:p w14:paraId="19213529"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IV: </w:t>
            </w:r>
          </w:p>
          <w:p w14:paraId="1921352A"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Monitoring: </w:t>
            </w:r>
          </w:p>
        </w:tc>
        <w:tc>
          <w:tcPr>
            <w:tcW w:w="2074" w:type="dxa"/>
          </w:tcPr>
          <w:p w14:paraId="1921352B" w14:textId="77777777" w:rsidR="00DE039C" w:rsidRPr="00DE039C" w:rsidRDefault="00DE039C">
            <w:pPr>
              <w:tabs>
                <w:tab w:val="left" w:pos="384"/>
              </w:tabs>
              <w:rPr>
                <w:rFonts w:asciiTheme="majorHAnsi" w:hAnsiTheme="majorHAnsi" w:cstheme="majorHAnsi"/>
                <w:bCs/>
                <w:color w:val="000000"/>
                <w:sz w:val="18"/>
                <w:szCs w:val="18"/>
                <w:lang w:val="fr-CA"/>
              </w:rPr>
            </w:pPr>
            <w:r w:rsidRPr="00DE039C">
              <w:rPr>
                <w:rFonts w:asciiTheme="majorHAnsi" w:hAnsiTheme="majorHAnsi" w:cstheme="majorHAnsi"/>
                <w:bCs/>
                <w:color w:val="000000"/>
                <w:sz w:val="18"/>
                <w:szCs w:val="18"/>
                <w:lang w:val="fr-CA"/>
              </w:rPr>
              <w:t>180 min</w:t>
            </w:r>
          </w:p>
          <w:p w14:paraId="1921352C" w14:textId="77777777" w:rsidR="00DE039C" w:rsidRPr="00DE039C" w:rsidRDefault="00DE039C">
            <w:pPr>
              <w:tabs>
                <w:tab w:val="left" w:pos="384"/>
              </w:tabs>
              <w:rPr>
                <w:rFonts w:asciiTheme="majorHAnsi" w:hAnsiTheme="majorHAnsi" w:cstheme="majorHAnsi"/>
                <w:bCs/>
                <w:color w:val="000000"/>
                <w:sz w:val="18"/>
                <w:szCs w:val="18"/>
                <w:lang w:val="fr-CA"/>
              </w:rPr>
            </w:pPr>
            <w:r w:rsidRPr="00DE039C">
              <w:rPr>
                <w:rFonts w:asciiTheme="majorHAnsi" w:hAnsiTheme="majorHAnsi" w:cstheme="majorHAnsi"/>
                <w:bCs/>
                <w:color w:val="000000"/>
                <w:sz w:val="18"/>
                <w:szCs w:val="18"/>
                <w:lang w:val="fr-CA"/>
              </w:rPr>
              <w:t>110 min</w:t>
            </w:r>
          </w:p>
          <w:p w14:paraId="1921352D" w14:textId="77777777" w:rsidR="00DE039C" w:rsidRPr="00DE039C" w:rsidRDefault="00DE039C">
            <w:pPr>
              <w:tabs>
                <w:tab w:val="left" w:pos="384"/>
              </w:tabs>
              <w:rPr>
                <w:rFonts w:asciiTheme="majorHAnsi" w:hAnsiTheme="majorHAnsi" w:cstheme="majorHAnsi"/>
                <w:bCs/>
                <w:color w:val="000000"/>
                <w:sz w:val="18"/>
                <w:szCs w:val="18"/>
                <w:lang w:val="fr-CA"/>
              </w:rPr>
            </w:pPr>
            <w:r w:rsidRPr="00DE039C">
              <w:rPr>
                <w:rFonts w:asciiTheme="majorHAnsi" w:hAnsiTheme="majorHAnsi" w:cstheme="majorHAnsi"/>
                <w:bCs/>
                <w:color w:val="000000"/>
                <w:sz w:val="18"/>
                <w:szCs w:val="18"/>
                <w:lang w:val="fr-CA"/>
              </w:rPr>
              <w:t>10 min x 4</w:t>
            </w:r>
          </w:p>
          <w:p w14:paraId="1921352E" w14:textId="77777777" w:rsidR="00DE039C" w:rsidRPr="00DE039C" w:rsidRDefault="00DE039C">
            <w:pPr>
              <w:tabs>
                <w:tab w:val="left" w:pos="384"/>
              </w:tabs>
              <w:rPr>
                <w:rFonts w:asciiTheme="majorHAnsi" w:hAnsiTheme="majorHAnsi" w:cstheme="majorHAnsi"/>
                <w:bCs/>
                <w:color w:val="000000"/>
                <w:sz w:val="18"/>
                <w:szCs w:val="18"/>
                <w:lang w:val="fr-CA"/>
              </w:rPr>
            </w:pPr>
            <w:r w:rsidRPr="00DE039C">
              <w:rPr>
                <w:rFonts w:asciiTheme="majorHAnsi" w:hAnsiTheme="majorHAnsi" w:cstheme="majorHAnsi"/>
                <w:bCs/>
                <w:color w:val="000000"/>
                <w:sz w:val="18"/>
                <w:szCs w:val="18"/>
                <w:lang w:val="fr-CA"/>
              </w:rPr>
              <w:t>10 min x 4</w:t>
            </w:r>
          </w:p>
          <w:p w14:paraId="1921352F"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70 min x 4</w:t>
            </w:r>
          </w:p>
        </w:tc>
        <w:tc>
          <w:tcPr>
            <w:tcW w:w="1870" w:type="dxa"/>
          </w:tcPr>
          <w:p w14:paraId="19213530" w14:textId="77777777" w:rsidR="00DE039C" w:rsidRPr="00DE039C" w:rsidRDefault="00AC5A79">
            <w:pPr>
              <w:tabs>
                <w:tab w:val="left" w:pos="384"/>
              </w:tabs>
              <w:rPr>
                <w:rFonts w:asciiTheme="majorHAnsi" w:hAnsiTheme="majorHAnsi" w:cstheme="majorHAnsi"/>
                <w:bCs/>
                <w:color w:val="000000"/>
                <w:sz w:val="18"/>
                <w:szCs w:val="18"/>
              </w:rPr>
            </w:pPr>
            <w:hyperlink r:id="rId25" w:history="1">
              <w:proofErr w:type="spellStart"/>
              <w:r w:rsidR="00DE039C" w:rsidRPr="00DE039C">
                <w:rPr>
                  <w:rFonts w:asciiTheme="majorHAnsi" w:hAnsiTheme="majorHAnsi" w:cstheme="majorHAnsi"/>
                  <w:bCs/>
                  <w:color w:val="000000"/>
                  <w:sz w:val="18"/>
                  <w:szCs w:val="18"/>
                </w:rPr>
                <w:t>Scharre</w:t>
              </w:r>
              <w:proofErr w:type="spellEnd"/>
              <w:r w:rsidR="00DE039C" w:rsidRPr="00DE039C">
                <w:rPr>
                  <w:rFonts w:asciiTheme="majorHAnsi" w:hAnsiTheme="majorHAnsi" w:cstheme="majorHAnsi"/>
                  <w:bCs/>
                  <w:color w:val="000000"/>
                  <w:sz w:val="18"/>
                  <w:szCs w:val="18"/>
                </w:rPr>
                <w:t>, 2019</w:t>
              </w:r>
            </w:hyperlink>
            <w:r w:rsidR="00DE039C" w:rsidRPr="00DE039C">
              <w:rPr>
                <w:rFonts w:asciiTheme="majorHAnsi" w:hAnsiTheme="majorHAnsi" w:cstheme="majorHAnsi"/>
                <w:bCs/>
                <w:color w:val="000000"/>
                <w:sz w:val="18"/>
                <w:szCs w:val="18"/>
              </w:rPr>
              <w:t xml:space="preserve"> </w:t>
            </w:r>
          </w:p>
          <w:p w14:paraId="19213531" w14:textId="77777777" w:rsidR="00DE039C" w:rsidRPr="00DE039C" w:rsidRDefault="00AC5A79">
            <w:pPr>
              <w:tabs>
                <w:tab w:val="left" w:pos="384"/>
              </w:tabs>
              <w:rPr>
                <w:rFonts w:asciiTheme="majorHAnsi" w:hAnsiTheme="majorHAnsi" w:cstheme="majorHAnsi"/>
                <w:bCs/>
                <w:color w:val="000000"/>
                <w:sz w:val="18"/>
                <w:szCs w:val="18"/>
              </w:rPr>
            </w:pPr>
            <w:hyperlink r:id="rId26" w:history="1">
              <w:r w:rsidR="00DE039C" w:rsidRPr="00DE039C">
                <w:rPr>
                  <w:rFonts w:asciiTheme="majorHAnsi" w:hAnsiTheme="majorHAnsi" w:cstheme="majorHAnsi"/>
                  <w:bCs/>
                  <w:color w:val="000000"/>
                  <w:sz w:val="18"/>
                  <w:szCs w:val="18"/>
                </w:rPr>
                <w:t>alzheimersdisease.net</w:t>
              </w:r>
            </w:hyperlink>
            <w:r w:rsidR="00DE039C" w:rsidRPr="00DE039C">
              <w:rPr>
                <w:rFonts w:asciiTheme="majorHAnsi" w:hAnsiTheme="majorHAnsi" w:cstheme="majorHAnsi"/>
                <w:bCs/>
                <w:color w:val="000000"/>
                <w:sz w:val="18"/>
                <w:szCs w:val="18"/>
              </w:rPr>
              <w:t>, 2019</w:t>
            </w:r>
          </w:p>
          <w:p w14:paraId="19213532" w14:textId="77777777" w:rsidR="00DE039C" w:rsidRPr="00DE039C" w:rsidRDefault="00AC5A79">
            <w:pPr>
              <w:tabs>
                <w:tab w:val="left" w:pos="384"/>
              </w:tabs>
              <w:rPr>
                <w:rFonts w:asciiTheme="majorHAnsi" w:hAnsiTheme="majorHAnsi" w:cstheme="majorHAnsi"/>
                <w:bCs/>
                <w:color w:val="000000"/>
                <w:sz w:val="18"/>
                <w:szCs w:val="18"/>
              </w:rPr>
            </w:pPr>
            <w:hyperlink r:id="rId27" w:history="1">
              <w:r w:rsidR="00DE039C" w:rsidRPr="00DE039C">
                <w:rPr>
                  <w:rFonts w:asciiTheme="majorHAnsi" w:hAnsiTheme="majorHAnsi" w:cstheme="majorHAnsi"/>
                  <w:bCs/>
                  <w:color w:val="000000"/>
                  <w:sz w:val="18"/>
                  <w:szCs w:val="18"/>
                </w:rPr>
                <w:t>Mayo Clinic</w:t>
              </w:r>
            </w:hyperlink>
          </w:p>
        </w:tc>
      </w:tr>
      <w:tr w:rsidR="00DE039C" w:rsidRPr="00DE039C" w14:paraId="19213543" w14:textId="77777777" w:rsidTr="006F5861">
        <w:tc>
          <w:tcPr>
            <w:tcW w:w="2505" w:type="dxa"/>
          </w:tcPr>
          <w:p w14:paraId="19213535"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Nurse</w:t>
            </w:r>
          </w:p>
        </w:tc>
        <w:tc>
          <w:tcPr>
            <w:tcW w:w="2126" w:type="dxa"/>
          </w:tcPr>
          <w:p w14:paraId="19213536"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Diagnosis: </w:t>
            </w:r>
          </w:p>
          <w:p w14:paraId="19213537"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Eligibility: </w:t>
            </w:r>
          </w:p>
          <w:p w14:paraId="19213538"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SC titration: </w:t>
            </w:r>
          </w:p>
          <w:p w14:paraId="19213539"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SC sustained: </w:t>
            </w:r>
          </w:p>
          <w:p w14:paraId="1921353A"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IV: </w:t>
            </w:r>
          </w:p>
        </w:tc>
        <w:tc>
          <w:tcPr>
            <w:tcW w:w="2074" w:type="dxa"/>
          </w:tcPr>
          <w:p w14:paraId="1921353B" w14:textId="77777777" w:rsidR="00DE039C" w:rsidRPr="00DE039C" w:rsidRDefault="00DE039C">
            <w:pPr>
              <w:tabs>
                <w:tab w:val="left" w:pos="384"/>
              </w:tabs>
              <w:rPr>
                <w:rFonts w:asciiTheme="majorHAnsi" w:hAnsiTheme="majorHAnsi" w:cstheme="majorHAnsi"/>
                <w:bCs/>
                <w:color w:val="000000"/>
                <w:sz w:val="18"/>
                <w:szCs w:val="18"/>
                <w:lang w:val="fr-CA"/>
              </w:rPr>
            </w:pPr>
            <w:r w:rsidRPr="00DE039C">
              <w:rPr>
                <w:rFonts w:asciiTheme="majorHAnsi" w:hAnsiTheme="majorHAnsi" w:cstheme="majorHAnsi"/>
                <w:bCs/>
                <w:color w:val="000000"/>
                <w:sz w:val="18"/>
                <w:szCs w:val="18"/>
                <w:lang w:val="fr-CA"/>
              </w:rPr>
              <w:t>15 min</w:t>
            </w:r>
          </w:p>
          <w:p w14:paraId="1084EDE5" w14:textId="77777777" w:rsidR="00CE2DA8" w:rsidRDefault="00CE2DA8">
            <w:pPr>
              <w:tabs>
                <w:tab w:val="left" w:pos="384"/>
              </w:tabs>
              <w:rPr>
                <w:rFonts w:asciiTheme="majorHAnsi" w:hAnsiTheme="majorHAnsi" w:cstheme="majorHAnsi"/>
                <w:bCs/>
                <w:color w:val="000000"/>
                <w:sz w:val="18"/>
                <w:szCs w:val="18"/>
                <w:lang w:val="fr-CA"/>
              </w:rPr>
            </w:pPr>
            <w:r w:rsidRPr="00CE2DA8">
              <w:rPr>
                <w:rFonts w:asciiTheme="majorHAnsi" w:hAnsiTheme="majorHAnsi" w:cstheme="majorHAnsi"/>
                <w:bCs/>
                <w:color w:val="000000"/>
                <w:sz w:val="18"/>
                <w:szCs w:val="18"/>
                <w:lang w:val="fr-CA"/>
              </w:rPr>
              <w:t>5 min CSF / 30 min PET</w:t>
            </w:r>
          </w:p>
          <w:p w14:paraId="1921353D" w14:textId="594D961E" w:rsidR="00DE039C" w:rsidRPr="00DE039C" w:rsidRDefault="00DE039C">
            <w:pPr>
              <w:tabs>
                <w:tab w:val="left" w:pos="384"/>
              </w:tabs>
              <w:rPr>
                <w:rFonts w:asciiTheme="majorHAnsi" w:hAnsiTheme="majorHAnsi" w:cstheme="majorHAnsi"/>
                <w:bCs/>
                <w:color w:val="000000"/>
                <w:sz w:val="18"/>
                <w:szCs w:val="18"/>
                <w:lang w:val="fr-CA"/>
              </w:rPr>
            </w:pPr>
            <w:r w:rsidRPr="00DE039C">
              <w:rPr>
                <w:rFonts w:asciiTheme="majorHAnsi" w:hAnsiTheme="majorHAnsi" w:cstheme="majorHAnsi"/>
                <w:bCs/>
                <w:color w:val="000000"/>
                <w:sz w:val="18"/>
                <w:szCs w:val="18"/>
                <w:lang w:val="fr-CA"/>
              </w:rPr>
              <w:t>50 min x 4</w:t>
            </w:r>
          </w:p>
          <w:p w14:paraId="1921353E" w14:textId="77777777" w:rsidR="00DE039C" w:rsidRPr="00DE039C" w:rsidRDefault="00DE039C">
            <w:pPr>
              <w:tabs>
                <w:tab w:val="left" w:pos="384"/>
              </w:tabs>
              <w:rPr>
                <w:rFonts w:asciiTheme="majorHAnsi" w:hAnsiTheme="majorHAnsi" w:cstheme="majorHAnsi"/>
                <w:bCs/>
                <w:color w:val="000000"/>
                <w:sz w:val="18"/>
                <w:szCs w:val="18"/>
                <w:lang w:val="fr-CA"/>
              </w:rPr>
            </w:pPr>
            <w:r w:rsidRPr="00DE039C">
              <w:rPr>
                <w:rFonts w:asciiTheme="majorHAnsi" w:hAnsiTheme="majorHAnsi" w:cstheme="majorHAnsi"/>
                <w:bCs/>
                <w:color w:val="000000"/>
                <w:sz w:val="18"/>
                <w:szCs w:val="18"/>
                <w:lang w:val="fr-CA"/>
              </w:rPr>
              <w:t>27.5 min x 14</w:t>
            </w:r>
          </w:p>
          <w:p w14:paraId="1921353F"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100 min x 14 or 28</w:t>
            </w:r>
          </w:p>
        </w:tc>
        <w:tc>
          <w:tcPr>
            <w:tcW w:w="1870" w:type="dxa"/>
          </w:tcPr>
          <w:p w14:paraId="19213540" w14:textId="77777777" w:rsidR="00DE039C" w:rsidRPr="00DE039C" w:rsidRDefault="00AC5A79">
            <w:pPr>
              <w:tabs>
                <w:tab w:val="left" w:pos="384"/>
              </w:tabs>
              <w:rPr>
                <w:rFonts w:asciiTheme="majorHAnsi" w:hAnsiTheme="majorHAnsi" w:cstheme="majorHAnsi"/>
                <w:bCs/>
                <w:color w:val="000000"/>
                <w:sz w:val="18"/>
                <w:szCs w:val="18"/>
              </w:rPr>
            </w:pPr>
            <w:hyperlink r:id="rId28" w:history="1">
              <w:r w:rsidR="00DE039C" w:rsidRPr="00DE039C">
                <w:rPr>
                  <w:rFonts w:asciiTheme="majorHAnsi" w:hAnsiTheme="majorHAnsi" w:cstheme="majorHAnsi"/>
                  <w:bCs/>
                  <w:color w:val="000000"/>
                  <w:sz w:val="18"/>
                  <w:szCs w:val="18"/>
                </w:rPr>
                <w:t>Mayo Clinic</w:t>
              </w:r>
            </w:hyperlink>
          </w:p>
          <w:p w14:paraId="19213541"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Cock et al., 2016</w:t>
            </w:r>
          </w:p>
        </w:tc>
      </w:tr>
      <w:tr w:rsidR="00DE039C" w:rsidRPr="00AC5A79" w14:paraId="1921354D" w14:textId="77777777" w:rsidTr="006F5861">
        <w:tc>
          <w:tcPr>
            <w:tcW w:w="2505" w:type="dxa"/>
          </w:tcPr>
          <w:p w14:paraId="19213544"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Pharmacist</w:t>
            </w:r>
          </w:p>
        </w:tc>
        <w:tc>
          <w:tcPr>
            <w:tcW w:w="2126" w:type="dxa"/>
          </w:tcPr>
          <w:p w14:paraId="19213545"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SC titration: </w:t>
            </w:r>
          </w:p>
          <w:p w14:paraId="19213546"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SC sustained: </w:t>
            </w:r>
          </w:p>
          <w:p w14:paraId="19213547"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IV: </w:t>
            </w:r>
          </w:p>
        </w:tc>
        <w:tc>
          <w:tcPr>
            <w:tcW w:w="2074" w:type="dxa"/>
          </w:tcPr>
          <w:p w14:paraId="19213548" w14:textId="77777777" w:rsidR="00DE039C" w:rsidRPr="00DE039C" w:rsidRDefault="00DE039C">
            <w:pPr>
              <w:tabs>
                <w:tab w:val="left" w:pos="384"/>
              </w:tabs>
              <w:rPr>
                <w:rFonts w:asciiTheme="majorHAnsi" w:hAnsiTheme="majorHAnsi" w:cstheme="majorHAnsi"/>
                <w:bCs/>
                <w:color w:val="000000"/>
                <w:sz w:val="18"/>
                <w:szCs w:val="18"/>
                <w:lang w:val="fr-CA"/>
              </w:rPr>
            </w:pPr>
            <w:r w:rsidRPr="00DE039C">
              <w:rPr>
                <w:rFonts w:asciiTheme="majorHAnsi" w:hAnsiTheme="majorHAnsi" w:cstheme="majorHAnsi"/>
                <w:bCs/>
                <w:color w:val="000000"/>
                <w:sz w:val="18"/>
                <w:szCs w:val="18"/>
                <w:lang w:val="fr-CA"/>
              </w:rPr>
              <w:t>20 min x 3</w:t>
            </w:r>
          </w:p>
          <w:p w14:paraId="0A2B4261" w14:textId="77777777" w:rsidR="006113EA" w:rsidRDefault="00DE039C" w:rsidP="006113EA">
            <w:pPr>
              <w:tabs>
                <w:tab w:val="left" w:pos="384"/>
              </w:tabs>
              <w:rPr>
                <w:rFonts w:asciiTheme="majorHAnsi" w:hAnsiTheme="majorHAnsi" w:cstheme="majorHAnsi"/>
                <w:bCs/>
                <w:color w:val="000000"/>
                <w:sz w:val="18"/>
                <w:szCs w:val="18"/>
                <w:lang w:val="fr-CA"/>
              </w:rPr>
            </w:pPr>
            <w:r w:rsidRPr="00DE039C">
              <w:rPr>
                <w:rFonts w:asciiTheme="majorHAnsi" w:hAnsiTheme="majorHAnsi" w:cstheme="majorHAnsi"/>
                <w:bCs/>
                <w:color w:val="000000"/>
                <w:sz w:val="18"/>
                <w:szCs w:val="18"/>
                <w:lang w:val="fr-CA"/>
              </w:rPr>
              <w:t xml:space="preserve">20 min x </w:t>
            </w:r>
            <w:r w:rsidR="006113EA">
              <w:rPr>
                <w:rFonts w:asciiTheme="majorHAnsi" w:hAnsiTheme="majorHAnsi" w:cstheme="majorHAnsi"/>
                <w:bCs/>
                <w:color w:val="000000"/>
                <w:sz w:val="18"/>
                <w:szCs w:val="18"/>
                <w:lang w:val="fr-CA"/>
              </w:rPr>
              <w:t>4</w:t>
            </w:r>
          </w:p>
          <w:p w14:paraId="1921354A" w14:textId="36BCF5B7" w:rsidR="00DE039C" w:rsidRPr="00DE039C" w:rsidRDefault="00DE039C" w:rsidP="006113EA">
            <w:pPr>
              <w:tabs>
                <w:tab w:val="left" w:pos="384"/>
              </w:tabs>
              <w:rPr>
                <w:rFonts w:asciiTheme="majorHAnsi" w:hAnsiTheme="majorHAnsi" w:cstheme="majorHAnsi"/>
                <w:bCs/>
                <w:color w:val="000000"/>
                <w:sz w:val="18"/>
                <w:szCs w:val="18"/>
                <w:lang w:val="fr-CA"/>
              </w:rPr>
            </w:pPr>
            <w:r w:rsidRPr="00DE039C">
              <w:rPr>
                <w:rFonts w:asciiTheme="majorHAnsi" w:hAnsiTheme="majorHAnsi" w:cstheme="majorHAnsi"/>
                <w:bCs/>
                <w:color w:val="000000"/>
                <w:sz w:val="18"/>
                <w:szCs w:val="18"/>
                <w:lang w:val="fr-CA"/>
              </w:rPr>
              <w:t>20 min x 4 or 8</w:t>
            </w:r>
          </w:p>
        </w:tc>
        <w:tc>
          <w:tcPr>
            <w:tcW w:w="1870" w:type="dxa"/>
          </w:tcPr>
          <w:p w14:paraId="1921354B" w14:textId="77777777" w:rsidR="00DE039C" w:rsidRPr="00DE039C" w:rsidRDefault="00DE039C">
            <w:pPr>
              <w:tabs>
                <w:tab w:val="left" w:pos="384"/>
              </w:tabs>
              <w:rPr>
                <w:rFonts w:asciiTheme="majorHAnsi" w:hAnsiTheme="majorHAnsi" w:cstheme="majorHAnsi"/>
                <w:bCs/>
                <w:color w:val="000000"/>
                <w:sz w:val="18"/>
                <w:szCs w:val="18"/>
                <w:lang w:val="fr-CA"/>
              </w:rPr>
            </w:pPr>
          </w:p>
        </w:tc>
      </w:tr>
      <w:tr w:rsidR="00DE039C" w:rsidRPr="00DE039C" w14:paraId="19213557" w14:textId="77777777" w:rsidTr="006F5861">
        <w:tc>
          <w:tcPr>
            <w:tcW w:w="2505" w:type="dxa"/>
          </w:tcPr>
          <w:p w14:paraId="1921354E"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Imaging specialist (nuclear medicine / radiologist)</w:t>
            </w:r>
          </w:p>
        </w:tc>
        <w:tc>
          <w:tcPr>
            <w:tcW w:w="2126" w:type="dxa"/>
          </w:tcPr>
          <w:p w14:paraId="1921354F"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Diagnosis: </w:t>
            </w:r>
          </w:p>
          <w:p w14:paraId="19213550"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Eligibility: </w:t>
            </w:r>
          </w:p>
          <w:p w14:paraId="19213551"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Monitoring: </w:t>
            </w:r>
          </w:p>
        </w:tc>
        <w:tc>
          <w:tcPr>
            <w:tcW w:w="2074" w:type="dxa"/>
          </w:tcPr>
          <w:p w14:paraId="19213552"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20 min</w:t>
            </w:r>
          </w:p>
          <w:p w14:paraId="19213553"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45 min</w:t>
            </w:r>
          </w:p>
          <w:p w14:paraId="19213554" w14:textId="385704E2"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20 min x 3</w:t>
            </w:r>
          </w:p>
        </w:tc>
        <w:tc>
          <w:tcPr>
            <w:tcW w:w="1870" w:type="dxa"/>
          </w:tcPr>
          <w:p w14:paraId="19213555" w14:textId="77777777" w:rsidR="00DE039C" w:rsidRPr="00DE039C" w:rsidRDefault="00DE039C">
            <w:pPr>
              <w:tabs>
                <w:tab w:val="left" w:pos="384"/>
              </w:tabs>
              <w:rPr>
                <w:rFonts w:asciiTheme="majorHAnsi" w:hAnsiTheme="majorHAnsi" w:cstheme="majorHAnsi"/>
                <w:bCs/>
                <w:color w:val="000000"/>
                <w:sz w:val="18"/>
                <w:szCs w:val="18"/>
              </w:rPr>
            </w:pPr>
          </w:p>
        </w:tc>
      </w:tr>
      <w:tr w:rsidR="00DE039C" w:rsidRPr="00DE039C" w14:paraId="19213561" w14:textId="77777777" w:rsidTr="006F5861">
        <w:tc>
          <w:tcPr>
            <w:tcW w:w="2505" w:type="dxa"/>
          </w:tcPr>
          <w:p w14:paraId="19213558"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Technologist</w:t>
            </w:r>
          </w:p>
        </w:tc>
        <w:tc>
          <w:tcPr>
            <w:tcW w:w="2126" w:type="dxa"/>
          </w:tcPr>
          <w:p w14:paraId="19213559"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Diagnosis: </w:t>
            </w:r>
          </w:p>
          <w:p w14:paraId="1921355A"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Eligibility: </w:t>
            </w:r>
          </w:p>
          <w:p w14:paraId="1921355B"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Monitoring: </w:t>
            </w:r>
          </w:p>
        </w:tc>
        <w:tc>
          <w:tcPr>
            <w:tcW w:w="2074" w:type="dxa"/>
          </w:tcPr>
          <w:p w14:paraId="1921355C"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30 min</w:t>
            </w:r>
          </w:p>
          <w:p w14:paraId="1921355D"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35 min</w:t>
            </w:r>
          </w:p>
          <w:p w14:paraId="1921355E" w14:textId="4B9FF464"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30 min x 3</w:t>
            </w:r>
          </w:p>
        </w:tc>
        <w:tc>
          <w:tcPr>
            <w:tcW w:w="1870" w:type="dxa"/>
          </w:tcPr>
          <w:p w14:paraId="1921355F" w14:textId="77777777" w:rsidR="00DE039C" w:rsidRPr="00DE039C" w:rsidRDefault="00DE039C">
            <w:pPr>
              <w:tabs>
                <w:tab w:val="left" w:pos="384"/>
              </w:tabs>
              <w:rPr>
                <w:rFonts w:asciiTheme="majorHAnsi" w:hAnsiTheme="majorHAnsi" w:cstheme="majorHAnsi"/>
                <w:bCs/>
                <w:color w:val="000000"/>
                <w:sz w:val="18"/>
                <w:szCs w:val="18"/>
              </w:rPr>
            </w:pPr>
          </w:p>
        </w:tc>
      </w:tr>
      <w:tr w:rsidR="00DE039C" w:rsidRPr="00DE039C" w14:paraId="19213569" w14:textId="77777777" w:rsidTr="006F5861">
        <w:tc>
          <w:tcPr>
            <w:tcW w:w="2505" w:type="dxa"/>
          </w:tcPr>
          <w:p w14:paraId="19213562"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MRI</w:t>
            </w:r>
          </w:p>
        </w:tc>
        <w:tc>
          <w:tcPr>
            <w:tcW w:w="2126" w:type="dxa"/>
          </w:tcPr>
          <w:p w14:paraId="19213563"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Diagnosis: </w:t>
            </w:r>
          </w:p>
          <w:p w14:paraId="19213564"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Monitoring: </w:t>
            </w:r>
          </w:p>
        </w:tc>
        <w:tc>
          <w:tcPr>
            <w:tcW w:w="2074" w:type="dxa"/>
          </w:tcPr>
          <w:p w14:paraId="19213565"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1 slot</w:t>
            </w:r>
          </w:p>
          <w:p w14:paraId="19213566" w14:textId="6B3E2F0D"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1 slot x 3</w:t>
            </w:r>
          </w:p>
        </w:tc>
        <w:tc>
          <w:tcPr>
            <w:tcW w:w="1870" w:type="dxa"/>
          </w:tcPr>
          <w:p w14:paraId="19213567" w14:textId="77777777" w:rsidR="00DE039C" w:rsidRPr="00DE039C" w:rsidRDefault="00DE039C">
            <w:pPr>
              <w:tabs>
                <w:tab w:val="left" w:pos="384"/>
              </w:tabs>
              <w:rPr>
                <w:rFonts w:asciiTheme="majorHAnsi" w:hAnsiTheme="majorHAnsi" w:cstheme="majorHAnsi"/>
                <w:bCs/>
                <w:color w:val="000000"/>
                <w:sz w:val="18"/>
                <w:szCs w:val="18"/>
              </w:rPr>
            </w:pPr>
          </w:p>
        </w:tc>
      </w:tr>
      <w:tr w:rsidR="00DE039C" w:rsidRPr="00DE039C" w14:paraId="1921356F" w14:textId="77777777" w:rsidTr="006F5861">
        <w:tc>
          <w:tcPr>
            <w:tcW w:w="2505" w:type="dxa"/>
          </w:tcPr>
          <w:p w14:paraId="1921356A"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PET scan</w:t>
            </w:r>
          </w:p>
        </w:tc>
        <w:tc>
          <w:tcPr>
            <w:tcW w:w="2126" w:type="dxa"/>
          </w:tcPr>
          <w:p w14:paraId="1921356B"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 xml:space="preserve">Eligibility: </w:t>
            </w:r>
          </w:p>
        </w:tc>
        <w:tc>
          <w:tcPr>
            <w:tcW w:w="2074" w:type="dxa"/>
          </w:tcPr>
          <w:p w14:paraId="1921356C"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1 slot</w:t>
            </w:r>
          </w:p>
        </w:tc>
        <w:tc>
          <w:tcPr>
            <w:tcW w:w="1870" w:type="dxa"/>
          </w:tcPr>
          <w:p w14:paraId="1921356D" w14:textId="77777777" w:rsidR="00DE039C" w:rsidRPr="00DE039C" w:rsidRDefault="00DE039C">
            <w:pPr>
              <w:tabs>
                <w:tab w:val="left" w:pos="384"/>
              </w:tabs>
              <w:rPr>
                <w:rFonts w:asciiTheme="majorHAnsi" w:hAnsiTheme="majorHAnsi" w:cstheme="majorHAnsi"/>
                <w:bCs/>
                <w:color w:val="000000"/>
                <w:sz w:val="18"/>
                <w:szCs w:val="18"/>
              </w:rPr>
            </w:pPr>
          </w:p>
        </w:tc>
      </w:tr>
      <w:tr w:rsidR="00DE039C" w:rsidRPr="00DE039C" w14:paraId="19213575" w14:textId="77777777" w:rsidTr="006F5861">
        <w:tc>
          <w:tcPr>
            <w:tcW w:w="2505" w:type="dxa"/>
            <w:shd w:val="clear" w:color="auto" w:fill="BFBFBF" w:themeFill="background1" w:themeFillShade="BF"/>
          </w:tcPr>
          <w:p w14:paraId="19213570"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Other</w:t>
            </w:r>
          </w:p>
        </w:tc>
        <w:tc>
          <w:tcPr>
            <w:tcW w:w="2126" w:type="dxa"/>
            <w:shd w:val="clear" w:color="auto" w:fill="BFBFBF" w:themeFill="background1" w:themeFillShade="BF"/>
          </w:tcPr>
          <w:p w14:paraId="19213571" w14:textId="77777777" w:rsidR="00DE039C" w:rsidRPr="00DE039C" w:rsidRDefault="00DE039C">
            <w:pPr>
              <w:tabs>
                <w:tab w:val="left" w:pos="384"/>
              </w:tabs>
              <w:rPr>
                <w:rFonts w:asciiTheme="majorHAnsi" w:hAnsiTheme="majorHAnsi" w:cstheme="majorHAnsi"/>
                <w:bCs/>
                <w:color w:val="000000"/>
                <w:sz w:val="18"/>
                <w:szCs w:val="18"/>
              </w:rPr>
            </w:pPr>
          </w:p>
        </w:tc>
        <w:tc>
          <w:tcPr>
            <w:tcW w:w="2074" w:type="dxa"/>
            <w:shd w:val="clear" w:color="auto" w:fill="BFBFBF" w:themeFill="background1" w:themeFillShade="BF"/>
          </w:tcPr>
          <w:p w14:paraId="19213572" w14:textId="77777777" w:rsidR="00DE039C" w:rsidRPr="00DE039C" w:rsidRDefault="00DE039C">
            <w:pPr>
              <w:tabs>
                <w:tab w:val="left" w:pos="384"/>
              </w:tabs>
              <w:rPr>
                <w:rFonts w:asciiTheme="majorHAnsi" w:hAnsiTheme="majorHAnsi" w:cstheme="majorHAnsi"/>
                <w:bCs/>
                <w:color w:val="000000"/>
                <w:sz w:val="18"/>
                <w:szCs w:val="18"/>
              </w:rPr>
            </w:pPr>
          </w:p>
        </w:tc>
        <w:tc>
          <w:tcPr>
            <w:tcW w:w="1870" w:type="dxa"/>
            <w:shd w:val="clear" w:color="auto" w:fill="BFBFBF" w:themeFill="background1" w:themeFillShade="BF"/>
          </w:tcPr>
          <w:p w14:paraId="19213573" w14:textId="77777777" w:rsidR="00DE039C" w:rsidRPr="00DE039C" w:rsidRDefault="00DE039C">
            <w:pPr>
              <w:tabs>
                <w:tab w:val="left" w:pos="384"/>
              </w:tabs>
              <w:rPr>
                <w:rFonts w:asciiTheme="majorHAnsi" w:hAnsiTheme="majorHAnsi" w:cstheme="majorHAnsi"/>
                <w:bCs/>
                <w:color w:val="000000"/>
                <w:sz w:val="18"/>
                <w:szCs w:val="18"/>
              </w:rPr>
            </w:pPr>
          </w:p>
        </w:tc>
      </w:tr>
      <w:tr w:rsidR="00DE039C" w:rsidRPr="00DE039C" w14:paraId="1921357B" w14:textId="77777777" w:rsidTr="006F5861">
        <w:tc>
          <w:tcPr>
            <w:tcW w:w="2505" w:type="dxa"/>
          </w:tcPr>
          <w:p w14:paraId="19213576"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 Patients supervised by the same nurse during infusions</w:t>
            </w:r>
          </w:p>
        </w:tc>
        <w:tc>
          <w:tcPr>
            <w:tcW w:w="2126" w:type="dxa"/>
          </w:tcPr>
          <w:p w14:paraId="19213577" w14:textId="77777777" w:rsidR="00DE039C" w:rsidRPr="00DE039C" w:rsidRDefault="00DE039C">
            <w:pPr>
              <w:tabs>
                <w:tab w:val="left" w:pos="384"/>
              </w:tabs>
              <w:rPr>
                <w:rFonts w:asciiTheme="majorHAnsi" w:hAnsiTheme="majorHAnsi" w:cstheme="majorHAnsi"/>
                <w:bCs/>
                <w:color w:val="000000"/>
                <w:sz w:val="18"/>
                <w:szCs w:val="18"/>
              </w:rPr>
            </w:pPr>
          </w:p>
        </w:tc>
        <w:tc>
          <w:tcPr>
            <w:tcW w:w="2074" w:type="dxa"/>
          </w:tcPr>
          <w:p w14:paraId="19213578"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8</w:t>
            </w:r>
          </w:p>
        </w:tc>
        <w:tc>
          <w:tcPr>
            <w:tcW w:w="1870" w:type="dxa"/>
          </w:tcPr>
          <w:p w14:paraId="19213579" w14:textId="77777777" w:rsidR="00DE039C" w:rsidRPr="00DE039C" w:rsidRDefault="00DE039C">
            <w:pPr>
              <w:tabs>
                <w:tab w:val="left" w:pos="384"/>
              </w:tabs>
              <w:rPr>
                <w:rFonts w:asciiTheme="majorHAnsi" w:hAnsiTheme="majorHAnsi" w:cstheme="majorHAnsi"/>
                <w:bCs/>
                <w:color w:val="000000"/>
                <w:sz w:val="18"/>
                <w:szCs w:val="18"/>
              </w:rPr>
            </w:pPr>
          </w:p>
        </w:tc>
      </w:tr>
      <w:tr w:rsidR="00DE039C" w:rsidRPr="00DE039C" w14:paraId="19213581" w14:textId="77777777" w:rsidTr="006F5861">
        <w:tc>
          <w:tcPr>
            <w:tcW w:w="2505" w:type="dxa"/>
          </w:tcPr>
          <w:p w14:paraId="1921357C"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 Patients receiving CSF Aβ testing vs. PET Aβ testing</w:t>
            </w:r>
          </w:p>
        </w:tc>
        <w:tc>
          <w:tcPr>
            <w:tcW w:w="2126" w:type="dxa"/>
          </w:tcPr>
          <w:p w14:paraId="1921357D" w14:textId="77777777" w:rsidR="00DE039C" w:rsidRPr="00DE039C" w:rsidRDefault="00DE039C">
            <w:pPr>
              <w:tabs>
                <w:tab w:val="left" w:pos="384"/>
              </w:tabs>
              <w:rPr>
                <w:rFonts w:asciiTheme="majorHAnsi" w:hAnsiTheme="majorHAnsi" w:cstheme="majorHAnsi"/>
                <w:bCs/>
                <w:color w:val="000000"/>
                <w:sz w:val="18"/>
                <w:szCs w:val="18"/>
              </w:rPr>
            </w:pPr>
          </w:p>
        </w:tc>
        <w:tc>
          <w:tcPr>
            <w:tcW w:w="2074" w:type="dxa"/>
          </w:tcPr>
          <w:p w14:paraId="1921357E"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50% / 50%</w:t>
            </w:r>
          </w:p>
        </w:tc>
        <w:tc>
          <w:tcPr>
            <w:tcW w:w="1870" w:type="dxa"/>
          </w:tcPr>
          <w:p w14:paraId="1921357F" w14:textId="77777777" w:rsidR="00DE039C" w:rsidRPr="00DE039C" w:rsidRDefault="00DE039C">
            <w:pPr>
              <w:tabs>
                <w:tab w:val="left" w:pos="384"/>
              </w:tabs>
              <w:rPr>
                <w:rFonts w:asciiTheme="majorHAnsi" w:hAnsiTheme="majorHAnsi" w:cstheme="majorHAnsi"/>
                <w:bCs/>
                <w:color w:val="000000"/>
                <w:sz w:val="18"/>
                <w:szCs w:val="18"/>
              </w:rPr>
            </w:pPr>
          </w:p>
        </w:tc>
      </w:tr>
      <w:tr w:rsidR="00DE039C" w:rsidRPr="00DE039C" w14:paraId="19213594" w14:textId="77777777" w:rsidTr="006F5861">
        <w:tc>
          <w:tcPr>
            <w:tcW w:w="2505" w:type="dxa"/>
          </w:tcPr>
          <w:p w14:paraId="1921358F"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 Patients experiencing ARIA-E for SC</w:t>
            </w:r>
            <w:r w:rsidRPr="005707F3">
              <w:rPr>
                <w:rFonts w:asciiTheme="majorHAnsi" w:hAnsiTheme="majorHAnsi" w:cstheme="majorHAnsi"/>
                <w:b/>
                <w:color w:val="000000"/>
                <w:sz w:val="18"/>
                <w:szCs w:val="18"/>
              </w:rPr>
              <w:tab/>
            </w:r>
            <w:r w:rsidRPr="005707F3">
              <w:rPr>
                <w:rFonts w:asciiTheme="majorHAnsi" w:hAnsiTheme="majorHAnsi" w:cstheme="majorHAnsi"/>
                <w:b/>
                <w:color w:val="000000"/>
                <w:sz w:val="18"/>
                <w:szCs w:val="18"/>
              </w:rPr>
              <w:tab/>
            </w:r>
          </w:p>
        </w:tc>
        <w:tc>
          <w:tcPr>
            <w:tcW w:w="2126" w:type="dxa"/>
          </w:tcPr>
          <w:p w14:paraId="19213590" w14:textId="77777777" w:rsidR="00DE039C" w:rsidRPr="00DE039C" w:rsidRDefault="00DE039C">
            <w:pPr>
              <w:tabs>
                <w:tab w:val="left" w:pos="384"/>
              </w:tabs>
              <w:spacing w:line="276" w:lineRule="auto"/>
              <w:rPr>
                <w:rFonts w:asciiTheme="majorHAnsi" w:hAnsiTheme="majorHAnsi" w:cstheme="majorHAnsi"/>
                <w:bCs/>
                <w:color w:val="000000"/>
                <w:sz w:val="18"/>
                <w:szCs w:val="18"/>
              </w:rPr>
            </w:pPr>
          </w:p>
        </w:tc>
        <w:tc>
          <w:tcPr>
            <w:tcW w:w="2074" w:type="dxa"/>
          </w:tcPr>
          <w:p w14:paraId="19213591"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25%</w:t>
            </w:r>
          </w:p>
        </w:tc>
        <w:tc>
          <w:tcPr>
            <w:tcW w:w="1870" w:type="dxa"/>
          </w:tcPr>
          <w:p w14:paraId="19213592" w14:textId="6ED43B9D" w:rsidR="00DE039C" w:rsidRPr="00DE039C" w:rsidRDefault="00FB620F">
            <w:pPr>
              <w:tabs>
                <w:tab w:val="left" w:pos="384"/>
              </w:tabs>
              <w:rPr>
                <w:rFonts w:asciiTheme="majorHAnsi" w:hAnsiTheme="majorHAnsi" w:cstheme="majorHAnsi"/>
                <w:bCs/>
                <w:color w:val="000000"/>
                <w:sz w:val="18"/>
                <w:szCs w:val="18"/>
              </w:rPr>
            </w:pPr>
            <w:r w:rsidRPr="00FB620F">
              <w:rPr>
                <w:rFonts w:asciiTheme="majorHAnsi" w:hAnsiTheme="majorHAnsi" w:cstheme="majorHAnsi"/>
                <w:bCs/>
                <w:color w:val="000000"/>
                <w:sz w:val="18"/>
                <w:szCs w:val="18"/>
              </w:rPr>
              <w:t>R. Bateman et al. Topline results of phase III GRADUATE I &amp; II pivotal trials with subcutaneous gantenerumab. Oral Presentation at CTAD 2022</w:t>
            </w:r>
          </w:p>
        </w:tc>
      </w:tr>
      <w:tr w:rsidR="00DE039C" w:rsidRPr="008D05A6" w14:paraId="1921359A" w14:textId="77777777" w:rsidTr="006F5861">
        <w:tc>
          <w:tcPr>
            <w:tcW w:w="2505" w:type="dxa"/>
          </w:tcPr>
          <w:p w14:paraId="19213595" w14:textId="77777777" w:rsidR="00DE039C" w:rsidRPr="005707F3" w:rsidRDefault="00DE039C">
            <w:pPr>
              <w:tabs>
                <w:tab w:val="left" w:pos="384"/>
              </w:tabs>
              <w:rPr>
                <w:rFonts w:asciiTheme="majorHAnsi" w:hAnsiTheme="majorHAnsi" w:cstheme="majorHAnsi"/>
                <w:b/>
                <w:color w:val="000000"/>
                <w:sz w:val="18"/>
                <w:szCs w:val="18"/>
              </w:rPr>
            </w:pPr>
            <w:r w:rsidRPr="005707F3">
              <w:rPr>
                <w:rFonts w:asciiTheme="majorHAnsi" w:hAnsiTheme="majorHAnsi" w:cstheme="majorHAnsi"/>
                <w:b/>
                <w:color w:val="000000"/>
                <w:sz w:val="18"/>
                <w:szCs w:val="18"/>
              </w:rPr>
              <w:t>% Patients experiencing ARIA-E for IV</w:t>
            </w:r>
          </w:p>
        </w:tc>
        <w:tc>
          <w:tcPr>
            <w:tcW w:w="2126" w:type="dxa"/>
          </w:tcPr>
          <w:p w14:paraId="19213596" w14:textId="77777777" w:rsidR="00DE039C" w:rsidRPr="00DE039C" w:rsidRDefault="00DE039C">
            <w:pPr>
              <w:tabs>
                <w:tab w:val="left" w:pos="384"/>
              </w:tabs>
              <w:spacing w:line="276" w:lineRule="auto"/>
              <w:rPr>
                <w:rFonts w:asciiTheme="majorHAnsi" w:hAnsiTheme="majorHAnsi" w:cstheme="majorHAnsi"/>
                <w:bCs/>
                <w:color w:val="000000"/>
                <w:sz w:val="18"/>
                <w:szCs w:val="18"/>
              </w:rPr>
            </w:pPr>
          </w:p>
        </w:tc>
        <w:tc>
          <w:tcPr>
            <w:tcW w:w="2074" w:type="dxa"/>
          </w:tcPr>
          <w:p w14:paraId="19213597" w14:textId="77777777" w:rsidR="00DE039C" w:rsidRPr="00DE039C" w:rsidRDefault="00DE039C">
            <w:pPr>
              <w:tabs>
                <w:tab w:val="left" w:pos="384"/>
              </w:tabs>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13%</w:t>
            </w:r>
          </w:p>
        </w:tc>
        <w:tc>
          <w:tcPr>
            <w:tcW w:w="1870" w:type="dxa"/>
          </w:tcPr>
          <w:p w14:paraId="19213598" w14:textId="6460ABA1" w:rsidR="00DE039C" w:rsidRPr="008D05A6" w:rsidRDefault="008D05A6">
            <w:pPr>
              <w:tabs>
                <w:tab w:val="left" w:pos="384"/>
              </w:tabs>
              <w:rPr>
                <w:rFonts w:asciiTheme="majorHAnsi" w:hAnsiTheme="majorHAnsi" w:cstheme="majorHAnsi"/>
                <w:bCs/>
                <w:color w:val="000000"/>
                <w:sz w:val="18"/>
                <w:szCs w:val="18"/>
                <w:lang w:val="fr-CA"/>
              </w:rPr>
            </w:pPr>
            <w:r w:rsidRPr="008D05A6">
              <w:rPr>
                <w:rFonts w:asciiTheme="majorHAnsi" w:hAnsiTheme="majorHAnsi" w:cstheme="majorHAnsi"/>
                <w:bCs/>
                <w:color w:val="000000"/>
                <w:sz w:val="18"/>
                <w:szCs w:val="18"/>
                <w:lang w:val="fr-CA"/>
              </w:rPr>
              <w:t xml:space="preserve">Van Dyck CH, et al. </w:t>
            </w:r>
            <w:r w:rsidR="00B0001D">
              <w:rPr>
                <w:rFonts w:asciiTheme="majorHAnsi" w:hAnsiTheme="majorHAnsi" w:cstheme="majorHAnsi"/>
                <w:bCs/>
                <w:color w:val="000000"/>
                <w:sz w:val="18"/>
                <w:szCs w:val="18"/>
                <w:lang w:val="fr-CA"/>
              </w:rPr>
              <w:t xml:space="preserve">NEJM </w:t>
            </w:r>
            <w:r w:rsidR="00B0001D" w:rsidRPr="00B0001D">
              <w:rPr>
                <w:rFonts w:asciiTheme="majorHAnsi" w:hAnsiTheme="majorHAnsi" w:cstheme="majorHAnsi"/>
                <w:bCs/>
                <w:color w:val="000000"/>
                <w:sz w:val="18"/>
                <w:szCs w:val="18"/>
                <w:lang w:val="fr-CA"/>
              </w:rPr>
              <w:t>2023; 388:9-21</w:t>
            </w:r>
          </w:p>
        </w:tc>
      </w:tr>
    </w:tbl>
    <w:p w14:paraId="1921359B" w14:textId="77777777" w:rsidR="00411BB9" w:rsidRPr="00DE039C" w:rsidRDefault="003B3739">
      <w:pPr>
        <w:rPr>
          <w:rFonts w:asciiTheme="majorHAnsi" w:hAnsiTheme="majorHAnsi" w:cstheme="majorHAnsi"/>
          <w:bCs/>
          <w:color w:val="000000"/>
          <w:sz w:val="18"/>
          <w:szCs w:val="18"/>
        </w:rPr>
      </w:pPr>
      <w:r w:rsidRPr="00DE039C">
        <w:rPr>
          <w:rFonts w:asciiTheme="majorHAnsi" w:hAnsiTheme="majorHAnsi" w:cstheme="majorHAnsi"/>
          <w:bCs/>
          <w:color w:val="000000"/>
          <w:sz w:val="18"/>
          <w:szCs w:val="18"/>
        </w:rPr>
        <w:t>Note: IV time allocations are for titration and full dose.</w:t>
      </w:r>
    </w:p>
    <w:p w14:paraId="1921359C" w14:textId="77777777" w:rsidR="00411BB9" w:rsidRDefault="00411BB9">
      <w:pPr>
        <w:rPr>
          <w:b/>
          <w:color w:val="000000"/>
        </w:rPr>
      </w:pPr>
    </w:p>
    <w:p w14:paraId="700905C6" w14:textId="77777777" w:rsidR="00EA4400" w:rsidRDefault="00EA4400">
      <w:pPr>
        <w:rPr>
          <w:b/>
          <w:color w:val="000000"/>
        </w:rPr>
      </w:pPr>
      <w:r>
        <w:rPr>
          <w:b/>
          <w:color w:val="000000"/>
        </w:rPr>
        <w:br w:type="page"/>
      </w:r>
    </w:p>
    <w:p w14:paraId="1921359D" w14:textId="048BFE06" w:rsidR="00411BB9" w:rsidRPr="000B7B01" w:rsidRDefault="003B3739" w:rsidP="000B7B01">
      <w:pPr>
        <w:tabs>
          <w:tab w:val="left" w:pos="384"/>
        </w:tabs>
        <w:spacing w:after="0"/>
        <w:rPr>
          <w:b/>
        </w:rPr>
      </w:pPr>
      <w:r>
        <w:rPr>
          <w:b/>
          <w:color w:val="000000"/>
        </w:rPr>
        <w:lastRenderedPageBreak/>
        <w:t>Table S3. Model variables/assumptions for health care capacity available</w:t>
      </w:r>
    </w:p>
    <w:tbl>
      <w:tblPr>
        <w:tblStyle w:val="a0"/>
        <w:tblW w:w="945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CellMar>
          <w:top w:w="28" w:type="dxa"/>
          <w:left w:w="28" w:type="dxa"/>
          <w:bottom w:w="28" w:type="dxa"/>
          <w:right w:w="28" w:type="dxa"/>
        </w:tblCellMar>
        <w:tblLook w:val="0400" w:firstRow="0" w:lastRow="0" w:firstColumn="0" w:lastColumn="0" w:noHBand="0" w:noVBand="1"/>
      </w:tblPr>
      <w:tblGrid>
        <w:gridCol w:w="2647"/>
        <w:gridCol w:w="3118"/>
        <w:gridCol w:w="1843"/>
        <w:gridCol w:w="1843"/>
      </w:tblGrid>
      <w:tr w:rsidR="005707F3" w14:paraId="65C6AEDB" w14:textId="77777777" w:rsidTr="006F5861">
        <w:trPr>
          <w:trHeight w:val="57"/>
        </w:trPr>
        <w:tc>
          <w:tcPr>
            <w:tcW w:w="2647" w:type="dxa"/>
            <w:shd w:val="clear" w:color="auto" w:fill="BFBFBF" w:themeFill="background1" w:themeFillShade="BF"/>
          </w:tcPr>
          <w:p w14:paraId="3F3D8D21" w14:textId="6F503893" w:rsidR="005707F3" w:rsidRPr="005707F3" w:rsidRDefault="005707F3" w:rsidP="006F5861">
            <w:pPr>
              <w:tabs>
                <w:tab w:val="left" w:pos="384"/>
              </w:tabs>
              <w:rPr>
                <w:b/>
                <w:color w:val="000000"/>
              </w:rPr>
            </w:pPr>
            <w:r w:rsidRPr="005707F3">
              <w:rPr>
                <w:b/>
                <w:color w:val="000000"/>
                <w:sz w:val="18"/>
                <w:szCs w:val="18"/>
              </w:rPr>
              <w:t>Resources available (potential, prior to allocation to AD care), Nationally*</w:t>
            </w:r>
          </w:p>
        </w:tc>
        <w:tc>
          <w:tcPr>
            <w:tcW w:w="3118" w:type="dxa"/>
            <w:shd w:val="clear" w:color="auto" w:fill="BFBFBF" w:themeFill="background1" w:themeFillShade="BF"/>
          </w:tcPr>
          <w:p w14:paraId="375BFD1C" w14:textId="77777777" w:rsidR="005707F3" w:rsidRPr="005707F3" w:rsidRDefault="005707F3" w:rsidP="006F5861">
            <w:pPr>
              <w:tabs>
                <w:tab w:val="left" w:pos="384"/>
              </w:tabs>
              <w:rPr>
                <w:b/>
                <w:color w:val="000000"/>
                <w:sz w:val="18"/>
                <w:szCs w:val="18"/>
              </w:rPr>
            </w:pPr>
            <w:r w:rsidRPr="005707F3">
              <w:rPr>
                <w:b/>
                <w:color w:val="000000"/>
                <w:sz w:val="18"/>
                <w:szCs w:val="18"/>
              </w:rPr>
              <w:t>Variable</w:t>
            </w:r>
          </w:p>
        </w:tc>
        <w:tc>
          <w:tcPr>
            <w:tcW w:w="1843" w:type="dxa"/>
            <w:shd w:val="clear" w:color="auto" w:fill="BFBFBF" w:themeFill="background1" w:themeFillShade="BF"/>
          </w:tcPr>
          <w:p w14:paraId="5F09F802" w14:textId="77777777" w:rsidR="005707F3" w:rsidRPr="005707F3" w:rsidRDefault="005707F3" w:rsidP="006F5861">
            <w:pPr>
              <w:tabs>
                <w:tab w:val="left" w:pos="384"/>
              </w:tabs>
              <w:rPr>
                <w:b/>
                <w:color w:val="000000"/>
                <w:sz w:val="18"/>
                <w:szCs w:val="18"/>
              </w:rPr>
            </w:pPr>
            <w:r w:rsidRPr="005707F3">
              <w:rPr>
                <w:b/>
                <w:color w:val="000000"/>
                <w:sz w:val="18"/>
                <w:szCs w:val="18"/>
              </w:rPr>
              <w:t>Variable assumption</w:t>
            </w:r>
          </w:p>
        </w:tc>
        <w:tc>
          <w:tcPr>
            <w:tcW w:w="1843" w:type="dxa"/>
            <w:shd w:val="clear" w:color="auto" w:fill="BFBFBF" w:themeFill="background1" w:themeFillShade="BF"/>
          </w:tcPr>
          <w:p w14:paraId="1C7C4097" w14:textId="77777777" w:rsidR="005707F3" w:rsidRPr="005707F3" w:rsidRDefault="005707F3" w:rsidP="006F5861">
            <w:pPr>
              <w:tabs>
                <w:tab w:val="left" w:pos="384"/>
              </w:tabs>
              <w:rPr>
                <w:b/>
                <w:color w:val="000000"/>
                <w:sz w:val="18"/>
                <w:szCs w:val="18"/>
              </w:rPr>
            </w:pPr>
            <w:r w:rsidRPr="005707F3">
              <w:rPr>
                <w:b/>
                <w:color w:val="000000"/>
                <w:sz w:val="18"/>
                <w:szCs w:val="18"/>
              </w:rPr>
              <w:t xml:space="preserve">Reference </w:t>
            </w:r>
          </w:p>
        </w:tc>
      </w:tr>
    </w:tbl>
    <w:tbl>
      <w:tblPr>
        <w:tblStyle w:val="a1"/>
        <w:tblW w:w="945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00" w:firstRow="0" w:lastRow="0" w:firstColumn="0" w:lastColumn="0" w:noHBand="0" w:noVBand="1"/>
      </w:tblPr>
      <w:tblGrid>
        <w:gridCol w:w="2647"/>
        <w:gridCol w:w="3118"/>
        <w:gridCol w:w="1843"/>
        <w:gridCol w:w="1843"/>
      </w:tblGrid>
      <w:tr w:rsidR="005707F3" w14:paraId="192135A3" w14:textId="77777777" w:rsidTr="006F5861">
        <w:tc>
          <w:tcPr>
            <w:tcW w:w="2647" w:type="dxa"/>
          </w:tcPr>
          <w:p w14:paraId="1921359E" w14:textId="7B650A7F" w:rsidR="005707F3" w:rsidRPr="005707F3" w:rsidRDefault="005707F3" w:rsidP="006F5861">
            <w:pPr>
              <w:tabs>
                <w:tab w:val="left" w:pos="384"/>
              </w:tabs>
              <w:rPr>
                <w:b/>
                <w:color w:val="000000"/>
                <w:sz w:val="18"/>
                <w:szCs w:val="18"/>
              </w:rPr>
            </w:pPr>
            <w:r>
              <w:rPr>
                <w:color w:val="000000"/>
                <w:sz w:val="18"/>
                <w:szCs w:val="18"/>
              </w:rPr>
              <w:t xml:space="preserve">*Territories excluded </w:t>
            </w:r>
          </w:p>
        </w:tc>
        <w:tc>
          <w:tcPr>
            <w:tcW w:w="3118" w:type="dxa"/>
          </w:tcPr>
          <w:p w14:paraId="1921359F" w14:textId="605AEE4F" w:rsidR="005707F3" w:rsidRDefault="005707F3" w:rsidP="006F5861">
            <w:pPr>
              <w:tabs>
                <w:tab w:val="left" w:pos="384"/>
              </w:tabs>
              <w:rPr>
                <w:b/>
                <w:color w:val="000000"/>
                <w:sz w:val="18"/>
                <w:szCs w:val="18"/>
              </w:rPr>
            </w:pPr>
          </w:p>
        </w:tc>
        <w:tc>
          <w:tcPr>
            <w:tcW w:w="1843" w:type="dxa"/>
          </w:tcPr>
          <w:p w14:paraId="192135A0" w14:textId="77777777" w:rsidR="005707F3" w:rsidRDefault="005707F3" w:rsidP="006F5861">
            <w:pPr>
              <w:tabs>
                <w:tab w:val="left" w:pos="384"/>
              </w:tabs>
              <w:rPr>
                <w:b/>
                <w:color w:val="000000"/>
                <w:sz w:val="18"/>
                <w:szCs w:val="18"/>
              </w:rPr>
            </w:pPr>
          </w:p>
        </w:tc>
        <w:tc>
          <w:tcPr>
            <w:tcW w:w="1843" w:type="dxa"/>
          </w:tcPr>
          <w:p w14:paraId="192135A1" w14:textId="77777777" w:rsidR="005707F3" w:rsidRDefault="005707F3" w:rsidP="006F5861">
            <w:pPr>
              <w:tabs>
                <w:tab w:val="left" w:pos="384"/>
              </w:tabs>
              <w:rPr>
                <w:b/>
                <w:color w:val="000000"/>
                <w:sz w:val="18"/>
                <w:szCs w:val="18"/>
              </w:rPr>
            </w:pPr>
          </w:p>
        </w:tc>
      </w:tr>
      <w:tr w:rsidR="005707F3" w:rsidRPr="005707F3" w14:paraId="192135A9" w14:textId="77777777" w:rsidTr="006F5861">
        <w:tc>
          <w:tcPr>
            <w:tcW w:w="2647" w:type="dxa"/>
          </w:tcPr>
          <w:p w14:paraId="192135A4" w14:textId="77777777" w:rsidR="005707F3" w:rsidRPr="005707F3" w:rsidRDefault="005707F3" w:rsidP="006F5861">
            <w:pPr>
              <w:tabs>
                <w:tab w:val="left" w:pos="384"/>
              </w:tabs>
              <w:rPr>
                <w:b/>
                <w:sz w:val="18"/>
                <w:szCs w:val="18"/>
              </w:rPr>
            </w:pPr>
            <w:r w:rsidRPr="005707F3">
              <w:rPr>
                <w:b/>
                <w:sz w:val="18"/>
                <w:szCs w:val="18"/>
              </w:rPr>
              <w:t># PCP</w:t>
            </w:r>
          </w:p>
        </w:tc>
        <w:tc>
          <w:tcPr>
            <w:tcW w:w="3118" w:type="dxa"/>
          </w:tcPr>
          <w:p w14:paraId="192135A5" w14:textId="77777777" w:rsidR="005707F3" w:rsidRPr="005707F3" w:rsidRDefault="005707F3" w:rsidP="006F5861">
            <w:pPr>
              <w:tabs>
                <w:tab w:val="left" w:pos="384"/>
              </w:tabs>
              <w:rPr>
                <w:sz w:val="18"/>
                <w:szCs w:val="18"/>
              </w:rPr>
            </w:pPr>
            <w:r w:rsidRPr="005707F3">
              <w:rPr>
                <w:sz w:val="18"/>
                <w:szCs w:val="18"/>
              </w:rPr>
              <w:t xml:space="preserve">National number of family medicine physicians </w:t>
            </w:r>
          </w:p>
        </w:tc>
        <w:tc>
          <w:tcPr>
            <w:tcW w:w="1843" w:type="dxa"/>
          </w:tcPr>
          <w:p w14:paraId="192135A6" w14:textId="77777777" w:rsidR="005707F3" w:rsidRPr="005707F3" w:rsidRDefault="005707F3" w:rsidP="006F5861">
            <w:pPr>
              <w:tabs>
                <w:tab w:val="left" w:pos="384"/>
              </w:tabs>
              <w:rPr>
                <w:sz w:val="18"/>
                <w:szCs w:val="18"/>
              </w:rPr>
            </w:pPr>
            <w:r w:rsidRPr="005707F3">
              <w:rPr>
                <w:sz w:val="18"/>
                <w:szCs w:val="18"/>
              </w:rPr>
              <w:t>43,366</w:t>
            </w:r>
          </w:p>
        </w:tc>
        <w:tc>
          <w:tcPr>
            <w:tcW w:w="1843" w:type="dxa"/>
          </w:tcPr>
          <w:p w14:paraId="192135A7" w14:textId="608925EA" w:rsidR="005707F3" w:rsidRPr="005707F3" w:rsidRDefault="00AC5A79" w:rsidP="006F5861">
            <w:pPr>
              <w:tabs>
                <w:tab w:val="left" w:pos="384"/>
              </w:tabs>
              <w:rPr>
                <w:sz w:val="18"/>
                <w:szCs w:val="18"/>
              </w:rPr>
            </w:pPr>
            <w:hyperlink r:id="rId29" w:history="1">
              <w:r w:rsidR="005707F3" w:rsidRPr="0037651D">
                <w:rPr>
                  <w:rStyle w:val="Hyperlink"/>
                  <w:sz w:val="18"/>
                  <w:szCs w:val="18"/>
                </w:rPr>
                <w:t>CMA 2019</w:t>
              </w:r>
            </w:hyperlink>
          </w:p>
        </w:tc>
      </w:tr>
      <w:tr w:rsidR="005707F3" w:rsidRPr="005707F3" w14:paraId="192135AF" w14:textId="77777777" w:rsidTr="006F5861">
        <w:tc>
          <w:tcPr>
            <w:tcW w:w="2647" w:type="dxa"/>
          </w:tcPr>
          <w:p w14:paraId="192135AA" w14:textId="77777777" w:rsidR="005707F3" w:rsidRPr="005707F3" w:rsidRDefault="005707F3" w:rsidP="006F5861">
            <w:pPr>
              <w:tabs>
                <w:tab w:val="left" w:pos="384"/>
              </w:tabs>
              <w:rPr>
                <w:b/>
                <w:sz w:val="18"/>
                <w:szCs w:val="18"/>
              </w:rPr>
            </w:pPr>
            <w:r w:rsidRPr="005707F3">
              <w:rPr>
                <w:b/>
                <w:sz w:val="18"/>
                <w:szCs w:val="18"/>
              </w:rPr>
              <w:t># AD physicians</w:t>
            </w:r>
          </w:p>
        </w:tc>
        <w:tc>
          <w:tcPr>
            <w:tcW w:w="3118" w:type="dxa"/>
          </w:tcPr>
          <w:p w14:paraId="192135AB" w14:textId="77777777" w:rsidR="005707F3" w:rsidRPr="005707F3" w:rsidRDefault="005707F3" w:rsidP="006F5861">
            <w:pPr>
              <w:tabs>
                <w:tab w:val="left" w:pos="384"/>
              </w:tabs>
              <w:rPr>
                <w:sz w:val="18"/>
                <w:szCs w:val="18"/>
              </w:rPr>
            </w:pPr>
            <w:r w:rsidRPr="005707F3">
              <w:rPr>
                <w:sz w:val="18"/>
                <w:szCs w:val="18"/>
              </w:rPr>
              <w:t>Total geriatricians (327), neurologists (1,172) and psychiatrist (5,410)</w:t>
            </w:r>
          </w:p>
        </w:tc>
        <w:tc>
          <w:tcPr>
            <w:tcW w:w="1843" w:type="dxa"/>
          </w:tcPr>
          <w:p w14:paraId="192135AC" w14:textId="77777777" w:rsidR="005707F3" w:rsidRPr="005707F3" w:rsidRDefault="005707F3" w:rsidP="006F5861">
            <w:pPr>
              <w:tabs>
                <w:tab w:val="left" w:pos="384"/>
              </w:tabs>
              <w:rPr>
                <w:sz w:val="18"/>
                <w:szCs w:val="18"/>
              </w:rPr>
            </w:pPr>
            <w:r w:rsidRPr="005707F3">
              <w:rPr>
                <w:sz w:val="18"/>
                <w:szCs w:val="18"/>
              </w:rPr>
              <w:t>6,905</w:t>
            </w:r>
          </w:p>
        </w:tc>
        <w:tc>
          <w:tcPr>
            <w:tcW w:w="1843" w:type="dxa"/>
          </w:tcPr>
          <w:p w14:paraId="192135AD" w14:textId="77777777" w:rsidR="005707F3" w:rsidRPr="005707F3" w:rsidRDefault="005707F3" w:rsidP="006F5861">
            <w:pPr>
              <w:tabs>
                <w:tab w:val="left" w:pos="384"/>
              </w:tabs>
              <w:rPr>
                <w:sz w:val="18"/>
                <w:szCs w:val="18"/>
              </w:rPr>
            </w:pPr>
            <w:r w:rsidRPr="005707F3">
              <w:rPr>
                <w:sz w:val="18"/>
                <w:szCs w:val="18"/>
              </w:rPr>
              <w:t>CIHI Physician 2020</w:t>
            </w:r>
          </w:p>
        </w:tc>
      </w:tr>
      <w:tr w:rsidR="005707F3" w:rsidRPr="005707F3" w14:paraId="192135BC" w14:textId="77777777" w:rsidTr="006F5861">
        <w:tc>
          <w:tcPr>
            <w:tcW w:w="2647" w:type="dxa"/>
          </w:tcPr>
          <w:p w14:paraId="192135B0" w14:textId="77777777" w:rsidR="005707F3" w:rsidRPr="005707F3" w:rsidRDefault="005707F3" w:rsidP="006F5861">
            <w:pPr>
              <w:tabs>
                <w:tab w:val="left" w:pos="384"/>
              </w:tabs>
              <w:rPr>
                <w:b/>
                <w:sz w:val="18"/>
                <w:szCs w:val="18"/>
              </w:rPr>
            </w:pPr>
            <w:r w:rsidRPr="005707F3">
              <w:rPr>
                <w:b/>
                <w:sz w:val="18"/>
                <w:szCs w:val="18"/>
              </w:rPr>
              <w:t xml:space="preserve">     </w:t>
            </w:r>
          </w:p>
        </w:tc>
        <w:tc>
          <w:tcPr>
            <w:tcW w:w="3118" w:type="dxa"/>
          </w:tcPr>
          <w:p w14:paraId="192135B1" w14:textId="77777777" w:rsidR="005707F3" w:rsidRPr="005707F3" w:rsidRDefault="005707F3" w:rsidP="006F5861">
            <w:pPr>
              <w:tabs>
                <w:tab w:val="left" w:pos="384"/>
              </w:tabs>
              <w:rPr>
                <w:sz w:val="18"/>
                <w:szCs w:val="18"/>
              </w:rPr>
            </w:pPr>
            <w:r w:rsidRPr="005707F3">
              <w:rPr>
                <w:sz w:val="18"/>
                <w:szCs w:val="18"/>
              </w:rPr>
              <w:t xml:space="preserve">% Allocation to dementia care </w:t>
            </w:r>
          </w:p>
          <w:p w14:paraId="192135B2" w14:textId="77777777" w:rsidR="005707F3" w:rsidRPr="005707F3" w:rsidRDefault="005707F3" w:rsidP="006F5861">
            <w:pPr>
              <w:tabs>
                <w:tab w:val="left" w:pos="384"/>
              </w:tabs>
              <w:rPr>
                <w:sz w:val="18"/>
                <w:szCs w:val="18"/>
              </w:rPr>
            </w:pPr>
            <w:r w:rsidRPr="005707F3">
              <w:rPr>
                <w:sz w:val="18"/>
                <w:szCs w:val="18"/>
              </w:rPr>
              <w:t>Neurologists</w:t>
            </w:r>
          </w:p>
          <w:p w14:paraId="192135B3" w14:textId="77777777" w:rsidR="005707F3" w:rsidRPr="005707F3" w:rsidRDefault="005707F3" w:rsidP="006F5861">
            <w:pPr>
              <w:tabs>
                <w:tab w:val="left" w:pos="384"/>
              </w:tabs>
              <w:rPr>
                <w:sz w:val="18"/>
                <w:szCs w:val="18"/>
              </w:rPr>
            </w:pPr>
            <w:r w:rsidRPr="005707F3">
              <w:rPr>
                <w:sz w:val="18"/>
                <w:szCs w:val="18"/>
              </w:rPr>
              <w:t>Geriatricians</w:t>
            </w:r>
          </w:p>
          <w:p w14:paraId="192135B4" w14:textId="77777777" w:rsidR="005707F3" w:rsidRPr="005707F3" w:rsidRDefault="005707F3" w:rsidP="006F5861">
            <w:pPr>
              <w:tabs>
                <w:tab w:val="left" w:pos="384"/>
              </w:tabs>
              <w:rPr>
                <w:sz w:val="18"/>
                <w:szCs w:val="18"/>
              </w:rPr>
            </w:pPr>
            <w:r w:rsidRPr="005707F3">
              <w:rPr>
                <w:sz w:val="18"/>
                <w:szCs w:val="18"/>
              </w:rPr>
              <w:t>Psychiatrist</w:t>
            </w:r>
          </w:p>
        </w:tc>
        <w:tc>
          <w:tcPr>
            <w:tcW w:w="1843" w:type="dxa"/>
          </w:tcPr>
          <w:p w14:paraId="192135B5" w14:textId="77777777" w:rsidR="005707F3" w:rsidRPr="005707F3" w:rsidRDefault="005707F3" w:rsidP="006F5861">
            <w:pPr>
              <w:tabs>
                <w:tab w:val="left" w:pos="384"/>
              </w:tabs>
              <w:rPr>
                <w:sz w:val="18"/>
                <w:szCs w:val="18"/>
              </w:rPr>
            </w:pPr>
          </w:p>
          <w:p w14:paraId="192135B7" w14:textId="77777777" w:rsidR="005707F3" w:rsidRPr="005707F3" w:rsidRDefault="005707F3" w:rsidP="006F5861">
            <w:pPr>
              <w:tabs>
                <w:tab w:val="left" w:pos="384"/>
              </w:tabs>
              <w:rPr>
                <w:sz w:val="18"/>
                <w:szCs w:val="18"/>
              </w:rPr>
            </w:pPr>
            <w:r w:rsidRPr="005707F3">
              <w:rPr>
                <w:sz w:val="18"/>
                <w:szCs w:val="18"/>
              </w:rPr>
              <w:t>10%</w:t>
            </w:r>
          </w:p>
          <w:p w14:paraId="192135B8" w14:textId="77777777" w:rsidR="005707F3" w:rsidRPr="005707F3" w:rsidRDefault="005707F3" w:rsidP="006F5861">
            <w:pPr>
              <w:tabs>
                <w:tab w:val="left" w:pos="384"/>
              </w:tabs>
              <w:rPr>
                <w:sz w:val="18"/>
                <w:szCs w:val="18"/>
              </w:rPr>
            </w:pPr>
            <w:r w:rsidRPr="005707F3">
              <w:rPr>
                <w:sz w:val="18"/>
                <w:szCs w:val="18"/>
              </w:rPr>
              <w:t>10%</w:t>
            </w:r>
          </w:p>
          <w:p w14:paraId="192135B9" w14:textId="6A93B3A0" w:rsidR="005707F3" w:rsidRPr="005707F3" w:rsidRDefault="006E62A5" w:rsidP="006F5861">
            <w:pPr>
              <w:tabs>
                <w:tab w:val="left" w:pos="384"/>
              </w:tabs>
              <w:rPr>
                <w:sz w:val="18"/>
                <w:szCs w:val="18"/>
              </w:rPr>
            </w:pPr>
            <w:r>
              <w:rPr>
                <w:sz w:val="18"/>
                <w:szCs w:val="18"/>
              </w:rPr>
              <w:t>2.3</w:t>
            </w:r>
            <w:r w:rsidR="005707F3" w:rsidRPr="005707F3">
              <w:rPr>
                <w:sz w:val="18"/>
                <w:szCs w:val="18"/>
              </w:rPr>
              <w:t xml:space="preserve">% </w:t>
            </w:r>
          </w:p>
        </w:tc>
        <w:tc>
          <w:tcPr>
            <w:tcW w:w="1843" w:type="dxa"/>
          </w:tcPr>
          <w:p w14:paraId="232DEBA2" w14:textId="77777777" w:rsidR="00C30C05" w:rsidRPr="004D42DE" w:rsidRDefault="00C30C05" w:rsidP="004D42DE">
            <w:pPr>
              <w:tabs>
                <w:tab w:val="left" w:pos="384"/>
              </w:tabs>
              <w:rPr>
                <w:sz w:val="18"/>
                <w:szCs w:val="18"/>
              </w:rPr>
            </w:pPr>
          </w:p>
          <w:p w14:paraId="55E5AA73" w14:textId="77777777" w:rsidR="004D42DE" w:rsidRPr="004D42DE" w:rsidRDefault="004D42DE" w:rsidP="004D42DE">
            <w:pPr>
              <w:tabs>
                <w:tab w:val="left" w:pos="384"/>
              </w:tabs>
              <w:rPr>
                <w:sz w:val="18"/>
                <w:szCs w:val="18"/>
              </w:rPr>
            </w:pPr>
          </w:p>
          <w:p w14:paraId="454074D3" w14:textId="77777777" w:rsidR="004D42DE" w:rsidRPr="004D42DE" w:rsidRDefault="004D42DE" w:rsidP="004D42DE">
            <w:pPr>
              <w:tabs>
                <w:tab w:val="left" w:pos="384"/>
              </w:tabs>
              <w:rPr>
                <w:sz w:val="18"/>
                <w:szCs w:val="18"/>
              </w:rPr>
            </w:pPr>
          </w:p>
          <w:p w14:paraId="192135BA" w14:textId="51962938" w:rsidR="00C30C05" w:rsidRPr="004D42DE" w:rsidRDefault="00AC5A79" w:rsidP="004D42DE">
            <w:pPr>
              <w:tabs>
                <w:tab w:val="left" w:pos="384"/>
              </w:tabs>
              <w:rPr>
                <w:sz w:val="18"/>
                <w:szCs w:val="18"/>
                <w:u w:val="single"/>
              </w:rPr>
            </w:pPr>
            <w:hyperlink r:id="rId30">
              <w:r w:rsidR="005707F3" w:rsidRPr="004D42DE">
                <w:rPr>
                  <w:sz w:val="18"/>
                  <w:szCs w:val="18"/>
                  <w:u w:val="single"/>
                </w:rPr>
                <w:t>Pedroza et al., 2022</w:t>
              </w:r>
            </w:hyperlink>
          </w:p>
        </w:tc>
      </w:tr>
      <w:tr w:rsidR="005707F3" w:rsidRPr="005707F3" w14:paraId="192135C3" w14:textId="77777777" w:rsidTr="006F5861">
        <w:tc>
          <w:tcPr>
            <w:tcW w:w="2647" w:type="dxa"/>
          </w:tcPr>
          <w:p w14:paraId="192135BD" w14:textId="77777777" w:rsidR="005707F3" w:rsidRPr="005707F3" w:rsidRDefault="005707F3" w:rsidP="006F5861">
            <w:pPr>
              <w:tabs>
                <w:tab w:val="left" w:pos="384"/>
              </w:tabs>
              <w:rPr>
                <w:b/>
                <w:sz w:val="18"/>
                <w:szCs w:val="18"/>
              </w:rPr>
            </w:pPr>
            <w:r w:rsidRPr="005707F3">
              <w:rPr>
                <w:b/>
                <w:sz w:val="18"/>
                <w:szCs w:val="18"/>
              </w:rPr>
              <w:t># General nurse</w:t>
            </w:r>
          </w:p>
        </w:tc>
        <w:tc>
          <w:tcPr>
            <w:tcW w:w="3118" w:type="dxa"/>
          </w:tcPr>
          <w:p w14:paraId="192135BE" w14:textId="77777777" w:rsidR="005707F3" w:rsidRPr="005707F3" w:rsidRDefault="005707F3" w:rsidP="006F5861">
            <w:pPr>
              <w:tabs>
                <w:tab w:val="left" w:pos="384"/>
              </w:tabs>
              <w:rPr>
                <w:sz w:val="18"/>
                <w:szCs w:val="18"/>
              </w:rPr>
            </w:pPr>
            <w:r w:rsidRPr="005707F3">
              <w:rPr>
                <w:sz w:val="18"/>
                <w:szCs w:val="18"/>
              </w:rPr>
              <w:t>Provincial number of nurses (includes NPs, RNs, Psychiatric nurse)</w:t>
            </w:r>
          </w:p>
          <w:p w14:paraId="192135BF" w14:textId="77777777" w:rsidR="005707F3" w:rsidRPr="005707F3" w:rsidRDefault="005707F3" w:rsidP="006F5861">
            <w:pPr>
              <w:tabs>
                <w:tab w:val="left" w:pos="384"/>
              </w:tabs>
              <w:rPr>
                <w:sz w:val="18"/>
                <w:szCs w:val="18"/>
              </w:rPr>
            </w:pPr>
            <w:r w:rsidRPr="005707F3">
              <w:rPr>
                <w:sz w:val="18"/>
                <w:szCs w:val="18"/>
              </w:rPr>
              <w:t xml:space="preserve">The number of nurses for Manitoba and PEI were not available for 2021. For these instances, the number of nurses available for Manitoba and PEI was taken for the latest available date, 2018 and 2020, respectively. </w:t>
            </w:r>
          </w:p>
        </w:tc>
        <w:tc>
          <w:tcPr>
            <w:tcW w:w="1843" w:type="dxa"/>
          </w:tcPr>
          <w:p w14:paraId="192135C0" w14:textId="77777777" w:rsidR="005707F3" w:rsidRPr="005707F3" w:rsidRDefault="005707F3" w:rsidP="006F5861">
            <w:pPr>
              <w:spacing w:after="160"/>
              <w:rPr>
                <w:sz w:val="18"/>
                <w:szCs w:val="18"/>
              </w:rPr>
            </w:pPr>
            <w:r w:rsidRPr="005707F3">
              <w:rPr>
                <w:sz w:val="18"/>
                <w:szCs w:val="18"/>
              </w:rPr>
              <w:t xml:space="preserve">274,961 </w:t>
            </w:r>
          </w:p>
        </w:tc>
        <w:tc>
          <w:tcPr>
            <w:tcW w:w="1843" w:type="dxa"/>
          </w:tcPr>
          <w:p w14:paraId="6680855D" w14:textId="77777777" w:rsidR="006F4DFE" w:rsidRDefault="006F4DFE" w:rsidP="006F5861">
            <w:pPr>
              <w:tabs>
                <w:tab w:val="left" w:pos="384"/>
              </w:tabs>
              <w:rPr>
                <w:sz w:val="18"/>
                <w:szCs w:val="18"/>
              </w:rPr>
            </w:pPr>
          </w:p>
          <w:p w14:paraId="192135C1" w14:textId="17EB6D57" w:rsidR="005707F3" w:rsidRPr="005707F3" w:rsidRDefault="00AC5A79" w:rsidP="006F5861">
            <w:pPr>
              <w:tabs>
                <w:tab w:val="left" w:pos="384"/>
              </w:tabs>
              <w:rPr>
                <w:sz w:val="18"/>
                <w:szCs w:val="18"/>
              </w:rPr>
            </w:pPr>
            <w:hyperlink r:id="rId31" w:history="1">
              <w:r w:rsidR="005707F3" w:rsidRPr="00237F2A">
                <w:rPr>
                  <w:rStyle w:val="Hyperlink"/>
                  <w:sz w:val="18"/>
                  <w:szCs w:val="18"/>
                </w:rPr>
                <w:t>Nursing</w:t>
              </w:r>
              <w:r w:rsidR="00612A9A" w:rsidRPr="00237F2A">
                <w:rPr>
                  <w:rStyle w:val="Hyperlink"/>
                  <w:sz w:val="18"/>
                  <w:szCs w:val="18"/>
                </w:rPr>
                <w:t xml:space="preserve"> in Canada CIHI</w:t>
              </w:r>
              <w:r w:rsidR="005707F3" w:rsidRPr="00237F2A">
                <w:rPr>
                  <w:rStyle w:val="Hyperlink"/>
                  <w:sz w:val="18"/>
                  <w:szCs w:val="18"/>
                </w:rPr>
                <w:t xml:space="preserve"> 202</w:t>
              </w:r>
              <w:r w:rsidR="00237F2A" w:rsidRPr="00237F2A">
                <w:rPr>
                  <w:rStyle w:val="Hyperlink"/>
                  <w:sz w:val="18"/>
                  <w:szCs w:val="18"/>
                </w:rPr>
                <w:t>0</w:t>
              </w:r>
            </w:hyperlink>
          </w:p>
        </w:tc>
      </w:tr>
      <w:tr w:rsidR="005707F3" w:rsidRPr="005707F3" w14:paraId="192135C9" w14:textId="77777777" w:rsidTr="006F5861">
        <w:tc>
          <w:tcPr>
            <w:tcW w:w="2647" w:type="dxa"/>
          </w:tcPr>
          <w:p w14:paraId="192135C4" w14:textId="77777777" w:rsidR="005707F3" w:rsidRPr="005707F3" w:rsidRDefault="005707F3" w:rsidP="006F5861">
            <w:pPr>
              <w:tabs>
                <w:tab w:val="left" w:pos="384"/>
              </w:tabs>
              <w:rPr>
                <w:b/>
                <w:sz w:val="18"/>
                <w:szCs w:val="18"/>
              </w:rPr>
            </w:pPr>
            <w:r w:rsidRPr="005707F3">
              <w:rPr>
                <w:b/>
                <w:sz w:val="18"/>
                <w:szCs w:val="18"/>
              </w:rPr>
              <w:t xml:space="preserve">    </w:t>
            </w:r>
          </w:p>
        </w:tc>
        <w:tc>
          <w:tcPr>
            <w:tcW w:w="3118" w:type="dxa"/>
          </w:tcPr>
          <w:p w14:paraId="192135C5" w14:textId="77777777" w:rsidR="005707F3" w:rsidRPr="005707F3" w:rsidRDefault="005707F3" w:rsidP="006F5861">
            <w:pPr>
              <w:tabs>
                <w:tab w:val="left" w:pos="384"/>
              </w:tabs>
              <w:rPr>
                <w:sz w:val="18"/>
                <w:szCs w:val="18"/>
              </w:rPr>
            </w:pPr>
            <w:r w:rsidRPr="005707F3">
              <w:rPr>
                <w:sz w:val="18"/>
                <w:szCs w:val="18"/>
              </w:rPr>
              <w:t>% Allocation to dementia care</w:t>
            </w:r>
          </w:p>
        </w:tc>
        <w:tc>
          <w:tcPr>
            <w:tcW w:w="1843" w:type="dxa"/>
          </w:tcPr>
          <w:p w14:paraId="192135C6" w14:textId="3DCE4FF0" w:rsidR="005707F3" w:rsidRPr="005707F3" w:rsidRDefault="008B64C7" w:rsidP="006F5861">
            <w:pPr>
              <w:tabs>
                <w:tab w:val="left" w:pos="384"/>
              </w:tabs>
              <w:rPr>
                <w:sz w:val="18"/>
                <w:szCs w:val="18"/>
              </w:rPr>
            </w:pPr>
            <w:r>
              <w:rPr>
                <w:sz w:val="18"/>
                <w:szCs w:val="18"/>
              </w:rPr>
              <w:t>2.3</w:t>
            </w:r>
            <w:r w:rsidR="005707F3" w:rsidRPr="005707F3">
              <w:rPr>
                <w:sz w:val="18"/>
                <w:szCs w:val="18"/>
              </w:rPr>
              <w:t>%</w:t>
            </w:r>
          </w:p>
        </w:tc>
        <w:tc>
          <w:tcPr>
            <w:tcW w:w="1843" w:type="dxa"/>
          </w:tcPr>
          <w:p w14:paraId="192135C7" w14:textId="77777777" w:rsidR="005707F3" w:rsidRPr="005707F3" w:rsidRDefault="00AC5A79" w:rsidP="006F5861">
            <w:pPr>
              <w:tabs>
                <w:tab w:val="left" w:pos="384"/>
              </w:tabs>
              <w:rPr>
                <w:sz w:val="18"/>
                <w:szCs w:val="18"/>
              </w:rPr>
            </w:pPr>
            <w:hyperlink r:id="rId32">
              <w:r w:rsidR="005707F3" w:rsidRPr="005707F3">
                <w:rPr>
                  <w:sz w:val="18"/>
                  <w:szCs w:val="18"/>
                  <w:u w:val="single"/>
                </w:rPr>
                <w:t>Pedroza et al., 2022</w:t>
              </w:r>
            </w:hyperlink>
          </w:p>
        </w:tc>
      </w:tr>
      <w:tr w:rsidR="005707F3" w:rsidRPr="005707F3" w14:paraId="192135E8" w14:textId="77777777" w:rsidTr="006F5861">
        <w:tc>
          <w:tcPr>
            <w:tcW w:w="2647" w:type="dxa"/>
          </w:tcPr>
          <w:p w14:paraId="192135E2" w14:textId="77777777" w:rsidR="005707F3" w:rsidRPr="005707F3" w:rsidRDefault="005707F3" w:rsidP="006F5861">
            <w:pPr>
              <w:tabs>
                <w:tab w:val="left" w:pos="384"/>
              </w:tabs>
              <w:rPr>
                <w:b/>
                <w:sz w:val="18"/>
                <w:szCs w:val="18"/>
              </w:rPr>
            </w:pPr>
            <w:r w:rsidRPr="005707F3">
              <w:rPr>
                <w:b/>
                <w:sz w:val="18"/>
                <w:szCs w:val="18"/>
              </w:rPr>
              <w:t># Pharmacist</w:t>
            </w:r>
          </w:p>
        </w:tc>
        <w:tc>
          <w:tcPr>
            <w:tcW w:w="3118" w:type="dxa"/>
          </w:tcPr>
          <w:p w14:paraId="192135E3" w14:textId="77777777" w:rsidR="005707F3" w:rsidRPr="005707F3" w:rsidRDefault="005707F3" w:rsidP="006F5861">
            <w:pPr>
              <w:tabs>
                <w:tab w:val="left" w:pos="384"/>
              </w:tabs>
              <w:rPr>
                <w:sz w:val="18"/>
                <w:szCs w:val="18"/>
              </w:rPr>
            </w:pPr>
            <w:r w:rsidRPr="005707F3">
              <w:rPr>
                <w:sz w:val="18"/>
                <w:szCs w:val="18"/>
              </w:rPr>
              <w:t>Total # licensed pharmacists</w:t>
            </w:r>
          </w:p>
          <w:p w14:paraId="192135E4" w14:textId="77777777" w:rsidR="005707F3" w:rsidRPr="005707F3" w:rsidRDefault="005707F3" w:rsidP="006F5861">
            <w:pPr>
              <w:tabs>
                <w:tab w:val="left" w:pos="384"/>
              </w:tabs>
              <w:rPr>
                <w:sz w:val="18"/>
                <w:szCs w:val="18"/>
              </w:rPr>
            </w:pPr>
          </w:p>
        </w:tc>
        <w:tc>
          <w:tcPr>
            <w:tcW w:w="1843" w:type="dxa"/>
          </w:tcPr>
          <w:p w14:paraId="192135E5" w14:textId="77777777" w:rsidR="005707F3" w:rsidRPr="005707F3" w:rsidRDefault="005707F3" w:rsidP="006F5861">
            <w:pPr>
              <w:tabs>
                <w:tab w:val="left" w:pos="384"/>
              </w:tabs>
              <w:rPr>
                <w:sz w:val="18"/>
                <w:szCs w:val="18"/>
              </w:rPr>
            </w:pPr>
            <w:r w:rsidRPr="005707F3">
              <w:rPr>
                <w:sz w:val="18"/>
                <w:szCs w:val="18"/>
              </w:rPr>
              <w:t>47,106</w:t>
            </w:r>
          </w:p>
        </w:tc>
        <w:tc>
          <w:tcPr>
            <w:tcW w:w="1843" w:type="dxa"/>
          </w:tcPr>
          <w:p w14:paraId="192135E6" w14:textId="77777777" w:rsidR="005707F3" w:rsidRPr="005707F3" w:rsidRDefault="00AC5A79" w:rsidP="006F5861">
            <w:pPr>
              <w:tabs>
                <w:tab w:val="left" w:pos="384"/>
              </w:tabs>
              <w:rPr>
                <w:sz w:val="18"/>
                <w:szCs w:val="18"/>
              </w:rPr>
            </w:pPr>
            <w:hyperlink r:id="rId33">
              <w:r w:rsidR="005707F3" w:rsidRPr="005707F3">
                <w:rPr>
                  <w:sz w:val="18"/>
                  <w:szCs w:val="18"/>
                  <w:u w:val="single"/>
                </w:rPr>
                <w:t>NAPRA National Statistics</w:t>
              </w:r>
            </w:hyperlink>
            <w:r w:rsidR="005707F3" w:rsidRPr="005707F3">
              <w:rPr>
                <w:sz w:val="18"/>
                <w:szCs w:val="18"/>
              </w:rPr>
              <w:t>, 2022</w:t>
            </w:r>
          </w:p>
        </w:tc>
      </w:tr>
      <w:tr w:rsidR="005707F3" w:rsidRPr="005707F3" w14:paraId="192135EE" w14:textId="77777777" w:rsidTr="006F5861">
        <w:tc>
          <w:tcPr>
            <w:tcW w:w="2647" w:type="dxa"/>
          </w:tcPr>
          <w:p w14:paraId="192135E9" w14:textId="77777777" w:rsidR="005707F3" w:rsidRPr="005707F3" w:rsidRDefault="005707F3" w:rsidP="006F5861">
            <w:pPr>
              <w:tabs>
                <w:tab w:val="left" w:pos="384"/>
              </w:tabs>
              <w:rPr>
                <w:b/>
                <w:sz w:val="18"/>
                <w:szCs w:val="18"/>
              </w:rPr>
            </w:pPr>
            <w:r w:rsidRPr="005707F3">
              <w:rPr>
                <w:b/>
                <w:sz w:val="18"/>
                <w:szCs w:val="18"/>
              </w:rPr>
              <w:t xml:space="preserve">    </w:t>
            </w:r>
          </w:p>
        </w:tc>
        <w:tc>
          <w:tcPr>
            <w:tcW w:w="3118" w:type="dxa"/>
          </w:tcPr>
          <w:p w14:paraId="192135EA" w14:textId="77777777" w:rsidR="005707F3" w:rsidRPr="005707F3" w:rsidRDefault="005707F3" w:rsidP="006F5861">
            <w:pPr>
              <w:tabs>
                <w:tab w:val="left" w:pos="384"/>
              </w:tabs>
              <w:rPr>
                <w:sz w:val="18"/>
                <w:szCs w:val="18"/>
              </w:rPr>
            </w:pPr>
            <w:r w:rsidRPr="005707F3">
              <w:rPr>
                <w:sz w:val="18"/>
                <w:szCs w:val="18"/>
              </w:rPr>
              <w:t>% Allocation to dementia care</w:t>
            </w:r>
          </w:p>
        </w:tc>
        <w:tc>
          <w:tcPr>
            <w:tcW w:w="1843" w:type="dxa"/>
          </w:tcPr>
          <w:p w14:paraId="192135EB" w14:textId="2EDD7FE8" w:rsidR="005707F3" w:rsidRPr="005707F3" w:rsidRDefault="008B64C7" w:rsidP="006F5861">
            <w:pPr>
              <w:tabs>
                <w:tab w:val="left" w:pos="384"/>
              </w:tabs>
              <w:rPr>
                <w:sz w:val="18"/>
                <w:szCs w:val="18"/>
              </w:rPr>
            </w:pPr>
            <w:r>
              <w:rPr>
                <w:sz w:val="18"/>
                <w:szCs w:val="18"/>
              </w:rPr>
              <w:t>2.3</w:t>
            </w:r>
            <w:r w:rsidR="005707F3" w:rsidRPr="005707F3">
              <w:rPr>
                <w:sz w:val="18"/>
                <w:szCs w:val="18"/>
              </w:rPr>
              <w:t>%</w:t>
            </w:r>
          </w:p>
        </w:tc>
        <w:tc>
          <w:tcPr>
            <w:tcW w:w="1843" w:type="dxa"/>
          </w:tcPr>
          <w:p w14:paraId="192135EC" w14:textId="77777777" w:rsidR="005707F3" w:rsidRPr="005707F3" w:rsidRDefault="00AC5A79" w:rsidP="006F5861">
            <w:pPr>
              <w:tabs>
                <w:tab w:val="left" w:pos="384"/>
              </w:tabs>
              <w:rPr>
                <w:sz w:val="18"/>
                <w:szCs w:val="18"/>
              </w:rPr>
            </w:pPr>
            <w:hyperlink r:id="rId34">
              <w:r w:rsidR="005707F3" w:rsidRPr="005707F3">
                <w:rPr>
                  <w:sz w:val="18"/>
                  <w:szCs w:val="18"/>
                  <w:u w:val="single"/>
                </w:rPr>
                <w:t>Pedroza et al., 2022</w:t>
              </w:r>
            </w:hyperlink>
          </w:p>
        </w:tc>
      </w:tr>
      <w:tr w:rsidR="005707F3" w:rsidRPr="005707F3" w14:paraId="192135F4" w14:textId="77777777" w:rsidTr="006F5861">
        <w:tc>
          <w:tcPr>
            <w:tcW w:w="2647" w:type="dxa"/>
          </w:tcPr>
          <w:p w14:paraId="192135EF" w14:textId="3623CD26" w:rsidR="005707F3" w:rsidRPr="005707F3" w:rsidRDefault="005707F3" w:rsidP="006F5861">
            <w:pPr>
              <w:tabs>
                <w:tab w:val="left" w:pos="384"/>
              </w:tabs>
              <w:rPr>
                <w:b/>
                <w:sz w:val="18"/>
                <w:szCs w:val="18"/>
              </w:rPr>
            </w:pPr>
            <w:r w:rsidRPr="005707F3">
              <w:rPr>
                <w:b/>
                <w:sz w:val="18"/>
                <w:szCs w:val="18"/>
              </w:rPr>
              <w:t># Imaging specialists</w:t>
            </w:r>
          </w:p>
        </w:tc>
        <w:tc>
          <w:tcPr>
            <w:tcW w:w="3118" w:type="dxa"/>
          </w:tcPr>
          <w:p w14:paraId="192135F0" w14:textId="77777777" w:rsidR="005707F3" w:rsidRPr="005707F3" w:rsidRDefault="005707F3" w:rsidP="006F5861">
            <w:pPr>
              <w:tabs>
                <w:tab w:val="left" w:pos="384"/>
              </w:tabs>
              <w:rPr>
                <w:sz w:val="18"/>
                <w:szCs w:val="18"/>
              </w:rPr>
            </w:pPr>
            <w:r w:rsidRPr="005707F3">
              <w:rPr>
                <w:sz w:val="18"/>
                <w:szCs w:val="18"/>
              </w:rPr>
              <w:t>Provincial # of nuclear medicine specialists</w:t>
            </w:r>
          </w:p>
        </w:tc>
        <w:tc>
          <w:tcPr>
            <w:tcW w:w="1843" w:type="dxa"/>
          </w:tcPr>
          <w:p w14:paraId="192135F1" w14:textId="77777777" w:rsidR="005707F3" w:rsidRPr="005707F3" w:rsidRDefault="005707F3" w:rsidP="006F5861">
            <w:pPr>
              <w:tabs>
                <w:tab w:val="left" w:pos="384"/>
              </w:tabs>
              <w:rPr>
                <w:sz w:val="18"/>
                <w:szCs w:val="18"/>
                <w:highlight w:val="yellow"/>
              </w:rPr>
            </w:pPr>
            <w:r w:rsidRPr="005707F3">
              <w:rPr>
                <w:sz w:val="18"/>
                <w:szCs w:val="18"/>
              </w:rPr>
              <w:t>271</w:t>
            </w:r>
          </w:p>
        </w:tc>
        <w:tc>
          <w:tcPr>
            <w:tcW w:w="1843" w:type="dxa"/>
          </w:tcPr>
          <w:p w14:paraId="192135F2" w14:textId="77777777" w:rsidR="005707F3" w:rsidRPr="005707F3" w:rsidRDefault="00AC5A79" w:rsidP="006F5861">
            <w:pPr>
              <w:tabs>
                <w:tab w:val="left" w:pos="384"/>
              </w:tabs>
              <w:rPr>
                <w:sz w:val="18"/>
                <w:szCs w:val="18"/>
              </w:rPr>
            </w:pPr>
            <w:hyperlink r:id="rId35">
              <w:r w:rsidR="005707F3" w:rsidRPr="005707F3">
                <w:rPr>
                  <w:sz w:val="18"/>
                  <w:szCs w:val="18"/>
                  <w:u w:val="single"/>
                </w:rPr>
                <w:t>CADTH - Imaging Inventory, 2019-2020</w:t>
              </w:r>
            </w:hyperlink>
          </w:p>
        </w:tc>
      </w:tr>
      <w:tr w:rsidR="005707F3" w:rsidRPr="005707F3" w14:paraId="19213600" w14:textId="77777777" w:rsidTr="006F5861">
        <w:tc>
          <w:tcPr>
            <w:tcW w:w="2647" w:type="dxa"/>
          </w:tcPr>
          <w:p w14:paraId="192135FB" w14:textId="7AD2C95F" w:rsidR="005707F3" w:rsidRPr="005707F3" w:rsidRDefault="005707F3" w:rsidP="006F5861">
            <w:pPr>
              <w:tabs>
                <w:tab w:val="left" w:pos="384"/>
              </w:tabs>
              <w:rPr>
                <w:b/>
                <w:sz w:val="18"/>
                <w:szCs w:val="18"/>
              </w:rPr>
            </w:pPr>
          </w:p>
        </w:tc>
        <w:tc>
          <w:tcPr>
            <w:tcW w:w="3118" w:type="dxa"/>
          </w:tcPr>
          <w:p w14:paraId="192135FC" w14:textId="77777777" w:rsidR="005707F3" w:rsidRPr="005707F3" w:rsidRDefault="005707F3" w:rsidP="006F5861">
            <w:pPr>
              <w:tabs>
                <w:tab w:val="left" w:pos="384"/>
              </w:tabs>
              <w:rPr>
                <w:sz w:val="18"/>
                <w:szCs w:val="18"/>
              </w:rPr>
            </w:pPr>
            <w:r w:rsidRPr="005707F3">
              <w:rPr>
                <w:sz w:val="18"/>
                <w:szCs w:val="18"/>
              </w:rPr>
              <w:t>Provincial # of radiologists</w:t>
            </w:r>
          </w:p>
        </w:tc>
        <w:tc>
          <w:tcPr>
            <w:tcW w:w="1843" w:type="dxa"/>
          </w:tcPr>
          <w:p w14:paraId="192135FD" w14:textId="77777777" w:rsidR="005707F3" w:rsidRPr="005707F3" w:rsidRDefault="005707F3" w:rsidP="006F5861">
            <w:pPr>
              <w:tabs>
                <w:tab w:val="left" w:pos="384"/>
              </w:tabs>
              <w:rPr>
                <w:sz w:val="18"/>
                <w:szCs w:val="18"/>
              </w:rPr>
            </w:pPr>
            <w:r w:rsidRPr="005707F3">
              <w:rPr>
                <w:sz w:val="18"/>
                <w:szCs w:val="18"/>
              </w:rPr>
              <w:t>2,582</w:t>
            </w:r>
          </w:p>
        </w:tc>
        <w:tc>
          <w:tcPr>
            <w:tcW w:w="1843" w:type="dxa"/>
          </w:tcPr>
          <w:p w14:paraId="192135FE" w14:textId="77777777" w:rsidR="005707F3" w:rsidRPr="005707F3" w:rsidRDefault="00AC5A79" w:rsidP="006F5861">
            <w:pPr>
              <w:tabs>
                <w:tab w:val="left" w:pos="384"/>
              </w:tabs>
              <w:rPr>
                <w:sz w:val="18"/>
                <w:szCs w:val="18"/>
              </w:rPr>
            </w:pPr>
            <w:hyperlink r:id="rId36">
              <w:r w:rsidR="005707F3" w:rsidRPr="005707F3">
                <w:rPr>
                  <w:sz w:val="18"/>
                  <w:szCs w:val="18"/>
                  <w:u w:val="single"/>
                </w:rPr>
                <w:t>CADTH - Imaging Inventory, 2019-2020</w:t>
              </w:r>
            </w:hyperlink>
          </w:p>
        </w:tc>
      </w:tr>
      <w:tr w:rsidR="005707F3" w:rsidRPr="005707F3" w14:paraId="19213606" w14:textId="77777777" w:rsidTr="006F5861">
        <w:tc>
          <w:tcPr>
            <w:tcW w:w="2647" w:type="dxa"/>
          </w:tcPr>
          <w:p w14:paraId="19213601" w14:textId="77777777" w:rsidR="005707F3" w:rsidRPr="005707F3" w:rsidRDefault="005707F3" w:rsidP="006F5861">
            <w:pPr>
              <w:tabs>
                <w:tab w:val="left" w:pos="384"/>
              </w:tabs>
              <w:rPr>
                <w:b/>
                <w:sz w:val="18"/>
                <w:szCs w:val="18"/>
              </w:rPr>
            </w:pPr>
          </w:p>
        </w:tc>
        <w:tc>
          <w:tcPr>
            <w:tcW w:w="3118" w:type="dxa"/>
          </w:tcPr>
          <w:p w14:paraId="19213602" w14:textId="77777777" w:rsidR="005707F3" w:rsidRPr="005707F3" w:rsidRDefault="005707F3" w:rsidP="006F5861">
            <w:pPr>
              <w:tabs>
                <w:tab w:val="left" w:pos="384"/>
              </w:tabs>
              <w:rPr>
                <w:sz w:val="18"/>
                <w:szCs w:val="18"/>
              </w:rPr>
            </w:pPr>
            <w:r w:rsidRPr="005707F3">
              <w:rPr>
                <w:sz w:val="18"/>
                <w:szCs w:val="18"/>
              </w:rPr>
              <w:t>% Allocation to dementia care</w:t>
            </w:r>
          </w:p>
        </w:tc>
        <w:tc>
          <w:tcPr>
            <w:tcW w:w="1843" w:type="dxa"/>
          </w:tcPr>
          <w:p w14:paraId="19213603" w14:textId="0280B955" w:rsidR="005707F3" w:rsidRPr="005707F3" w:rsidRDefault="008B64C7" w:rsidP="006F5861">
            <w:pPr>
              <w:tabs>
                <w:tab w:val="left" w:pos="384"/>
              </w:tabs>
              <w:rPr>
                <w:sz w:val="18"/>
                <w:szCs w:val="18"/>
              </w:rPr>
            </w:pPr>
            <w:r>
              <w:rPr>
                <w:sz w:val="18"/>
                <w:szCs w:val="18"/>
              </w:rPr>
              <w:t>2.3</w:t>
            </w:r>
            <w:r w:rsidR="005707F3" w:rsidRPr="005707F3">
              <w:rPr>
                <w:sz w:val="18"/>
                <w:szCs w:val="18"/>
              </w:rPr>
              <w:t>%</w:t>
            </w:r>
          </w:p>
        </w:tc>
        <w:tc>
          <w:tcPr>
            <w:tcW w:w="1843" w:type="dxa"/>
          </w:tcPr>
          <w:p w14:paraId="19213604" w14:textId="77777777" w:rsidR="005707F3" w:rsidRPr="005707F3" w:rsidRDefault="00AC5A79" w:rsidP="006F5861">
            <w:pPr>
              <w:tabs>
                <w:tab w:val="left" w:pos="384"/>
              </w:tabs>
              <w:rPr>
                <w:sz w:val="18"/>
                <w:szCs w:val="18"/>
              </w:rPr>
            </w:pPr>
            <w:hyperlink r:id="rId37">
              <w:r w:rsidR="005707F3" w:rsidRPr="005707F3">
                <w:rPr>
                  <w:sz w:val="18"/>
                  <w:szCs w:val="18"/>
                  <w:u w:val="single"/>
                </w:rPr>
                <w:t>Pedroza et al., 2022</w:t>
              </w:r>
            </w:hyperlink>
          </w:p>
        </w:tc>
      </w:tr>
      <w:tr w:rsidR="005707F3" w:rsidRPr="005707F3" w14:paraId="1921360C" w14:textId="77777777" w:rsidTr="006F5861">
        <w:tc>
          <w:tcPr>
            <w:tcW w:w="2647" w:type="dxa"/>
          </w:tcPr>
          <w:p w14:paraId="19213607" w14:textId="77777777" w:rsidR="005707F3" w:rsidRPr="005707F3" w:rsidRDefault="005707F3" w:rsidP="006F5861">
            <w:pPr>
              <w:tabs>
                <w:tab w:val="left" w:pos="384"/>
              </w:tabs>
              <w:rPr>
                <w:b/>
                <w:sz w:val="18"/>
                <w:szCs w:val="18"/>
              </w:rPr>
            </w:pPr>
            <w:r w:rsidRPr="005707F3">
              <w:rPr>
                <w:b/>
                <w:sz w:val="18"/>
                <w:szCs w:val="18"/>
              </w:rPr>
              <w:t># Technologist</w:t>
            </w:r>
          </w:p>
        </w:tc>
        <w:tc>
          <w:tcPr>
            <w:tcW w:w="3118" w:type="dxa"/>
          </w:tcPr>
          <w:p w14:paraId="19213608" w14:textId="77777777" w:rsidR="005707F3" w:rsidRPr="005707F3" w:rsidRDefault="005707F3" w:rsidP="006F5861">
            <w:pPr>
              <w:tabs>
                <w:tab w:val="left" w:pos="384"/>
              </w:tabs>
              <w:rPr>
                <w:sz w:val="18"/>
                <w:szCs w:val="18"/>
              </w:rPr>
            </w:pPr>
            <w:r w:rsidRPr="005707F3">
              <w:rPr>
                <w:sz w:val="18"/>
                <w:szCs w:val="18"/>
              </w:rPr>
              <w:t xml:space="preserve">Medical radiation technologists </w:t>
            </w:r>
          </w:p>
        </w:tc>
        <w:tc>
          <w:tcPr>
            <w:tcW w:w="1843" w:type="dxa"/>
          </w:tcPr>
          <w:p w14:paraId="19213609" w14:textId="77777777" w:rsidR="005707F3" w:rsidRPr="005707F3" w:rsidRDefault="005707F3" w:rsidP="006F5861">
            <w:pPr>
              <w:tabs>
                <w:tab w:val="left" w:pos="384"/>
              </w:tabs>
              <w:rPr>
                <w:sz w:val="18"/>
                <w:szCs w:val="18"/>
              </w:rPr>
            </w:pPr>
            <w:r w:rsidRPr="005707F3">
              <w:rPr>
                <w:sz w:val="18"/>
                <w:szCs w:val="18"/>
              </w:rPr>
              <w:t>25,033</w:t>
            </w:r>
          </w:p>
        </w:tc>
        <w:tc>
          <w:tcPr>
            <w:tcW w:w="1843" w:type="dxa"/>
          </w:tcPr>
          <w:p w14:paraId="1921360A" w14:textId="77777777" w:rsidR="005707F3" w:rsidRPr="005707F3" w:rsidRDefault="00AC5A79" w:rsidP="006F5861">
            <w:pPr>
              <w:tabs>
                <w:tab w:val="left" w:pos="384"/>
              </w:tabs>
              <w:rPr>
                <w:sz w:val="18"/>
                <w:szCs w:val="18"/>
              </w:rPr>
            </w:pPr>
            <w:hyperlink r:id="rId38">
              <w:r w:rsidR="005707F3" w:rsidRPr="005707F3">
                <w:rPr>
                  <w:sz w:val="18"/>
                  <w:szCs w:val="18"/>
                  <w:u w:val="single"/>
                </w:rPr>
                <w:t>CADTH - Imaging Inventory, 2019-2020</w:t>
              </w:r>
            </w:hyperlink>
          </w:p>
        </w:tc>
      </w:tr>
      <w:tr w:rsidR="005707F3" w:rsidRPr="005707F3" w14:paraId="19213612" w14:textId="77777777" w:rsidTr="006F5861">
        <w:tc>
          <w:tcPr>
            <w:tcW w:w="2647" w:type="dxa"/>
          </w:tcPr>
          <w:p w14:paraId="1921360D" w14:textId="77777777" w:rsidR="005707F3" w:rsidRPr="005707F3" w:rsidRDefault="005707F3" w:rsidP="006F5861">
            <w:pPr>
              <w:tabs>
                <w:tab w:val="left" w:pos="384"/>
              </w:tabs>
              <w:rPr>
                <w:b/>
                <w:sz w:val="18"/>
                <w:szCs w:val="18"/>
              </w:rPr>
            </w:pPr>
            <w:r w:rsidRPr="005707F3">
              <w:rPr>
                <w:b/>
                <w:sz w:val="18"/>
                <w:szCs w:val="18"/>
              </w:rPr>
              <w:t xml:space="preserve">    </w:t>
            </w:r>
          </w:p>
        </w:tc>
        <w:tc>
          <w:tcPr>
            <w:tcW w:w="3118" w:type="dxa"/>
          </w:tcPr>
          <w:p w14:paraId="1921360E" w14:textId="77777777" w:rsidR="005707F3" w:rsidRPr="005707F3" w:rsidRDefault="005707F3" w:rsidP="006F5861">
            <w:pPr>
              <w:tabs>
                <w:tab w:val="left" w:pos="384"/>
              </w:tabs>
              <w:rPr>
                <w:sz w:val="18"/>
                <w:szCs w:val="18"/>
              </w:rPr>
            </w:pPr>
            <w:r w:rsidRPr="005707F3">
              <w:rPr>
                <w:sz w:val="18"/>
                <w:szCs w:val="18"/>
              </w:rPr>
              <w:t>% Allocation to dementia care</w:t>
            </w:r>
          </w:p>
        </w:tc>
        <w:tc>
          <w:tcPr>
            <w:tcW w:w="1843" w:type="dxa"/>
          </w:tcPr>
          <w:p w14:paraId="1921360F" w14:textId="1F52A163" w:rsidR="005707F3" w:rsidRPr="005707F3" w:rsidRDefault="008B64C7" w:rsidP="006F5861">
            <w:pPr>
              <w:tabs>
                <w:tab w:val="left" w:pos="384"/>
              </w:tabs>
              <w:rPr>
                <w:sz w:val="18"/>
                <w:szCs w:val="18"/>
              </w:rPr>
            </w:pPr>
            <w:r>
              <w:rPr>
                <w:sz w:val="18"/>
                <w:szCs w:val="18"/>
              </w:rPr>
              <w:t>2.3</w:t>
            </w:r>
            <w:r w:rsidR="005707F3" w:rsidRPr="005707F3">
              <w:rPr>
                <w:sz w:val="18"/>
                <w:szCs w:val="18"/>
              </w:rPr>
              <w:t>%</w:t>
            </w:r>
          </w:p>
        </w:tc>
        <w:tc>
          <w:tcPr>
            <w:tcW w:w="1843" w:type="dxa"/>
          </w:tcPr>
          <w:p w14:paraId="19213610" w14:textId="77777777" w:rsidR="005707F3" w:rsidRPr="005707F3" w:rsidRDefault="00AC5A79" w:rsidP="006F5861">
            <w:pPr>
              <w:tabs>
                <w:tab w:val="left" w:pos="384"/>
              </w:tabs>
              <w:rPr>
                <w:sz w:val="18"/>
                <w:szCs w:val="18"/>
              </w:rPr>
            </w:pPr>
            <w:hyperlink r:id="rId39">
              <w:r w:rsidR="005707F3" w:rsidRPr="005707F3">
                <w:rPr>
                  <w:sz w:val="18"/>
                  <w:szCs w:val="18"/>
                  <w:u w:val="single"/>
                </w:rPr>
                <w:t>Pedroza et al., 2022</w:t>
              </w:r>
            </w:hyperlink>
          </w:p>
        </w:tc>
      </w:tr>
      <w:tr w:rsidR="005707F3" w:rsidRPr="005707F3" w14:paraId="19213619" w14:textId="77777777" w:rsidTr="006F5861">
        <w:tc>
          <w:tcPr>
            <w:tcW w:w="2647" w:type="dxa"/>
          </w:tcPr>
          <w:p w14:paraId="19213613" w14:textId="77777777" w:rsidR="005707F3" w:rsidRPr="005707F3" w:rsidRDefault="005707F3" w:rsidP="006F5861">
            <w:pPr>
              <w:tabs>
                <w:tab w:val="left" w:pos="384"/>
              </w:tabs>
              <w:rPr>
                <w:b/>
                <w:sz w:val="18"/>
                <w:szCs w:val="18"/>
              </w:rPr>
            </w:pPr>
            <w:r w:rsidRPr="005707F3">
              <w:rPr>
                <w:b/>
                <w:sz w:val="18"/>
                <w:szCs w:val="18"/>
              </w:rPr>
              <w:t>MRI scans</w:t>
            </w:r>
          </w:p>
          <w:p w14:paraId="19213614" w14:textId="77777777" w:rsidR="005707F3" w:rsidRPr="005707F3" w:rsidRDefault="005707F3" w:rsidP="006F5861">
            <w:pPr>
              <w:tabs>
                <w:tab w:val="left" w:pos="384"/>
              </w:tabs>
              <w:rPr>
                <w:b/>
                <w:sz w:val="18"/>
                <w:szCs w:val="18"/>
              </w:rPr>
            </w:pPr>
          </w:p>
        </w:tc>
        <w:tc>
          <w:tcPr>
            <w:tcW w:w="3118" w:type="dxa"/>
          </w:tcPr>
          <w:p w14:paraId="19213615" w14:textId="0FE67058" w:rsidR="005707F3" w:rsidRPr="005707F3" w:rsidRDefault="005707F3" w:rsidP="006F5861">
            <w:pPr>
              <w:tabs>
                <w:tab w:val="left" w:pos="384"/>
              </w:tabs>
              <w:rPr>
                <w:sz w:val="18"/>
                <w:szCs w:val="18"/>
              </w:rPr>
            </w:pPr>
            <w:r w:rsidRPr="005707F3">
              <w:rPr>
                <w:sz w:val="18"/>
                <w:szCs w:val="18"/>
              </w:rPr>
              <w:t>Average # scans per week (</w:t>
            </w:r>
            <w:r w:rsidR="00C34A45">
              <w:rPr>
                <w:sz w:val="18"/>
                <w:szCs w:val="18"/>
              </w:rPr>
              <w:t xml:space="preserve">National, </w:t>
            </w:r>
            <w:r w:rsidRPr="005707F3">
              <w:rPr>
                <w:sz w:val="18"/>
                <w:szCs w:val="18"/>
              </w:rPr>
              <w:t>52 weeks/</w:t>
            </w:r>
            <w:proofErr w:type="spellStart"/>
            <w:r w:rsidRPr="005707F3">
              <w:rPr>
                <w:sz w:val="18"/>
                <w:szCs w:val="18"/>
              </w:rPr>
              <w:t>yr</w:t>
            </w:r>
            <w:proofErr w:type="spellEnd"/>
            <w:r w:rsidRPr="005707F3">
              <w:rPr>
                <w:sz w:val="18"/>
                <w:szCs w:val="18"/>
              </w:rPr>
              <w:t>)</w:t>
            </w:r>
          </w:p>
        </w:tc>
        <w:tc>
          <w:tcPr>
            <w:tcW w:w="1843" w:type="dxa"/>
          </w:tcPr>
          <w:p w14:paraId="19213616" w14:textId="40060C96" w:rsidR="005707F3" w:rsidRPr="005707F3" w:rsidRDefault="005707F3" w:rsidP="006F5861">
            <w:pPr>
              <w:tabs>
                <w:tab w:val="left" w:pos="384"/>
              </w:tabs>
              <w:rPr>
                <w:sz w:val="18"/>
                <w:szCs w:val="18"/>
              </w:rPr>
            </w:pPr>
            <w:r w:rsidRPr="005707F3">
              <w:rPr>
                <w:sz w:val="18"/>
                <w:szCs w:val="18"/>
              </w:rPr>
              <w:t>44,</w:t>
            </w:r>
            <w:r w:rsidR="008B4B0E">
              <w:rPr>
                <w:sz w:val="18"/>
                <w:szCs w:val="18"/>
              </w:rPr>
              <w:t>764</w:t>
            </w:r>
          </w:p>
        </w:tc>
        <w:tc>
          <w:tcPr>
            <w:tcW w:w="1843" w:type="dxa"/>
          </w:tcPr>
          <w:p w14:paraId="19213617" w14:textId="77777777" w:rsidR="005707F3" w:rsidRPr="005707F3" w:rsidRDefault="00AC5A79" w:rsidP="006F5861">
            <w:pPr>
              <w:tabs>
                <w:tab w:val="left" w:pos="384"/>
              </w:tabs>
              <w:rPr>
                <w:sz w:val="18"/>
                <w:szCs w:val="18"/>
              </w:rPr>
            </w:pPr>
            <w:hyperlink r:id="rId40">
              <w:r w:rsidR="005707F3" w:rsidRPr="005707F3">
                <w:rPr>
                  <w:sz w:val="18"/>
                  <w:szCs w:val="18"/>
                  <w:u w:val="single"/>
                </w:rPr>
                <w:t>CADTH - Imaging Inventory, 2019-2020</w:t>
              </w:r>
            </w:hyperlink>
          </w:p>
        </w:tc>
      </w:tr>
      <w:tr w:rsidR="005707F3" w:rsidRPr="005707F3" w14:paraId="1921361F" w14:textId="77777777" w:rsidTr="006F5861">
        <w:tc>
          <w:tcPr>
            <w:tcW w:w="2647" w:type="dxa"/>
          </w:tcPr>
          <w:p w14:paraId="1921361A" w14:textId="77777777" w:rsidR="005707F3" w:rsidRPr="005707F3" w:rsidRDefault="005707F3" w:rsidP="006F5861">
            <w:pPr>
              <w:tabs>
                <w:tab w:val="left" w:pos="384"/>
              </w:tabs>
              <w:rPr>
                <w:b/>
                <w:sz w:val="18"/>
                <w:szCs w:val="18"/>
              </w:rPr>
            </w:pPr>
            <w:r w:rsidRPr="005707F3">
              <w:rPr>
                <w:b/>
                <w:sz w:val="18"/>
                <w:szCs w:val="18"/>
              </w:rPr>
              <w:t xml:space="preserve">    </w:t>
            </w:r>
          </w:p>
        </w:tc>
        <w:tc>
          <w:tcPr>
            <w:tcW w:w="3118" w:type="dxa"/>
          </w:tcPr>
          <w:p w14:paraId="1921361B" w14:textId="77777777" w:rsidR="005707F3" w:rsidRPr="005707F3" w:rsidRDefault="005707F3" w:rsidP="006F5861">
            <w:pPr>
              <w:tabs>
                <w:tab w:val="left" w:pos="384"/>
              </w:tabs>
              <w:rPr>
                <w:sz w:val="18"/>
                <w:szCs w:val="18"/>
              </w:rPr>
            </w:pPr>
            <w:r w:rsidRPr="005707F3">
              <w:rPr>
                <w:sz w:val="18"/>
                <w:szCs w:val="18"/>
              </w:rPr>
              <w:t>% Allocation to dementia care</w:t>
            </w:r>
          </w:p>
        </w:tc>
        <w:tc>
          <w:tcPr>
            <w:tcW w:w="1843" w:type="dxa"/>
          </w:tcPr>
          <w:p w14:paraId="1921361C" w14:textId="431DBB1F" w:rsidR="005707F3" w:rsidRPr="005707F3" w:rsidRDefault="008B64C7" w:rsidP="006F5861">
            <w:pPr>
              <w:tabs>
                <w:tab w:val="left" w:pos="384"/>
              </w:tabs>
              <w:rPr>
                <w:sz w:val="18"/>
                <w:szCs w:val="18"/>
              </w:rPr>
            </w:pPr>
            <w:r>
              <w:rPr>
                <w:sz w:val="18"/>
                <w:szCs w:val="18"/>
              </w:rPr>
              <w:t>2.3</w:t>
            </w:r>
            <w:r w:rsidR="005707F3" w:rsidRPr="005707F3">
              <w:rPr>
                <w:sz w:val="18"/>
                <w:szCs w:val="18"/>
              </w:rPr>
              <w:t>%</w:t>
            </w:r>
          </w:p>
        </w:tc>
        <w:tc>
          <w:tcPr>
            <w:tcW w:w="1843" w:type="dxa"/>
          </w:tcPr>
          <w:p w14:paraId="1921361D" w14:textId="77777777" w:rsidR="005707F3" w:rsidRPr="005707F3" w:rsidRDefault="00AC5A79" w:rsidP="006F5861">
            <w:pPr>
              <w:tabs>
                <w:tab w:val="left" w:pos="384"/>
              </w:tabs>
              <w:rPr>
                <w:sz w:val="18"/>
                <w:szCs w:val="18"/>
              </w:rPr>
            </w:pPr>
            <w:hyperlink r:id="rId41">
              <w:r w:rsidR="005707F3" w:rsidRPr="005707F3">
                <w:rPr>
                  <w:sz w:val="18"/>
                  <w:szCs w:val="18"/>
                  <w:u w:val="single"/>
                </w:rPr>
                <w:t>Pedroza et al., 2022</w:t>
              </w:r>
            </w:hyperlink>
          </w:p>
        </w:tc>
      </w:tr>
      <w:tr w:rsidR="005707F3" w:rsidRPr="005707F3" w14:paraId="19213627" w14:textId="77777777" w:rsidTr="006F5861">
        <w:tc>
          <w:tcPr>
            <w:tcW w:w="2647" w:type="dxa"/>
          </w:tcPr>
          <w:p w14:paraId="19213620" w14:textId="77777777" w:rsidR="005707F3" w:rsidRPr="005707F3" w:rsidRDefault="005707F3" w:rsidP="006F5861">
            <w:pPr>
              <w:tabs>
                <w:tab w:val="left" w:pos="384"/>
              </w:tabs>
              <w:rPr>
                <w:b/>
                <w:sz w:val="18"/>
                <w:szCs w:val="18"/>
              </w:rPr>
            </w:pPr>
            <w:r w:rsidRPr="005707F3">
              <w:rPr>
                <w:b/>
                <w:sz w:val="18"/>
                <w:szCs w:val="18"/>
              </w:rPr>
              <w:t>PET scans</w:t>
            </w:r>
          </w:p>
          <w:p w14:paraId="19213621" w14:textId="77777777" w:rsidR="005707F3" w:rsidRPr="005707F3" w:rsidRDefault="005707F3" w:rsidP="006F5861">
            <w:pPr>
              <w:tabs>
                <w:tab w:val="left" w:pos="384"/>
              </w:tabs>
              <w:rPr>
                <w:b/>
                <w:sz w:val="18"/>
                <w:szCs w:val="18"/>
              </w:rPr>
            </w:pPr>
          </w:p>
        </w:tc>
        <w:tc>
          <w:tcPr>
            <w:tcW w:w="3118" w:type="dxa"/>
          </w:tcPr>
          <w:p w14:paraId="19213622" w14:textId="699C7F65" w:rsidR="005707F3" w:rsidRPr="005707F3" w:rsidRDefault="005707F3" w:rsidP="006F5861">
            <w:pPr>
              <w:tabs>
                <w:tab w:val="left" w:pos="384"/>
              </w:tabs>
              <w:rPr>
                <w:sz w:val="18"/>
                <w:szCs w:val="18"/>
              </w:rPr>
            </w:pPr>
            <w:r w:rsidRPr="005707F3">
              <w:rPr>
                <w:sz w:val="18"/>
                <w:szCs w:val="18"/>
              </w:rPr>
              <w:t>Average # scans per week (</w:t>
            </w:r>
            <w:r w:rsidR="00C34A45">
              <w:rPr>
                <w:sz w:val="18"/>
                <w:szCs w:val="18"/>
              </w:rPr>
              <w:t xml:space="preserve">National, </w:t>
            </w:r>
            <w:r w:rsidRPr="005707F3">
              <w:rPr>
                <w:sz w:val="18"/>
                <w:szCs w:val="18"/>
              </w:rPr>
              <w:t>52 weeks/</w:t>
            </w:r>
            <w:proofErr w:type="spellStart"/>
            <w:r w:rsidRPr="005707F3">
              <w:rPr>
                <w:sz w:val="18"/>
                <w:szCs w:val="18"/>
              </w:rPr>
              <w:t>yr</w:t>
            </w:r>
            <w:proofErr w:type="spellEnd"/>
            <w:r w:rsidRPr="005707F3">
              <w:rPr>
                <w:sz w:val="18"/>
                <w:szCs w:val="18"/>
              </w:rPr>
              <w:t>)</w:t>
            </w:r>
          </w:p>
        </w:tc>
        <w:tc>
          <w:tcPr>
            <w:tcW w:w="1843" w:type="dxa"/>
          </w:tcPr>
          <w:p w14:paraId="19213624" w14:textId="50AB6084" w:rsidR="005707F3" w:rsidRPr="005707F3" w:rsidRDefault="001462BD" w:rsidP="00FC53EF">
            <w:pPr>
              <w:tabs>
                <w:tab w:val="left" w:pos="384"/>
              </w:tabs>
              <w:rPr>
                <w:sz w:val="18"/>
                <w:szCs w:val="18"/>
              </w:rPr>
            </w:pPr>
            <w:r>
              <w:rPr>
                <w:sz w:val="18"/>
                <w:szCs w:val="18"/>
              </w:rPr>
              <w:t>2,41</w:t>
            </w:r>
            <w:r w:rsidR="00FC53EF">
              <w:rPr>
                <w:sz w:val="18"/>
                <w:szCs w:val="18"/>
              </w:rPr>
              <w:t>9</w:t>
            </w:r>
          </w:p>
        </w:tc>
        <w:tc>
          <w:tcPr>
            <w:tcW w:w="1843" w:type="dxa"/>
          </w:tcPr>
          <w:p w14:paraId="19213625" w14:textId="5A937F4C" w:rsidR="005707F3" w:rsidRPr="005707F3" w:rsidRDefault="00AC5A79" w:rsidP="006F5861">
            <w:pPr>
              <w:tabs>
                <w:tab w:val="left" w:pos="384"/>
              </w:tabs>
              <w:rPr>
                <w:sz w:val="18"/>
                <w:szCs w:val="18"/>
              </w:rPr>
            </w:pPr>
            <w:hyperlink r:id="rId42">
              <w:r w:rsidR="005707F3" w:rsidRPr="005707F3">
                <w:rPr>
                  <w:sz w:val="18"/>
                  <w:szCs w:val="18"/>
                  <w:u w:val="single"/>
                </w:rPr>
                <w:t xml:space="preserve">CADTH </w:t>
              </w:r>
              <w:r w:rsidR="00FC53EF">
                <w:rPr>
                  <w:sz w:val="18"/>
                  <w:szCs w:val="18"/>
                  <w:u w:val="single"/>
                </w:rPr>
                <w:t>–</w:t>
              </w:r>
              <w:r w:rsidR="005707F3" w:rsidRPr="005707F3">
                <w:rPr>
                  <w:sz w:val="18"/>
                  <w:szCs w:val="18"/>
                  <w:u w:val="single"/>
                </w:rPr>
                <w:t xml:space="preserve"> Imaging</w:t>
              </w:r>
              <w:r w:rsidR="00FC53EF">
                <w:rPr>
                  <w:sz w:val="18"/>
                  <w:szCs w:val="18"/>
                  <w:u w:val="single"/>
                </w:rPr>
                <w:t xml:space="preserve"> </w:t>
              </w:r>
              <w:r w:rsidR="005707F3" w:rsidRPr="005707F3">
                <w:rPr>
                  <w:sz w:val="18"/>
                  <w:szCs w:val="18"/>
                  <w:u w:val="single"/>
                </w:rPr>
                <w:t>Inventory, 2019-2020</w:t>
              </w:r>
            </w:hyperlink>
          </w:p>
        </w:tc>
      </w:tr>
      <w:tr w:rsidR="005707F3" w:rsidRPr="005707F3" w14:paraId="1921362D" w14:textId="77777777" w:rsidTr="006F5861">
        <w:tc>
          <w:tcPr>
            <w:tcW w:w="2647" w:type="dxa"/>
          </w:tcPr>
          <w:p w14:paraId="19213628" w14:textId="77777777" w:rsidR="005707F3" w:rsidRPr="005707F3" w:rsidRDefault="005707F3" w:rsidP="006F5861">
            <w:pPr>
              <w:tabs>
                <w:tab w:val="left" w:pos="384"/>
              </w:tabs>
              <w:rPr>
                <w:b/>
                <w:sz w:val="18"/>
                <w:szCs w:val="18"/>
              </w:rPr>
            </w:pPr>
            <w:r w:rsidRPr="005707F3">
              <w:rPr>
                <w:b/>
                <w:sz w:val="18"/>
                <w:szCs w:val="18"/>
              </w:rPr>
              <w:t xml:space="preserve">    </w:t>
            </w:r>
          </w:p>
        </w:tc>
        <w:tc>
          <w:tcPr>
            <w:tcW w:w="3118" w:type="dxa"/>
          </w:tcPr>
          <w:p w14:paraId="19213629" w14:textId="77777777" w:rsidR="005707F3" w:rsidRPr="005707F3" w:rsidRDefault="005707F3" w:rsidP="006F5861">
            <w:pPr>
              <w:tabs>
                <w:tab w:val="left" w:pos="384"/>
              </w:tabs>
              <w:rPr>
                <w:sz w:val="18"/>
                <w:szCs w:val="18"/>
              </w:rPr>
            </w:pPr>
            <w:r w:rsidRPr="005707F3">
              <w:rPr>
                <w:sz w:val="18"/>
                <w:szCs w:val="18"/>
              </w:rPr>
              <w:t>% Allocation to dementia care</w:t>
            </w:r>
          </w:p>
        </w:tc>
        <w:tc>
          <w:tcPr>
            <w:tcW w:w="1843" w:type="dxa"/>
          </w:tcPr>
          <w:p w14:paraId="1921362A" w14:textId="66A06BED" w:rsidR="005707F3" w:rsidRPr="005707F3" w:rsidRDefault="008B64C7" w:rsidP="006F5861">
            <w:pPr>
              <w:tabs>
                <w:tab w:val="left" w:pos="384"/>
              </w:tabs>
              <w:rPr>
                <w:sz w:val="18"/>
                <w:szCs w:val="18"/>
              </w:rPr>
            </w:pPr>
            <w:r>
              <w:rPr>
                <w:sz w:val="18"/>
                <w:szCs w:val="18"/>
              </w:rPr>
              <w:t>2.3</w:t>
            </w:r>
            <w:r w:rsidR="005707F3" w:rsidRPr="005707F3">
              <w:rPr>
                <w:sz w:val="18"/>
                <w:szCs w:val="18"/>
              </w:rPr>
              <w:t>%</w:t>
            </w:r>
          </w:p>
        </w:tc>
        <w:tc>
          <w:tcPr>
            <w:tcW w:w="1843" w:type="dxa"/>
          </w:tcPr>
          <w:p w14:paraId="1921362B" w14:textId="77777777" w:rsidR="005707F3" w:rsidRPr="005707F3" w:rsidRDefault="00AC5A79" w:rsidP="006F5861">
            <w:pPr>
              <w:tabs>
                <w:tab w:val="left" w:pos="384"/>
              </w:tabs>
              <w:rPr>
                <w:sz w:val="18"/>
                <w:szCs w:val="18"/>
              </w:rPr>
            </w:pPr>
            <w:hyperlink r:id="rId43">
              <w:r w:rsidR="005707F3" w:rsidRPr="005707F3">
                <w:rPr>
                  <w:sz w:val="18"/>
                  <w:szCs w:val="18"/>
                  <w:u w:val="single"/>
                </w:rPr>
                <w:t>Pedroza et al., 2022</w:t>
              </w:r>
            </w:hyperlink>
          </w:p>
        </w:tc>
      </w:tr>
      <w:tr w:rsidR="005707F3" w14:paraId="19213633" w14:textId="77777777" w:rsidTr="006F5861">
        <w:tc>
          <w:tcPr>
            <w:tcW w:w="2647" w:type="dxa"/>
            <w:shd w:val="clear" w:color="auto" w:fill="BFBFBF" w:themeFill="background1" w:themeFillShade="BF"/>
          </w:tcPr>
          <w:p w14:paraId="1921362E" w14:textId="77777777" w:rsidR="005707F3" w:rsidRPr="005707F3" w:rsidRDefault="005707F3" w:rsidP="006F5861">
            <w:pPr>
              <w:tabs>
                <w:tab w:val="left" w:pos="384"/>
              </w:tabs>
              <w:rPr>
                <w:b/>
                <w:color w:val="000000"/>
                <w:sz w:val="18"/>
                <w:szCs w:val="18"/>
              </w:rPr>
            </w:pPr>
            <w:r w:rsidRPr="005707F3">
              <w:rPr>
                <w:b/>
                <w:color w:val="000000"/>
                <w:sz w:val="18"/>
                <w:szCs w:val="18"/>
              </w:rPr>
              <w:t>Working hours</w:t>
            </w:r>
          </w:p>
        </w:tc>
        <w:tc>
          <w:tcPr>
            <w:tcW w:w="3118" w:type="dxa"/>
            <w:shd w:val="clear" w:color="auto" w:fill="BFBFBF" w:themeFill="background1" w:themeFillShade="BF"/>
          </w:tcPr>
          <w:p w14:paraId="1921362F" w14:textId="77777777" w:rsidR="005707F3" w:rsidRDefault="005707F3" w:rsidP="006F5861">
            <w:pPr>
              <w:tabs>
                <w:tab w:val="left" w:pos="384"/>
              </w:tabs>
              <w:rPr>
                <w:b/>
                <w:color w:val="000000"/>
                <w:sz w:val="18"/>
                <w:szCs w:val="18"/>
              </w:rPr>
            </w:pPr>
          </w:p>
        </w:tc>
        <w:tc>
          <w:tcPr>
            <w:tcW w:w="1843" w:type="dxa"/>
            <w:shd w:val="clear" w:color="auto" w:fill="BFBFBF" w:themeFill="background1" w:themeFillShade="BF"/>
          </w:tcPr>
          <w:p w14:paraId="19213630" w14:textId="77777777" w:rsidR="005707F3" w:rsidRDefault="005707F3" w:rsidP="006F5861">
            <w:pPr>
              <w:tabs>
                <w:tab w:val="left" w:pos="384"/>
              </w:tabs>
              <w:rPr>
                <w:b/>
                <w:color w:val="000000"/>
                <w:sz w:val="18"/>
                <w:szCs w:val="18"/>
              </w:rPr>
            </w:pPr>
          </w:p>
        </w:tc>
        <w:tc>
          <w:tcPr>
            <w:tcW w:w="1843" w:type="dxa"/>
            <w:shd w:val="clear" w:color="auto" w:fill="BFBFBF" w:themeFill="background1" w:themeFillShade="BF"/>
          </w:tcPr>
          <w:p w14:paraId="19213631" w14:textId="77777777" w:rsidR="005707F3" w:rsidRDefault="005707F3" w:rsidP="006F5861">
            <w:pPr>
              <w:tabs>
                <w:tab w:val="left" w:pos="384"/>
              </w:tabs>
              <w:rPr>
                <w:b/>
                <w:color w:val="000000"/>
                <w:sz w:val="18"/>
                <w:szCs w:val="18"/>
              </w:rPr>
            </w:pPr>
          </w:p>
        </w:tc>
      </w:tr>
      <w:tr w:rsidR="005707F3" w:rsidRPr="005707F3" w14:paraId="19213639" w14:textId="77777777" w:rsidTr="006F5861">
        <w:tc>
          <w:tcPr>
            <w:tcW w:w="2647" w:type="dxa"/>
            <w:vMerge w:val="restart"/>
          </w:tcPr>
          <w:p w14:paraId="19213634" w14:textId="77777777" w:rsidR="005707F3" w:rsidRPr="005707F3" w:rsidRDefault="005707F3" w:rsidP="006F5861">
            <w:pPr>
              <w:tabs>
                <w:tab w:val="left" w:pos="384"/>
              </w:tabs>
              <w:rPr>
                <w:b/>
                <w:sz w:val="18"/>
                <w:szCs w:val="18"/>
              </w:rPr>
            </w:pPr>
            <w:r w:rsidRPr="005707F3">
              <w:rPr>
                <w:b/>
                <w:sz w:val="18"/>
                <w:szCs w:val="18"/>
              </w:rPr>
              <w:t>Hours worked per week (clinical work)</w:t>
            </w:r>
          </w:p>
        </w:tc>
        <w:tc>
          <w:tcPr>
            <w:tcW w:w="3118" w:type="dxa"/>
          </w:tcPr>
          <w:p w14:paraId="19213635" w14:textId="77777777" w:rsidR="005707F3" w:rsidRPr="005707F3" w:rsidRDefault="005707F3" w:rsidP="006F5861">
            <w:pPr>
              <w:tabs>
                <w:tab w:val="left" w:pos="384"/>
              </w:tabs>
              <w:rPr>
                <w:sz w:val="18"/>
                <w:szCs w:val="18"/>
              </w:rPr>
            </w:pPr>
            <w:r w:rsidRPr="005707F3">
              <w:rPr>
                <w:sz w:val="18"/>
                <w:szCs w:val="18"/>
              </w:rPr>
              <w:t>Estimated total number of hours health care providers would dedicate to AD practice.</w:t>
            </w:r>
          </w:p>
        </w:tc>
        <w:tc>
          <w:tcPr>
            <w:tcW w:w="1843" w:type="dxa"/>
          </w:tcPr>
          <w:p w14:paraId="19213636" w14:textId="77777777" w:rsidR="005707F3" w:rsidRPr="005707F3" w:rsidRDefault="005707F3" w:rsidP="006F5861">
            <w:pPr>
              <w:widowControl w:val="0"/>
              <w:pBdr>
                <w:top w:val="nil"/>
                <w:left w:val="nil"/>
                <w:bottom w:val="nil"/>
                <w:right w:val="nil"/>
                <w:between w:val="nil"/>
              </w:pBdr>
              <w:rPr>
                <w:sz w:val="18"/>
                <w:szCs w:val="18"/>
              </w:rPr>
            </w:pPr>
            <w:r w:rsidRPr="005707F3">
              <w:rPr>
                <w:sz w:val="18"/>
                <w:szCs w:val="18"/>
              </w:rPr>
              <w:t xml:space="preserve">37.5 hours </w:t>
            </w:r>
          </w:p>
        </w:tc>
        <w:tc>
          <w:tcPr>
            <w:tcW w:w="1843" w:type="dxa"/>
          </w:tcPr>
          <w:p w14:paraId="19213637" w14:textId="77777777" w:rsidR="005707F3" w:rsidRPr="005707F3" w:rsidRDefault="00AC5A79" w:rsidP="006F5861">
            <w:pPr>
              <w:tabs>
                <w:tab w:val="left" w:pos="384"/>
              </w:tabs>
              <w:rPr>
                <w:sz w:val="18"/>
                <w:szCs w:val="18"/>
              </w:rPr>
            </w:pPr>
            <w:hyperlink r:id="rId44">
              <w:r w:rsidR="005707F3" w:rsidRPr="005707F3">
                <w:rPr>
                  <w:sz w:val="18"/>
                  <w:szCs w:val="18"/>
                  <w:u w:val="single"/>
                </w:rPr>
                <w:t>Health Service, Government of Canada</w:t>
              </w:r>
            </w:hyperlink>
          </w:p>
        </w:tc>
      </w:tr>
      <w:tr w:rsidR="005707F3" w:rsidRPr="005707F3" w14:paraId="1921363F" w14:textId="77777777" w:rsidTr="006F5861">
        <w:tc>
          <w:tcPr>
            <w:tcW w:w="2647" w:type="dxa"/>
            <w:vMerge/>
          </w:tcPr>
          <w:p w14:paraId="1921363A" w14:textId="77777777" w:rsidR="005707F3" w:rsidRPr="005707F3" w:rsidRDefault="005707F3" w:rsidP="006F5861">
            <w:pPr>
              <w:widowControl w:val="0"/>
              <w:pBdr>
                <w:top w:val="nil"/>
                <w:left w:val="nil"/>
                <w:bottom w:val="nil"/>
                <w:right w:val="nil"/>
                <w:between w:val="nil"/>
              </w:pBdr>
              <w:rPr>
                <w:b/>
                <w:sz w:val="18"/>
                <w:szCs w:val="18"/>
              </w:rPr>
            </w:pPr>
          </w:p>
        </w:tc>
        <w:tc>
          <w:tcPr>
            <w:tcW w:w="3118" w:type="dxa"/>
          </w:tcPr>
          <w:p w14:paraId="1921363B" w14:textId="77777777" w:rsidR="005707F3" w:rsidRPr="005707F3" w:rsidRDefault="005707F3" w:rsidP="006F5861">
            <w:pPr>
              <w:tabs>
                <w:tab w:val="left" w:pos="384"/>
              </w:tabs>
              <w:rPr>
                <w:sz w:val="18"/>
                <w:szCs w:val="18"/>
              </w:rPr>
            </w:pPr>
            <w:r w:rsidRPr="005707F3">
              <w:rPr>
                <w:sz w:val="18"/>
                <w:szCs w:val="18"/>
              </w:rPr>
              <w:t xml:space="preserve">Estimated direct patient care hours per week for all physicians </w:t>
            </w:r>
          </w:p>
        </w:tc>
        <w:tc>
          <w:tcPr>
            <w:tcW w:w="1843" w:type="dxa"/>
          </w:tcPr>
          <w:p w14:paraId="1921363C" w14:textId="77777777" w:rsidR="005707F3" w:rsidRPr="005707F3" w:rsidRDefault="005707F3" w:rsidP="006F5861">
            <w:pPr>
              <w:tabs>
                <w:tab w:val="left" w:pos="384"/>
              </w:tabs>
              <w:rPr>
                <w:sz w:val="18"/>
                <w:szCs w:val="18"/>
              </w:rPr>
            </w:pPr>
            <w:r w:rsidRPr="005707F3">
              <w:rPr>
                <w:sz w:val="18"/>
                <w:szCs w:val="18"/>
              </w:rPr>
              <w:t>26 hours</w:t>
            </w:r>
          </w:p>
        </w:tc>
        <w:tc>
          <w:tcPr>
            <w:tcW w:w="1843" w:type="dxa"/>
          </w:tcPr>
          <w:p w14:paraId="1921363D" w14:textId="77777777" w:rsidR="005707F3" w:rsidRPr="005707F3" w:rsidRDefault="00AC5A79" w:rsidP="006F5861">
            <w:pPr>
              <w:tabs>
                <w:tab w:val="left" w:pos="384"/>
              </w:tabs>
              <w:rPr>
                <w:sz w:val="18"/>
                <w:szCs w:val="18"/>
              </w:rPr>
            </w:pPr>
            <w:hyperlink r:id="rId45" w:anchor="page=1">
              <w:r w:rsidR="005707F3" w:rsidRPr="005707F3">
                <w:rPr>
                  <w:sz w:val="18"/>
                  <w:szCs w:val="18"/>
                  <w:u w:val="single"/>
                </w:rPr>
                <w:t>Canadian Medical association, 2019</w:t>
              </w:r>
            </w:hyperlink>
          </w:p>
        </w:tc>
      </w:tr>
      <w:tr w:rsidR="005707F3" w:rsidRPr="005707F3" w14:paraId="19213646" w14:textId="77777777" w:rsidTr="006F5861">
        <w:tc>
          <w:tcPr>
            <w:tcW w:w="2647" w:type="dxa"/>
          </w:tcPr>
          <w:p w14:paraId="19213640" w14:textId="77777777" w:rsidR="005707F3" w:rsidRPr="005707F3" w:rsidRDefault="005707F3" w:rsidP="006F5861">
            <w:pPr>
              <w:tabs>
                <w:tab w:val="left" w:pos="384"/>
              </w:tabs>
              <w:rPr>
                <w:b/>
                <w:sz w:val="18"/>
                <w:szCs w:val="18"/>
              </w:rPr>
            </w:pPr>
            <w:r w:rsidRPr="005707F3">
              <w:rPr>
                <w:b/>
                <w:sz w:val="18"/>
                <w:szCs w:val="18"/>
              </w:rPr>
              <w:t>Working weeks per year</w:t>
            </w:r>
          </w:p>
        </w:tc>
        <w:tc>
          <w:tcPr>
            <w:tcW w:w="3118" w:type="dxa"/>
          </w:tcPr>
          <w:p w14:paraId="19213641" w14:textId="77777777" w:rsidR="005707F3" w:rsidRPr="005707F3" w:rsidRDefault="005707F3" w:rsidP="006F5861">
            <w:pPr>
              <w:tabs>
                <w:tab w:val="left" w:pos="384"/>
              </w:tabs>
              <w:rPr>
                <w:sz w:val="18"/>
                <w:szCs w:val="18"/>
              </w:rPr>
            </w:pPr>
            <w:r w:rsidRPr="005707F3">
              <w:rPr>
                <w:sz w:val="18"/>
                <w:szCs w:val="18"/>
              </w:rPr>
              <w:t>Assuming 10 completed years of service and 4 weeks of vacation.</w:t>
            </w:r>
          </w:p>
        </w:tc>
        <w:tc>
          <w:tcPr>
            <w:tcW w:w="1843" w:type="dxa"/>
          </w:tcPr>
          <w:p w14:paraId="19213642" w14:textId="77777777" w:rsidR="005707F3" w:rsidRPr="005707F3" w:rsidRDefault="005707F3" w:rsidP="006F5861">
            <w:pPr>
              <w:tabs>
                <w:tab w:val="left" w:pos="384"/>
              </w:tabs>
              <w:rPr>
                <w:sz w:val="18"/>
                <w:szCs w:val="18"/>
              </w:rPr>
            </w:pPr>
            <w:r w:rsidRPr="005707F3">
              <w:rPr>
                <w:sz w:val="18"/>
                <w:szCs w:val="18"/>
              </w:rPr>
              <w:t>48 weeks</w:t>
            </w:r>
          </w:p>
          <w:p w14:paraId="19213643" w14:textId="77777777" w:rsidR="005707F3" w:rsidRPr="005707F3" w:rsidRDefault="005707F3" w:rsidP="006F5861">
            <w:pPr>
              <w:tabs>
                <w:tab w:val="left" w:pos="384"/>
              </w:tabs>
              <w:rPr>
                <w:sz w:val="18"/>
                <w:szCs w:val="18"/>
              </w:rPr>
            </w:pPr>
          </w:p>
        </w:tc>
        <w:tc>
          <w:tcPr>
            <w:tcW w:w="1843" w:type="dxa"/>
          </w:tcPr>
          <w:p w14:paraId="19213644" w14:textId="77777777" w:rsidR="005707F3" w:rsidRPr="005707F3" w:rsidRDefault="00AC5A79" w:rsidP="006F5861">
            <w:pPr>
              <w:tabs>
                <w:tab w:val="left" w:pos="384"/>
              </w:tabs>
              <w:rPr>
                <w:sz w:val="18"/>
                <w:szCs w:val="18"/>
              </w:rPr>
            </w:pPr>
            <w:hyperlink r:id="rId46" w:anchor="h2.01">
              <w:r w:rsidR="005707F3" w:rsidRPr="005707F3">
                <w:rPr>
                  <w:sz w:val="18"/>
                  <w:szCs w:val="18"/>
                  <w:u w:val="single"/>
                </w:rPr>
                <w:t>Canada Annual Vacations</w:t>
              </w:r>
            </w:hyperlink>
          </w:p>
        </w:tc>
      </w:tr>
    </w:tbl>
    <w:p w14:paraId="1921365A" w14:textId="77777777" w:rsidR="00411BB9" w:rsidRDefault="00411BB9">
      <w:pPr>
        <w:pBdr>
          <w:top w:val="nil"/>
          <w:left w:val="nil"/>
          <w:bottom w:val="nil"/>
          <w:right w:val="nil"/>
          <w:between w:val="nil"/>
        </w:pBdr>
        <w:spacing w:after="0"/>
        <w:rPr>
          <w:b/>
        </w:rPr>
      </w:pPr>
    </w:p>
    <w:p w14:paraId="1921365C" w14:textId="77777777" w:rsidR="00411BB9" w:rsidRDefault="00411BB9" w:rsidP="00EA4400">
      <w:pPr>
        <w:pBdr>
          <w:top w:val="nil"/>
          <w:left w:val="nil"/>
          <w:bottom w:val="nil"/>
          <w:right w:val="nil"/>
          <w:between w:val="nil"/>
        </w:pBdr>
        <w:spacing w:after="0" w:line="240" w:lineRule="auto"/>
        <w:rPr>
          <w:b/>
        </w:rPr>
      </w:pPr>
    </w:p>
    <w:p w14:paraId="5C4CA6DD" w14:textId="77777777" w:rsidR="00EA4400" w:rsidRDefault="00EA4400">
      <w:pPr>
        <w:rPr>
          <w:b/>
          <w:color w:val="000000"/>
        </w:rPr>
      </w:pPr>
      <w:r>
        <w:rPr>
          <w:b/>
          <w:color w:val="000000"/>
        </w:rPr>
        <w:br w:type="page"/>
      </w:r>
    </w:p>
    <w:p w14:paraId="1921365D" w14:textId="52ECA0ED" w:rsidR="00411BB9" w:rsidRDefault="003B3739" w:rsidP="00EA4400">
      <w:pPr>
        <w:spacing w:after="0" w:line="240" w:lineRule="auto"/>
        <w:rPr>
          <w:b/>
          <w:color w:val="000000"/>
        </w:rPr>
      </w:pPr>
      <w:r>
        <w:rPr>
          <w:b/>
          <w:color w:val="000000"/>
        </w:rPr>
        <w:lastRenderedPageBreak/>
        <w:t>Table S</w:t>
      </w:r>
      <w:r>
        <w:rPr>
          <w:b/>
        </w:rPr>
        <w:t>4</w:t>
      </w:r>
      <w:r>
        <w:rPr>
          <w:b/>
          <w:color w:val="000000"/>
        </w:rPr>
        <w:t>. Provincial capacity gaps for each step of the patient treatment journey.</w:t>
      </w:r>
      <w:r w:rsidR="00790AF2">
        <w:rPr>
          <w:b/>
          <w:color w:val="000000"/>
        </w:rPr>
        <w:t xml:space="preserve"> Proportions represent </w:t>
      </w:r>
      <w:r w:rsidR="004A48BA">
        <w:rPr>
          <w:b/>
          <w:color w:val="000000"/>
        </w:rPr>
        <w:t>the number of patients with access</w:t>
      </w:r>
      <w:r w:rsidR="00F70FD2">
        <w:rPr>
          <w:b/>
          <w:color w:val="000000"/>
        </w:rPr>
        <w:t>,</w:t>
      </w:r>
      <w:r w:rsidR="004A48BA">
        <w:rPr>
          <w:b/>
          <w:color w:val="000000"/>
        </w:rPr>
        <w:t xml:space="preserve"> as a function of the total potential demand</w:t>
      </w:r>
      <w:r w:rsidR="00AB3886">
        <w:rPr>
          <w:b/>
          <w:color w:val="000000"/>
        </w:rPr>
        <w:t xml:space="preserve"> in that step</w:t>
      </w:r>
      <w:r w:rsidR="004A48BA">
        <w:rPr>
          <w:b/>
          <w:color w:val="000000"/>
        </w:rPr>
        <w:t xml:space="preserve"> (</w:t>
      </w:r>
      <w:r w:rsidR="00AB3886">
        <w:rPr>
          <w:b/>
          <w:color w:val="000000"/>
        </w:rPr>
        <w:t>i.e.</w:t>
      </w:r>
      <w:r w:rsidR="00F70FD2">
        <w:rPr>
          <w:b/>
          <w:color w:val="000000"/>
        </w:rPr>
        <w:t>,</w:t>
      </w:r>
      <w:r w:rsidR="00AB3886">
        <w:rPr>
          <w:b/>
          <w:color w:val="000000"/>
        </w:rPr>
        <w:t xml:space="preserve"> </w:t>
      </w:r>
      <w:r w:rsidR="004A48BA">
        <w:rPr>
          <w:b/>
          <w:color w:val="000000"/>
        </w:rPr>
        <w:t>satisfied +</w:t>
      </w:r>
      <w:r w:rsidR="00AB3886">
        <w:rPr>
          <w:b/>
          <w:color w:val="000000"/>
        </w:rPr>
        <w:t xml:space="preserve"> </w:t>
      </w:r>
      <w:r w:rsidR="004A48BA">
        <w:rPr>
          <w:b/>
          <w:color w:val="000000"/>
        </w:rPr>
        <w:t>unsatisfied</w:t>
      </w:r>
      <w:r w:rsidR="00AB3886">
        <w:rPr>
          <w:b/>
          <w:color w:val="000000"/>
        </w:rPr>
        <w:t xml:space="preserve"> demand from the previous step) </w:t>
      </w:r>
    </w:p>
    <w:tbl>
      <w:tblPr>
        <w:tblStyle w:val="a2"/>
        <w:tblW w:w="8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0"/>
        <w:gridCol w:w="2126"/>
        <w:gridCol w:w="2126"/>
        <w:gridCol w:w="2664"/>
      </w:tblGrid>
      <w:tr w:rsidR="005B5566" w14:paraId="19213660" w14:textId="77777777" w:rsidTr="0056548E">
        <w:tc>
          <w:tcPr>
            <w:tcW w:w="1980" w:type="dxa"/>
            <w:vMerge w:val="restart"/>
            <w:shd w:val="clear" w:color="auto" w:fill="BFBFBF" w:themeFill="background1" w:themeFillShade="BF"/>
          </w:tcPr>
          <w:p w14:paraId="1921365E" w14:textId="5238E7B3" w:rsidR="005B5566" w:rsidRDefault="005B5566" w:rsidP="00EA4400">
            <w:pPr>
              <w:rPr>
                <w:b/>
                <w:color w:val="000000"/>
              </w:rPr>
            </w:pPr>
            <w:r>
              <w:rPr>
                <w:b/>
                <w:color w:val="000000"/>
              </w:rPr>
              <w:t>Province</w:t>
            </w:r>
          </w:p>
        </w:tc>
        <w:tc>
          <w:tcPr>
            <w:tcW w:w="6916" w:type="dxa"/>
            <w:gridSpan w:val="3"/>
            <w:shd w:val="clear" w:color="auto" w:fill="BFBFBF" w:themeFill="background1" w:themeFillShade="BF"/>
          </w:tcPr>
          <w:p w14:paraId="1921365F" w14:textId="77777777" w:rsidR="005B5566" w:rsidRDefault="005B5566" w:rsidP="00EA4400">
            <w:pPr>
              <w:jc w:val="center"/>
              <w:rPr>
                <w:b/>
              </w:rPr>
            </w:pPr>
            <w:r>
              <w:rPr>
                <w:b/>
              </w:rPr>
              <w:t>Patient Journey Step</w:t>
            </w:r>
          </w:p>
        </w:tc>
      </w:tr>
      <w:tr w:rsidR="005B5566" w14:paraId="19213665" w14:textId="77777777" w:rsidTr="0056548E">
        <w:tc>
          <w:tcPr>
            <w:tcW w:w="1980" w:type="dxa"/>
            <w:vMerge/>
            <w:shd w:val="clear" w:color="auto" w:fill="BFBFBF" w:themeFill="background1" w:themeFillShade="BF"/>
          </w:tcPr>
          <w:p w14:paraId="19213661" w14:textId="1A747A0D" w:rsidR="005B5566" w:rsidRDefault="005B5566" w:rsidP="00EA4400">
            <w:pPr>
              <w:rPr>
                <w:b/>
                <w:color w:val="000000"/>
              </w:rPr>
            </w:pPr>
          </w:p>
        </w:tc>
        <w:tc>
          <w:tcPr>
            <w:tcW w:w="2126" w:type="dxa"/>
            <w:tcBorders>
              <w:bottom w:val="single" w:sz="5" w:space="0" w:color="000000"/>
            </w:tcBorders>
            <w:shd w:val="clear" w:color="auto" w:fill="BFBFBF" w:themeFill="background1" w:themeFillShade="BF"/>
          </w:tcPr>
          <w:p w14:paraId="19213662" w14:textId="77777777" w:rsidR="005B5566" w:rsidRDefault="005B5566" w:rsidP="00EA4400">
            <w:pPr>
              <w:jc w:val="center"/>
              <w:rPr>
                <w:b/>
                <w:color w:val="000000"/>
              </w:rPr>
            </w:pPr>
            <w:r>
              <w:rPr>
                <w:b/>
                <w:color w:val="000000"/>
              </w:rPr>
              <w:t>Diagnosis</w:t>
            </w:r>
          </w:p>
        </w:tc>
        <w:tc>
          <w:tcPr>
            <w:tcW w:w="2126" w:type="dxa"/>
            <w:tcBorders>
              <w:bottom w:val="single" w:sz="5" w:space="0" w:color="000000"/>
            </w:tcBorders>
            <w:shd w:val="clear" w:color="auto" w:fill="BFBFBF" w:themeFill="background1" w:themeFillShade="BF"/>
          </w:tcPr>
          <w:p w14:paraId="19213663" w14:textId="77777777" w:rsidR="005B5566" w:rsidRDefault="005B5566" w:rsidP="00EA4400">
            <w:pPr>
              <w:jc w:val="center"/>
              <w:rPr>
                <w:b/>
                <w:color w:val="000000"/>
              </w:rPr>
            </w:pPr>
            <w:r>
              <w:rPr>
                <w:b/>
                <w:color w:val="000000"/>
              </w:rPr>
              <w:t>Eligibility</w:t>
            </w:r>
          </w:p>
        </w:tc>
        <w:tc>
          <w:tcPr>
            <w:tcW w:w="2664" w:type="dxa"/>
            <w:shd w:val="clear" w:color="auto" w:fill="BFBFBF" w:themeFill="background1" w:themeFillShade="BF"/>
          </w:tcPr>
          <w:p w14:paraId="19213664" w14:textId="77777777" w:rsidR="005B5566" w:rsidRDefault="005B5566" w:rsidP="00EA4400">
            <w:pPr>
              <w:jc w:val="center"/>
              <w:rPr>
                <w:b/>
                <w:color w:val="000000"/>
              </w:rPr>
            </w:pPr>
            <w:r>
              <w:rPr>
                <w:b/>
                <w:color w:val="000000"/>
              </w:rPr>
              <w:t>Treatment/Monitoring</w:t>
            </w:r>
          </w:p>
        </w:tc>
      </w:tr>
      <w:tr w:rsidR="00411BB9" w14:paraId="1921366A" w14:textId="77777777" w:rsidTr="0056548E">
        <w:tc>
          <w:tcPr>
            <w:tcW w:w="1980" w:type="dxa"/>
            <w:tcBorders>
              <w:right w:val="single" w:sz="5" w:space="0" w:color="000000"/>
            </w:tcBorders>
          </w:tcPr>
          <w:p w14:paraId="19213666" w14:textId="77777777" w:rsidR="00411BB9" w:rsidRDefault="003B3739" w:rsidP="00EA4400">
            <w:pPr>
              <w:rPr>
                <w:b/>
                <w:color w:val="000000"/>
              </w:rPr>
            </w:pPr>
            <w:r>
              <w:rPr>
                <w:b/>
                <w:color w:val="000000"/>
              </w:rPr>
              <w:t>BC</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67" w14:textId="77777777" w:rsidR="00411BB9" w:rsidRDefault="003B3739" w:rsidP="00EA4400">
            <w:pPr>
              <w:pBdr>
                <w:top w:val="nil"/>
                <w:left w:val="nil"/>
                <w:bottom w:val="nil"/>
                <w:right w:val="nil"/>
                <w:between w:val="nil"/>
              </w:pBdr>
              <w:jc w:val="center"/>
            </w:pPr>
            <w:r>
              <w:t>5.13%</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68" w14:textId="77777777" w:rsidR="00411BB9" w:rsidRDefault="003B3739" w:rsidP="00EA4400">
            <w:pPr>
              <w:pBdr>
                <w:top w:val="nil"/>
                <w:left w:val="nil"/>
                <w:bottom w:val="nil"/>
                <w:right w:val="nil"/>
                <w:between w:val="nil"/>
              </w:pBdr>
              <w:jc w:val="center"/>
            </w:pPr>
            <w:r>
              <w:t>0.72%</w:t>
            </w:r>
          </w:p>
        </w:tc>
        <w:tc>
          <w:tcPr>
            <w:tcW w:w="2664" w:type="dxa"/>
            <w:tcBorders>
              <w:left w:val="single" w:sz="5" w:space="0" w:color="000000"/>
            </w:tcBorders>
          </w:tcPr>
          <w:p w14:paraId="19213669" w14:textId="02D4E1A0" w:rsidR="00411BB9" w:rsidRDefault="00715E45" w:rsidP="00EA4400">
            <w:pPr>
              <w:jc w:val="center"/>
              <w:rPr>
                <w:color w:val="000000"/>
              </w:rPr>
            </w:pPr>
            <w:r>
              <w:t>0.72%</w:t>
            </w:r>
          </w:p>
        </w:tc>
      </w:tr>
      <w:tr w:rsidR="00411BB9" w14:paraId="1921366F" w14:textId="77777777" w:rsidTr="0056548E">
        <w:tc>
          <w:tcPr>
            <w:tcW w:w="1980" w:type="dxa"/>
            <w:tcBorders>
              <w:right w:val="single" w:sz="5" w:space="0" w:color="000000"/>
            </w:tcBorders>
          </w:tcPr>
          <w:p w14:paraId="1921366B" w14:textId="77777777" w:rsidR="00411BB9" w:rsidRDefault="003B3739" w:rsidP="00EA4400">
            <w:pPr>
              <w:rPr>
                <w:b/>
                <w:color w:val="000000"/>
              </w:rPr>
            </w:pPr>
            <w:r>
              <w:rPr>
                <w:b/>
                <w:color w:val="000000"/>
              </w:rPr>
              <w:t>AB</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6C" w14:textId="77777777" w:rsidR="00411BB9" w:rsidRDefault="003B3739" w:rsidP="00EA4400">
            <w:pPr>
              <w:pBdr>
                <w:top w:val="nil"/>
                <w:left w:val="nil"/>
                <w:bottom w:val="nil"/>
                <w:right w:val="nil"/>
                <w:between w:val="nil"/>
              </w:pBdr>
              <w:jc w:val="center"/>
            </w:pPr>
            <w:r>
              <w:t>6.85%</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6D" w14:textId="77777777" w:rsidR="00411BB9" w:rsidRDefault="003B3739" w:rsidP="00EA4400">
            <w:pPr>
              <w:pBdr>
                <w:top w:val="nil"/>
                <w:left w:val="nil"/>
                <w:bottom w:val="nil"/>
                <w:right w:val="nil"/>
                <w:between w:val="nil"/>
              </w:pBdr>
              <w:jc w:val="center"/>
            </w:pPr>
            <w:r>
              <w:t>1.15%</w:t>
            </w:r>
          </w:p>
        </w:tc>
        <w:tc>
          <w:tcPr>
            <w:tcW w:w="2664" w:type="dxa"/>
            <w:tcBorders>
              <w:left w:val="single" w:sz="5" w:space="0" w:color="000000"/>
            </w:tcBorders>
          </w:tcPr>
          <w:p w14:paraId="1921366E" w14:textId="18E79F88" w:rsidR="00411BB9" w:rsidRDefault="00715E45" w:rsidP="00EA4400">
            <w:pPr>
              <w:jc w:val="center"/>
              <w:rPr>
                <w:color w:val="000000"/>
              </w:rPr>
            </w:pPr>
            <w:r>
              <w:rPr>
                <w:color w:val="000000"/>
              </w:rPr>
              <w:t>1.15%</w:t>
            </w:r>
          </w:p>
        </w:tc>
      </w:tr>
      <w:tr w:rsidR="00411BB9" w14:paraId="19213674" w14:textId="77777777" w:rsidTr="0056548E">
        <w:tc>
          <w:tcPr>
            <w:tcW w:w="1980" w:type="dxa"/>
            <w:tcBorders>
              <w:right w:val="single" w:sz="5" w:space="0" w:color="000000"/>
            </w:tcBorders>
          </w:tcPr>
          <w:p w14:paraId="19213670" w14:textId="77777777" w:rsidR="00411BB9" w:rsidRDefault="003B3739" w:rsidP="00EA4400">
            <w:pPr>
              <w:rPr>
                <w:b/>
                <w:color w:val="000000"/>
              </w:rPr>
            </w:pPr>
            <w:r>
              <w:rPr>
                <w:b/>
                <w:color w:val="000000"/>
              </w:rPr>
              <w:t>SK</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71" w14:textId="77777777" w:rsidR="00411BB9" w:rsidRDefault="003B3739" w:rsidP="00EA4400">
            <w:pPr>
              <w:pBdr>
                <w:top w:val="nil"/>
                <w:left w:val="nil"/>
                <w:bottom w:val="nil"/>
                <w:right w:val="nil"/>
                <w:between w:val="nil"/>
              </w:pBdr>
              <w:jc w:val="center"/>
            </w:pPr>
            <w:r>
              <w:t>8.53%</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72" w14:textId="77777777" w:rsidR="00411BB9" w:rsidRDefault="003B3739" w:rsidP="00EA4400">
            <w:pPr>
              <w:pBdr>
                <w:top w:val="nil"/>
                <w:left w:val="nil"/>
                <w:bottom w:val="nil"/>
                <w:right w:val="nil"/>
                <w:between w:val="nil"/>
              </w:pBdr>
              <w:jc w:val="center"/>
            </w:pPr>
            <w:r>
              <w:t>0.75%</w:t>
            </w:r>
          </w:p>
        </w:tc>
        <w:tc>
          <w:tcPr>
            <w:tcW w:w="2664" w:type="dxa"/>
            <w:tcBorders>
              <w:left w:val="single" w:sz="5" w:space="0" w:color="000000"/>
            </w:tcBorders>
          </w:tcPr>
          <w:p w14:paraId="19213673" w14:textId="47E5A3AD" w:rsidR="00411BB9" w:rsidRDefault="002D2D3F" w:rsidP="00EA4400">
            <w:pPr>
              <w:jc w:val="center"/>
              <w:rPr>
                <w:color w:val="000000"/>
              </w:rPr>
            </w:pPr>
            <w:r>
              <w:rPr>
                <w:color w:val="000000"/>
              </w:rPr>
              <w:t>0.75%</w:t>
            </w:r>
          </w:p>
        </w:tc>
      </w:tr>
      <w:tr w:rsidR="00411BB9" w14:paraId="19213679" w14:textId="77777777" w:rsidTr="0056548E">
        <w:tc>
          <w:tcPr>
            <w:tcW w:w="1980" w:type="dxa"/>
            <w:tcBorders>
              <w:right w:val="single" w:sz="5" w:space="0" w:color="000000"/>
            </w:tcBorders>
          </w:tcPr>
          <w:p w14:paraId="19213675" w14:textId="77777777" w:rsidR="00411BB9" w:rsidRDefault="003B3739" w:rsidP="00EA4400">
            <w:pPr>
              <w:rPr>
                <w:b/>
                <w:color w:val="000000"/>
              </w:rPr>
            </w:pPr>
            <w:r>
              <w:rPr>
                <w:b/>
                <w:color w:val="000000"/>
              </w:rPr>
              <w:t>MB</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76" w14:textId="77777777" w:rsidR="00411BB9" w:rsidRDefault="003B3739" w:rsidP="00EA4400">
            <w:pPr>
              <w:pBdr>
                <w:top w:val="nil"/>
                <w:left w:val="nil"/>
                <w:bottom w:val="nil"/>
                <w:right w:val="nil"/>
                <w:between w:val="nil"/>
              </w:pBdr>
              <w:jc w:val="center"/>
            </w:pPr>
            <w:r>
              <w:t>8.58%</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77" w14:textId="77777777" w:rsidR="00411BB9" w:rsidRDefault="003B3739" w:rsidP="00EA4400">
            <w:pPr>
              <w:pBdr>
                <w:top w:val="nil"/>
                <w:left w:val="nil"/>
                <w:bottom w:val="nil"/>
                <w:right w:val="nil"/>
                <w:between w:val="nil"/>
              </w:pBdr>
              <w:jc w:val="center"/>
            </w:pPr>
            <w:r>
              <w:t>0.65%</w:t>
            </w:r>
          </w:p>
        </w:tc>
        <w:tc>
          <w:tcPr>
            <w:tcW w:w="2664" w:type="dxa"/>
            <w:tcBorders>
              <w:left w:val="single" w:sz="5" w:space="0" w:color="000000"/>
            </w:tcBorders>
          </w:tcPr>
          <w:p w14:paraId="19213678" w14:textId="4A8D8912" w:rsidR="00411BB9" w:rsidRDefault="002D2D3F" w:rsidP="00EA4400">
            <w:pPr>
              <w:jc w:val="center"/>
              <w:rPr>
                <w:color w:val="000000"/>
              </w:rPr>
            </w:pPr>
            <w:r>
              <w:rPr>
                <w:color w:val="000000"/>
              </w:rPr>
              <w:t>0.64%</w:t>
            </w:r>
          </w:p>
        </w:tc>
      </w:tr>
      <w:tr w:rsidR="00411BB9" w14:paraId="1921367E" w14:textId="77777777" w:rsidTr="0056548E">
        <w:tc>
          <w:tcPr>
            <w:tcW w:w="1980" w:type="dxa"/>
            <w:tcBorders>
              <w:right w:val="single" w:sz="5" w:space="0" w:color="000000"/>
            </w:tcBorders>
          </w:tcPr>
          <w:p w14:paraId="1921367A" w14:textId="77777777" w:rsidR="00411BB9" w:rsidRDefault="003B3739" w:rsidP="00EA4400">
            <w:pPr>
              <w:rPr>
                <w:b/>
                <w:color w:val="000000"/>
              </w:rPr>
            </w:pPr>
            <w:r>
              <w:rPr>
                <w:b/>
              </w:rPr>
              <w:t>QC</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7B" w14:textId="77777777" w:rsidR="00411BB9" w:rsidRDefault="003B3739" w:rsidP="00EA4400">
            <w:pPr>
              <w:pBdr>
                <w:top w:val="nil"/>
                <w:left w:val="nil"/>
                <w:bottom w:val="nil"/>
                <w:right w:val="nil"/>
                <w:between w:val="nil"/>
              </w:pBdr>
              <w:jc w:val="center"/>
            </w:pPr>
            <w:r>
              <w:t>5.58%</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7C" w14:textId="77777777" w:rsidR="00411BB9" w:rsidRDefault="003B3739" w:rsidP="00EA4400">
            <w:pPr>
              <w:pBdr>
                <w:top w:val="nil"/>
                <w:left w:val="nil"/>
                <w:bottom w:val="nil"/>
                <w:right w:val="nil"/>
                <w:between w:val="nil"/>
              </w:pBdr>
              <w:jc w:val="center"/>
            </w:pPr>
            <w:r>
              <w:t>2.54%</w:t>
            </w:r>
          </w:p>
        </w:tc>
        <w:tc>
          <w:tcPr>
            <w:tcW w:w="2664" w:type="dxa"/>
            <w:tcBorders>
              <w:left w:val="single" w:sz="5" w:space="0" w:color="000000"/>
            </w:tcBorders>
          </w:tcPr>
          <w:p w14:paraId="1921367D" w14:textId="03D5273A" w:rsidR="00411BB9" w:rsidRDefault="002D2D3F" w:rsidP="00EA4400">
            <w:pPr>
              <w:jc w:val="center"/>
              <w:rPr>
                <w:color w:val="000000"/>
              </w:rPr>
            </w:pPr>
            <w:r>
              <w:rPr>
                <w:color w:val="000000"/>
              </w:rPr>
              <w:t>2.51%</w:t>
            </w:r>
          </w:p>
        </w:tc>
      </w:tr>
      <w:tr w:rsidR="00411BB9" w14:paraId="19213683" w14:textId="77777777" w:rsidTr="0056548E">
        <w:tc>
          <w:tcPr>
            <w:tcW w:w="1980" w:type="dxa"/>
            <w:tcBorders>
              <w:right w:val="single" w:sz="5" w:space="0" w:color="000000"/>
            </w:tcBorders>
          </w:tcPr>
          <w:p w14:paraId="1921367F" w14:textId="77777777" w:rsidR="00411BB9" w:rsidRDefault="003B3739" w:rsidP="00EA4400">
            <w:pPr>
              <w:rPr>
                <w:b/>
                <w:color w:val="000000"/>
              </w:rPr>
            </w:pPr>
            <w:r>
              <w:rPr>
                <w:b/>
              </w:rPr>
              <w:t>ON</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80" w14:textId="77777777" w:rsidR="00411BB9" w:rsidRDefault="003B3739" w:rsidP="00EA4400">
            <w:pPr>
              <w:pBdr>
                <w:top w:val="nil"/>
                <w:left w:val="nil"/>
                <w:bottom w:val="nil"/>
                <w:right w:val="nil"/>
                <w:between w:val="nil"/>
              </w:pBdr>
              <w:jc w:val="center"/>
            </w:pPr>
            <w:r>
              <w:t>8.55%</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81" w14:textId="77777777" w:rsidR="00411BB9" w:rsidRDefault="003B3739" w:rsidP="00EA4400">
            <w:pPr>
              <w:pBdr>
                <w:top w:val="nil"/>
                <w:left w:val="nil"/>
                <w:bottom w:val="nil"/>
                <w:right w:val="nil"/>
                <w:between w:val="nil"/>
              </w:pBdr>
              <w:jc w:val="center"/>
            </w:pPr>
            <w:r>
              <w:t>0.54%</w:t>
            </w:r>
          </w:p>
        </w:tc>
        <w:tc>
          <w:tcPr>
            <w:tcW w:w="2664" w:type="dxa"/>
            <w:tcBorders>
              <w:left w:val="single" w:sz="5" w:space="0" w:color="000000"/>
            </w:tcBorders>
          </w:tcPr>
          <w:p w14:paraId="19213682" w14:textId="3BC036DF" w:rsidR="00411BB9" w:rsidRDefault="00214307" w:rsidP="00EA4400">
            <w:pPr>
              <w:jc w:val="center"/>
            </w:pPr>
            <w:r>
              <w:t>0.54%</w:t>
            </w:r>
          </w:p>
        </w:tc>
      </w:tr>
      <w:tr w:rsidR="00411BB9" w14:paraId="19213688" w14:textId="77777777" w:rsidTr="0056548E">
        <w:tc>
          <w:tcPr>
            <w:tcW w:w="1980" w:type="dxa"/>
            <w:tcBorders>
              <w:right w:val="single" w:sz="5" w:space="0" w:color="000000"/>
            </w:tcBorders>
          </w:tcPr>
          <w:p w14:paraId="19213684" w14:textId="77777777" w:rsidR="00411BB9" w:rsidRDefault="003B3739" w:rsidP="00EA4400">
            <w:pPr>
              <w:rPr>
                <w:b/>
                <w:color w:val="000000"/>
              </w:rPr>
            </w:pPr>
            <w:r>
              <w:rPr>
                <w:b/>
              </w:rPr>
              <w:t>PEI</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85" w14:textId="77777777" w:rsidR="00411BB9" w:rsidRDefault="003B3739" w:rsidP="00EA4400">
            <w:pPr>
              <w:pBdr>
                <w:top w:val="nil"/>
                <w:left w:val="nil"/>
                <w:bottom w:val="nil"/>
                <w:right w:val="nil"/>
                <w:between w:val="nil"/>
              </w:pBdr>
              <w:jc w:val="center"/>
            </w:pPr>
            <w:r>
              <w:t>0.00%</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86" w14:textId="77777777" w:rsidR="00411BB9" w:rsidRDefault="003B3739" w:rsidP="00EA4400">
            <w:pPr>
              <w:pBdr>
                <w:top w:val="nil"/>
                <w:left w:val="nil"/>
                <w:bottom w:val="nil"/>
                <w:right w:val="nil"/>
                <w:between w:val="nil"/>
              </w:pBdr>
              <w:jc w:val="center"/>
            </w:pPr>
            <w:r>
              <w:t>0.00%</w:t>
            </w:r>
          </w:p>
        </w:tc>
        <w:tc>
          <w:tcPr>
            <w:tcW w:w="2664" w:type="dxa"/>
            <w:tcBorders>
              <w:left w:val="single" w:sz="5" w:space="0" w:color="000000"/>
            </w:tcBorders>
          </w:tcPr>
          <w:p w14:paraId="19213687" w14:textId="6D7B89C5" w:rsidR="00411BB9" w:rsidRDefault="00214307" w:rsidP="00EA4400">
            <w:pPr>
              <w:jc w:val="center"/>
              <w:rPr>
                <w:color w:val="000000"/>
              </w:rPr>
            </w:pPr>
            <w:r>
              <w:rPr>
                <w:color w:val="000000"/>
              </w:rPr>
              <w:t>0.00%</w:t>
            </w:r>
          </w:p>
        </w:tc>
      </w:tr>
      <w:tr w:rsidR="00411BB9" w14:paraId="1921368D" w14:textId="77777777" w:rsidTr="0056548E">
        <w:tc>
          <w:tcPr>
            <w:tcW w:w="1980" w:type="dxa"/>
            <w:tcBorders>
              <w:right w:val="single" w:sz="5" w:space="0" w:color="000000"/>
            </w:tcBorders>
          </w:tcPr>
          <w:p w14:paraId="19213689" w14:textId="77777777" w:rsidR="00411BB9" w:rsidRDefault="003B3739" w:rsidP="00EA4400">
            <w:pPr>
              <w:rPr>
                <w:b/>
                <w:color w:val="000000"/>
              </w:rPr>
            </w:pPr>
            <w:r>
              <w:rPr>
                <w:b/>
              </w:rPr>
              <w:t>NB</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8A" w14:textId="77777777" w:rsidR="00411BB9" w:rsidRDefault="003B3739" w:rsidP="00EA4400">
            <w:pPr>
              <w:pBdr>
                <w:top w:val="nil"/>
                <w:left w:val="nil"/>
                <w:bottom w:val="nil"/>
                <w:right w:val="nil"/>
                <w:between w:val="nil"/>
              </w:pBdr>
              <w:jc w:val="center"/>
            </w:pPr>
            <w:r>
              <w:t>5.52%</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8B" w14:textId="77777777" w:rsidR="00411BB9" w:rsidRDefault="003B3739" w:rsidP="00EA4400">
            <w:pPr>
              <w:pBdr>
                <w:top w:val="nil"/>
                <w:left w:val="nil"/>
                <w:bottom w:val="nil"/>
                <w:right w:val="nil"/>
                <w:between w:val="nil"/>
              </w:pBdr>
              <w:jc w:val="center"/>
            </w:pPr>
            <w:r>
              <w:t>0.85%</w:t>
            </w:r>
          </w:p>
        </w:tc>
        <w:tc>
          <w:tcPr>
            <w:tcW w:w="2664" w:type="dxa"/>
            <w:tcBorders>
              <w:left w:val="single" w:sz="5" w:space="0" w:color="000000"/>
            </w:tcBorders>
          </w:tcPr>
          <w:p w14:paraId="1921368C" w14:textId="490E7D85" w:rsidR="00411BB9" w:rsidRDefault="00214307" w:rsidP="00EA4400">
            <w:pPr>
              <w:jc w:val="center"/>
              <w:rPr>
                <w:color w:val="000000"/>
              </w:rPr>
            </w:pPr>
            <w:r>
              <w:rPr>
                <w:color w:val="000000"/>
              </w:rPr>
              <w:t>0.84%</w:t>
            </w:r>
          </w:p>
        </w:tc>
      </w:tr>
      <w:tr w:rsidR="00411BB9" w14:paraId="19213692" w14:textId="77777777" w:rsidTr="0056548E">
        <w:tc>
          <w:tcPr>
            <w:tcW w:w="1980" w:type="dxa"/>
            <w:tcBorders>
              <w:right w:val="single" w:sz="5" w:space="0" w:color="000000"/>
            </w:tcBorders>
          </w:tcPr>
          <w:p w14:paraId="1921368E" w14:textId="77777777" w:rsidR="00411BB9" w:rsidRDefault="003B3739" w:rsidP="00EA4400">
            <w:pPr>
              <w:rPr>
                <w:b/>
                <w:color w:val="000000"/>
              </w:rPr>
            </w:pPr>
            <w:r>
              <w:rPr>
                <w:b/>
              </w:rPr>
              <w:t>NS</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8F" w14:textId="77777777" w:rsidR="00411BB9" w:rsidRDefault="003B3739" w:rsidP="00EA4400">
            <w:pPr>
              <w:pBdr>
                <w:top w:val="nil"/>
                <w:left w:val="nil"/>
                <w:bottom w:val="nil"/>
                <w:right w:val="nil"/>
                <w:between w:val="nil"/>
              </w:pBdr>
              <w:jc w:val="center"/>
            </w:pPr>
            <w:r>
              <w:t>4.98%</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90" w14:textId="77777777" w:rsidR="00411BB9" w:rsidRDefault="003B3739" w:rsidP="00EA4400">
            <w:pPr>
              <w:pBdr>
                <w:top w:val="nil"/>
                <w:left w:val="nil"/>
                <w:bottom w:val="nil"/>
                <w:right w:val="nil"/>
                <w:between w:val="nil"/>
              </w:pBdr>
              <w:jc w:val="center"/>
            </w:pPr>
            <w:r>
              <w:t>0.69%</w:t>
            </w:r>
          </w:p>
        </w:tc>
        <w:tc>
          <w:tcPr>
            <w:tcW w:w="2664" w:type="dxa"/>
            <w:tcBorders>
              <w:left w:val="single" w:sz="5" w:space="0" w:color="000000"/>
            </w:tcBorders>
          </w:tcPr>
          <w:p w14:paraId="19213691" w14:textId="5F687486" w:rsidR="00411BB9" w:rsidRDefault="00214307" w:rsidP="00EA4400">
            <w:pPr>
              <w:jc w:val="center"/>
              <w:rPr>
                <w:color w:val="000000"/>
              </w:rPr>
            </w:pPr>
            <w:r>
              <w:rPr>
                <w:color w:val="000000"/>
              </w:rPr>
              <w:t>0.69%</w:t>
            </w:r>
          </w:p>
        </w:tc>
      </w:tr>
      <w:tr w:rsidR="00411BB9" w14:paraId="19213697" w14:textId="77777777" w:rsidTr="0056548E">
        <w:tc>
          <w:tcPr>
            <w:tcW w:w="1980" w:type="dxa"/>
            <w:tcBorders>
              <w:right w:val="single" w:sz="5" w:space="0" w:color="000000"/>
            </w:tcBorders>
          </w:tcPr>
          <w:p w14:paraId="19213693" w14:textId="77777777" w:rsidR="00411BB9" w:rsidRDefault="003B3739" w:rsidP="00EA4400">
            <w:pPr>
              <w:rPr>
                <w:b/>
              </w:rPr>
            </w:pPr>
            <w:r>
              <w:rPr>
                <w:b/>
              </w:rPr>
              <w:t>NL</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94" w14:textId="77777777" w:rsidR="00411BB9" w:rsidRDefault="003B3739" w:rsidP="00EA4400">
            <w:pPr>
              <w:pBdr>
                <w:top w:val="nil"/>
                <w:left w:val="nil"/>
                <w:bottom w:val="nil"/>
                <w:right w:val="nil"/>
                <w:between w:val="nil"/>
              </w:pBdr>
              <w:jc w:val="center"/>
            </w:pPr>
            <w:r>
              <w:t>4.17%</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9213695" w14:textId="77777777" w:rsidR="00411BB9" w:rsidRDefault="003B3739" w:rsidP="00EA4400">
            <w:pPr>
              <w:pBdr>
                <w:top w:val="nil"/>
                <w:left w:val="nil"/>
                <w:bottom w:val="nil"/>
                <w:right w:val="nil"/>
                <w:between w:val="nil"/>
              </w:pBdr>
              <w:jc w:val="center"/>
            </w:pPr>
            <w:r>
              <w:t>1.28%</w:t>
            </w:r>
          </w:p>
        </w:tc>
        <w:tc>
          <w:tcPr>
            <w:tcW w:w="2664" w:type="dxa"/>
            <w:tcBorders>
              <w:left w:val="single" w:sz="5" w:space="0" w:color="000000"/>
            </w:tcBorders>
          </w:tcPr>
          <w:p w14:paraId="19213696" w14:textId="5932794A" w:rsidR="00411BB9" w:rsidRDefault="00214307" w:rsidP="00EA4400">
            <w:pPr>
              <w:jc w:val="center"/>
              <w:rPr>
                <w:color w:val="000000"/>
              </w:rPr>
            </w:pPr>
            <w:r>
              <w:rPr>
                <w:color w:val="000000"/>
              </w:rPr>
              <w:t>1.27%</w:t>
            </w:r>
          </w:p>
        </w:tc>
      </w:tr>
      <w:tr w:rsidR="006E4E13" w14:paraId="578BB2D1" w14:textId="77777777" w:rsidTr="0056548E">
        <w:tc>
          <w:tcPr>
            <w:tcW w:w="1980" w:type="dxa"/>
            <w:tcBorders>
              <w:right w:val="single" w:sz="5" w:space="0" w:color="000000"/>
            </w:tcBorders>
            <w:shd w:val="clear" w:color="auto" w:fill="BFBFBF" w:themeFill="background1" w:themeFillShade="BF"/>
          </w:tcPr>
          <w:p w14:paraId="0938E022" w14:textId="09BE8CFE" w:rsidR="006E4E13" w:rsidRDefault="006E4E13" w:rsidP="00EA4400">
            <w:pPr>
              <w:rPr>
                <w:b/>
              </w:rPr>
            </w:pPr>
            <w:r>
              <w:rPr>
                <w:b/>
              </w:rPr>
              <w:t>Region</w:t>
            </w:r>
          </w:p>
        </w:tc>
        <w:tc>
          <w:tcPr>
            <w:tcW w:w="212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40" w:type="dxa"/>
              <w:left w:w="40" w:type="dxa"/>
              <w:bottom w:w="40" w:type="dxa"/>
              <w:right w:w="40" w:type="dxa"/>
            </w:tcMar>
            <w:vAlign w:val="bottom"/>
          </w:tcPr>
          <w:p w14:paraId="65FB2468" w14:textId="77777777" w:rsidR="006E4E13" w:rsidRDefault="006E4E13" w:rsidP="00EA4400">
            <w:pPr>
              <w:pBdr>
                <w:top w:val="nil"/>
                <w:left w:val="nil"/>
                <w:bottom w:val="nil"/>
                <w:right w:val="nil"/>
                <w:between w:val="nil"/>
              </w:pBdr>
              <w:jc w:val="center"/>
            </w:pPr>
          </w:p>
        </w:tc>
        <w:tc>
          <w:tcPr>
            <w:tcW w:w="212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40" w:type="dxa"/>
              <w:left w:w="40" w:type="dxa"/>
              <w:bottom w:w="40" w:type="dxa"/>
              <w:right w:w="40" w:type="dxa"/>
            </w:tcMar>
            <w:vAlign w:val="bottom"/>
          </w:tcPr>
          <w:p w14:paraId="6EB0A27D" w14:textId="77777777" w:rsidR="006E4E13" w:rsidRDefault="006E4E13" w:rsidP="00EA4400">
            <w:pPr>
              <w:pBdr>
                <w:top w:val="nil"/>
                <w:left w:val="nil"/>
                <w:bottom w:val="nil"/>
                <w:right w:val="nil"/>
                <w:between w:val="nil"/>
              </w:pBdr>
              <w:jc w:val="center"/>
            </w:pPr>
          </w:p>
        </w:tc>
        <w:tc>
          <w:tcPr>
            <w:tcW w:w="2664" w:type="dxa"/>
            <w:tcBorders>
              <w:left w:val="single" w:sz="5" w:space="0" w:color="000000"/>
            </w:tcBorders>
            <w:shd w:val="clear" w:color="auto" w:fill="BFBFBF" w:themeFill="background1" w:themeFillShade="BF"/>
          </w:tcPr>
          <w:p w14:paraId="09568728" w14:textId="6E3396D5" w:rsidR="006E4E13" w:rsidRDefault="006E4E13" w:rsidP="006E4E13">
            <w:pPr>
              <w:rPr>
                <w:color w:val="000000"/>
              </w:rPr>
            </w:pPr>
          </w:p>
        </w:tc>
      </w:tr>
      <w:tr w:rsidR="006E4E13" w14:paraId="0FF3DCEA" w14:textId="77777777" w:rsidTr="0056548E">
        <w:tc>
          <w:tcPr>
            <w:tcW w:w="1980" w:type="dxa"/>
            <w:tcBorders>
              <w:right w:val="single" w:sz="5" w:space="0" w:color="000000"/>
            </w:tcBorders>
          </w:tcPr>
          <w:p w14:paraId="3E4FC5C1" w14:textId="418CC999" w:rsidR="006E4E13" w:rsidRDefault="006E4E13" w:rsidP="006E4E13">
            <w:pPr>
              <w:rPr>
                <w:b/>
              </w:rPr>
            </w:pPr>
            <w:r w:rsidRPr="002D625C">
              <w:rPr>
                <w:b/>
              </w:rPr>
              <w:t>Western Canada</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5624A98" w14:textId="15DFC29F" w:rsidR="006E4E13" w:rsidRDefault="006E4E13" w:rsidP="006E4E13">
            <w:pPr>
              <w:pBdr>
                <w:top w:val="nil"/>
                <w:left w:val="nil"/>
                <w:bottom w:val="nil"/>
                <w:right w:val="nil"/>
                <w:between w:val="nil"/>
              </w:pBdr>
              <w:jc w:val="center"/>
            </w:pPr>
            <w:r w:rsidRPr="002D625C">
              <w:t>6.35%</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76D455A6" w14:textId="16F4B4A0" w:rsidR="006E4E13" w:rsidRDefault="006E4E13" w:rsidP="006E4E13">
            <w:pPr>
              <w:pBdr>
                <w:top w:val="nil"/>
                <w:left w:val="nil"/>
                <w:bottom w:val="nil"/>
                <w:right w:val="nil"/>
                <w:between w:val="nil"/>
              </w:pBdr>
              <w:jc w:val="center"/>
            </w:pPr>
            <w:r w:rsidRPr="002D625C">
              <w:t>0.85%</w:t>
            </w:r>
          </w:p>
        </w:tc>
        <w:tc>
          <w:tcPr>
            <w:tcW w:w="2664" w:type="dxa"/>
            <w:tcBorders>
              <w:left w:val="single" w:sz="5" w:space="0" w:color="000000"/>
            </w:tcBorders>
          </w:tcPr>
          <w:p w14:paraId="4AE6B67E" w14:textId="550329DF" w:rsidR="006E4E13" w:rsidRDefault="0056548E" w:rsidP="0056548E">
            <w:pPr>
              <w:jc w:val="center"/>
              <w:rPr>
                <w:color w:val="000000"/>
              </w:rPr>
            </w:pPr>
            <w:r>
              <w:rPr>
                <w:color w:val="000000"/>
              </w:rPr>
              <w:t>0.85%</w:t>
            </w:r>
          </w:p>
        </w:tc>
      </w:tr>
      <w:tr w:rsidR="006E4E13" w14:paraId="2C489D8F" w14:textId="77777777" w:rsidTr="0056548E">
        <w:tc>
          <w:tcPr>
            <w:tcW w:w="1980" w:type="dxa"/>
            <w:tcBorders>
              <w:right w:val="single" w:sz="5" w:space="0" w:color="000000"/>
            </w:tcBorders>
          </w:tcPr>
          <w:p w14:paraId="4F6E0497" w14:textId="335950DE" w:rsidR="006E4E13" w:rsidRDefault="006329D3" w:rsidP="006E4E13">
            <w:pPr>
              <w:rPr>
                <w:b/>
              </w:rPr>
            </w:pPr>
            <w:r>
              <w:rPr>
                <w:b/>
              </w:rPr>
              <w:t>Quebec</w:t>
            </w:r>
            <w:r w:rsidRPr="002D625C">
              <w:rPr>
                <w:b/>
              </w:rPr>
              <w:t xml:space="preserve"> </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4AB2E601" w14:textId="443A1BC3" w:rsidR="006E4E13" w:rsidRDefault="006E4E13" w:rsidP="006E4E13">
            <w:pPr>
              <w:pBdr>
                <w:top w:val="nil"/>
                <w:left w:val="nil"/>
                <w:bottom w:val="nil"/>
                <w:right w:val="nil"/>
                <w:between w:val="nil"/>
              </w:pBdr>
              <w:jc w:val="center"/>
            </w:pPr>
            <w:r w:rsidRPr="002D625C">
              <w:t>8.55%</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4C2E8356" w14:textId="44C226E1" w:rsidR="006E4E13" w:rsidRDefault="006E4E13" w:rsidP="006E4E13">
            <w:pPr>
              <w:pBdr>
                <w:top w:val="nil"/>
                <w:left w:val="nil"/>
                <w:bottom w:val="nil"/>
                <w:right w:val="nil"/>
                <w:between w:val="nil"/>
              </w:pBdr>
              <w:jc w:val="center"/>
            </w:pPr>
            <w:r w:rsidRPr="002D625C">
              <w:t>0.54%</w:t>
            </w:r>
          </w:p>
        </w:tc>
        <w:tc>
          <w:tcPr>
            <w:tcW w:w="2664" w:type="dxa"/>
            <w:tcBorders>
              <w:left w:val="single" w:sz="5" w:space="0" w:color="000000"/>
            </w:tcBorders>
          </w:tcPr>
          <w:p w14:paraId="2F716551" w14:textId="15C2BB3F" w:rsidR="006E4E13" w:rsidRDefault="0056548E" w:rsidP="0056548E">
            <w:pPr>
              <w:jc w:val="center"/>
              <w:rPr>
                <w:color w:val="000000"/>
              </w:rPr>
            </w:pPr>
            <w:r>
              <w:rPr>
                <w:color w:val="000000"/>
              </w:rPr>
              <w:t>2.51%</w:t>
            </w:r>
          </w:p>
        </w:tc>
      </w:tr>
      <w:tr w:rsidR="006E4E13" w14:paraId="0AA81F96" w14:textId="77777777" w:rsidTr="0056548E">
        <w:tc>
          <w:tcPr>
            <w:tcW w:w="1980" w:type="dxa"/>
            <w:tcBorders>
              <w:right w:val="single" w:sz="5" w:space="0" w:color="000000"/>
            </w:tcBorders>
          </w:tcPr>
          <w:p w14:paraId="6F2E635B" w14:textId="5DCC303F" w:rsidR="006E4E13" w:rsidRDefault="006E4E13" w:rsidP="006E4E13">
            <w:pPr>
              <w:rPr>
                <w:b/>
              </w:rPr>
            </w:pPr>
            <w:r w:rsidRPr="00DC491A">
              <w:rPr>
                <w:b/>
              </w:rPr>
              <w:t>O</w:t>
            </w:r>
            <w:r w:rsidRPr="002D625C">
              <w:rPr>
                <w:b/>
              </w:rPr>
              <w:t>ntario</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61A699CF" w14:textId="0447E50E" w:rsidR="006E4E13" w:rsidRDefault="006E4E13" w:rsidP="006E4E13">
            <w:pPr>
              <w:pBdr>
                <w:top w:val="nil"/>
                <w:left w:val="nil"/>
                <w:bottom w:val="nil"/>
                <w:right w:val="nil"/>
                <w:between w:val="nil"/>
              </w:pBdr>
              <w:jc w:val="center"/>
            </w:pPr>
            <w:r w:rsidRPr="002D625C">
              <w:t>5.58%</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4F678EDD" w14:textId="675A6DE3" w:rsidR="006E4E13" w:rsidRDefault="006E4E13" w:rsidP="006E4E13">
            <w:pPr>
              <w:pBdr>
                <w:top w:val="nil"/>
                <w:left w:val="nil"/>
                <w:bottom w:val="nil"/>
                <w:right w:val="nil"/>
                <w:between w:val="nil"/>
              </w:pBdr>
              <w:jc w:val="center"/>
            </w:pPr>
            <w:r w:rsidRPr="002D625C">
              <w:t>2.54%</w:t>
            </w:r>
          </w:p>
        </w:tc>
        <w:tc>
          <w:tcPr>
            <w:tcW w:w="2664" w:type="dxa"/>
            <w:tcBorders>
              <w:left w:val="single" w:sz="5" w:space="0" w:color="000000"/>
            </w:tcBorders>
          </w:tcPr>
          <w:p w14:paraId="52E08701" w14:textId="0B4AA0B0" w:rsidR="006E4E13" w:rsidRDefault="0056548E" w:rsidP="0056548E">
            <w:pPr>
              <w:jc w:val="center"/>
              <w:rPr>
                <w:color w:val="000000"/>
              </w:rPr>
            </w:pPr>
            <w:r>
              <w:rPr>
                <w:color w:val="000000"/>
              </w:rPr>
              <w:t>0.54%</w:t>
            </w:r>
          </w:p>
        </w:tc>
      </w:tr>
      <w:tr w:rsidR="006E4E13" w14:paraId="78512C4A" w14:textId="77777777" w:rsidTr="0056548E">
        <w:tc>
          <w:tcPr>
            <w:tcW w:w="1980" w:type="dxa"/>
            <w:tcBorders>
              <w:right w:val="single" w:sz="5" w:space="0" w:color="000000"/>
            </w:tcBorders>
          </w:tcPr>
          <w:p w14:paraId="403E7A97" w14:textId="04803276" w:rsidR="006E4E13" w:rsidRDefault="004A77C8" w:rsidP="006E4E13">
            <w:pPr>
              <w:rPr>
                <w:b/>
              </w:rPr>
            </w:pPr>
            <w:r w:rsidRPr="002D625C">
              <w:rPr>
                <w:b/>
              </w:rPr>
              <w:t>Atlantic Canada</w:t>
            </w:r>
            <w:r w:rsidRPr="002D625C" w:rsidDel="004A77C8">
              <w:rPr>
                <w:b/>
              </w:rPr>
              <w:t xml:space="preserve"> </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37F1CD25" w14:textId="451C9C3A" w:rsidR="006E4E13" w:rsidRDefault="006E4E13" w:rsidP="006E4E13">
            <w:pPr>
              <w:pBdr>
                <w:top w:val="nil"/>
                <w:left w:val="nil"/>
                <w:bottom w:val="nil"/>
                <w:right w:val="nil"/>
                <w:between w:val="nil"/>
              </w:pBdr>
              <w:jc w:val="center"/>
            </w:pPr>
            <w:r w:rsidRPr="002D625C">
              <w:t>4.6</w:t>
            </w:r>
            <w:r w:rsidR="004A77C8">
              <w:t>8</w:t>
            </w:r>
            <w:r w:rsidRPr="002D625C">
              <w:t>%</w:t>
            </w:r>
          </w:p>
        </w:tc>
        <w:tc>
          <w:tcPr>
            <w:tcW w:w="21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5257D98F" w14:textId="133689BD" w:rsidR="006E4E13" w:rsidRDefault="006E4E13" w:rsidP="006E4E13">
            <w:pPr>
              <w:pBdr>
                <w:top w:val="nil"/>
                <w:left w:val="nil"/>
                <w:bottom w:val="nil"/>
                <w:right w:val="nil"/>
                <w:between w:val="nil"/>
              </w:pBdr>
              <w:jc w:val="center"/>
            </w:pPr>
            <w:r w:rsidRPr="002D625C">
              <w:t>0.83%</w:t>
            </w:r>
          </w:p>
        </w:tc>
        <w:tc>
          <w:tcPr>
            <w:tcW w:w="2664" w:type="dxa"/>
            <w:tcBorders>
              <w:left w:val="single" w:sz="5" w:space="0" w:color="000000"/>
            </w:tcBorders>
          </w:tcPr>
          <w:p w14:paraId="0F4229FB" w14:textId="5C099CC5" w:rsidR="006E4E13" w:rsidRDefault="0056548E" w:rsidP="0056548E">
            <w:pPr>
              <w:jc w:val="center"/>
              <w:rPr>
                <w:color w:val="000000"/>
              </w:rPr>
            </w:pPr>
            <w:r>
              <w:rPr>
                <w:color w:val="000000"/>
              </w:rPr>
              <w:t>0.82%</w:t>
            </w:r>
          </w:p>
        </w:tc>
      </w:tr>
    </w:tbl>
    <w:p w14:paraId="19213698" w14:textId="77777777" w:rsidR="00411BB9" w:rsidRDefault="00411BB9" w:rsidP="00EA4400">
      <w:pPr>
        <w:spacing w:after="0" w:line="240" w:lineRule="auto"/>
        <w:rPr>
          <w:b/>
        </w:rPr>
      </w:pPr>
    </w:p>
    <w:p w14:paraId="4F7AB3B2" w14:textId="77777777" w:rsidR="00EA4400" w:rsidRDefault="00EA4400" w:rsidP="00EA4400">
      <w:pPr>
        <w:spacing w:after="0" w:line="240" w:lineRule="auto"/>
        <w:rPr>
          <w:b/>
        </w:rPr>
      </w:pPr>
    </w:p>
    <w:p w14:paraId="19213780" w14:textId="77777777" w:rsidR="00411BB9" w:rsidRDefault="00411BB9" w:rsidP="00E61692">
      <w:pPr>
        <w:spacing w:after="0"/>
        <w:rPr>
          <w:color w:val="000000"/>
        </w:rPr>
      </w:pPr>
    </w:p>
    <w:sectPr w:rsidR="00411BB9">
      <w:headerReference w:type="default" r:id="rId4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6346" w14:textId="77777777" w:rsidR="00F120B0" w:rsidRDefault="00F120B0">
      <w:pPr>
        <w:spacing w:after="0" w:line="240" w:lineRule="auto"/>
      </w:pPr>
      <w:r>
        <w:separator/>
      </w:r>
    </w:p>
  </w:endnote>
  <w:endnote w:type="continuationSeparator" w:id="0">
    <w:p w14:paraId="7730F517" w14:textId="77777777" w:rsidR="00F120B0" w:rsidRDefault="00F1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AE44" w14:textId="77777777" w:rsidR="00F120B0" w:rsidRDefault="00F120B0">
      <w:pPr>
        <w:spacing w:after="0" w:line="240" w:lineRule="auto"/>
      </w:pPr>
      <w:r>
        <w:separator/>
      </w:r>
    </w:p>
  </w:footnote>
  <w:footnote w:type="continuationSeparator" w:id="0">
    <w:p w14:paraId="4C94C81B" w14:textId="77777777" w:rsidR="00F120B0" w:rsidRDefault="00F12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37B4" w14:textId="3D88ED1E" w:rsidR="00411BB9" w:rsidRDefault="003B3739">
    <w:pPr>
      <w:jc w:val="right"/>
    </w:pPr>
    <w:r>
      <w:fldChar w:fldCharType="begin"/>
    </w:r>
    <w:r>
      <w:instrText>PAGE</w:instrText>
    </w:r>
    <w:r>
      <w:fldChar w:fldCharType="separate"/>
    </w:r>
    <w:r w:rsidR="00532FB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06BA"/>
    <w:multiLevelType w:val="hybridMultilevel"/>
    <w:tmpl w:val="9C3C1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BB36F1"/>
    <w:multiLevelType w:val="multilevel"/>
    <w:tmpl w:val="1A8E0C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7407540">
    <w:abstractNumId w:val="1"/>
  </w:num>
  <w:num w:numId="2" w16cid:durableId="1808267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ie Kenyon">
    <w15:presenceInfo w15:providerId="Windows Live" w15:userId="d3fcc09761e5c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B9"/>
    <w:rsid w:val="00003801"/>
    <w:rsid w:val="00005DB6"/>
    <w:rsid w:val="000166EE"/>
    <w:rsid w:val="00020176"/>
    <w:rsid w:val="000251F5"/>
    <w:rsid w:val="000271FA"/>
    <w:rsid w:val="000279AF"/>
    <w:rsid w:val="000279CD"/>
    <w:rsid w:val="00031AE0"/>
    <w:rsid w:val="0003239B"/>
    <w:rsid w:val="000414C1"/>
    <w:rsid w:val="00042772"/>
    <w:rsid w:val="0004348B"/>
    <w:rsid w:val="000452C6"/>
    <w:rsid w:val="00054034"/>
    <w:rsid w:val="00055E8E"/>
    <w:rsid w:val="00060819"/>
    <w:rsid w:val="00061676"/>
    <w:rsid w:val="0006660E"/>
    <w:rsid w:val="00070984"/>
    <w:rsid w:val="00071668"/>
    <w:rsid w:val="00073B31"/>
    <w:rsid w:val="0007578C"/>
    <w:rsid w:val="00080393"/>
    <w:rsid w:val="000818F1"/>
    <w:rsid w:val="00081CB0"/>
    <w:rsid w:val="000824A2"/>
    <w:rsid w:val="00083184"/>
    <w:rsid w:val="00083933"/>
    <w:rsid w:val="000949BF"/>
    <w:rsid w:val="000949C6"/>
    <w:rsid w:val="00095300"/>
    <w:rsid w:val="000A030A"/>
    <w:rsid w:val="000A6CC9"/>
    <w:rsid w:val="000A7040"/>
    <w:rsid w:val="000B7B01"/>
    <w:rsid w:val="000C1DD0"/>
    <w:rsid w:val="000C3553"/>
    <w:rsid w:val="000C4437"/>
    <w:rsid w:val="000C5EE5"/>
    <w:rsid w:val="000C6226"/>
    <w:rsid w:val="000D0B1E"/>
    <w:rsid w:val="000E153F"/>
    <w:rsid w:val="000E21A6"/>
    <w:rsid w:val="000E7210"/>
    <w:rsid w:val="000F324B"/>
    <w:rsid w:val="000F3D2A"/>
    <w:rsid w:val="00110073"/>
    <w:rsid w:val="00112362"/>
    <w:rsid w:val="0012069D"/>
    <w:rsid w:val="00123CF7"/>
    <w:rsid w:val="00125E93"/>
    <w:rsid w:val="00131759"/>
    <w:rsid w:val="00136DF0"/>
    <w:rsid w:val="0013716F"/>
    <w:rsid w:val="00137D8E"/>
    <w:rsid w:val="001462BD"/>
    <w:rsid w:val="00152A3A"/>
    <w:rsid w:val="00154462"/>
    <w:rsid w:val="00177AC7"/>
    <w:rsid w:val="00177E60"/>
    <w:rsid w:val="00185A6D"/>
    <w:rsid w:val="001936B9"/>
    <w:rsid w:val="001A7074"/>
    <w:rsid w:val="001B5586"/>
    <w:rsid w:val="001B65F6"/>
    <w:rsid w:val="001C6AD0"/>
    <w:rsid w:val="001D4147"/>
    <w:rsid w:val="001F2114"/>
    <w:rsid w:val="001F4BE5"/>
    <w:rsid w:val="001F6C79"/>
    <w:rsid w:val="00202B5F"/>
    <w:rsid w:val="00207D62"/>
    <w:rsid w:val="00213CC3"/>
    <w:rsid w:val="00214307"/>
    <w:rsid w:val="0021571E"/>
    <w:rsid w:val="00230513"/>
    <w:rsid w:val="00237F2A"/>
    <w:rsid w:val="0024104A"/>
    <w:rsid w:val="002425C2"/>
    <w:rsid w:val="002502C9"/>
    <w:rsid w:val="00253850"/>
    <w:rsid w:val="002538F0"/>
    <w:rsid w:val="00267B94"/>
    <w:rsid w:val="00270DFA"/>
    <w:rsid w:val="0027247B"/>
    <w:rsid w:val="00272BF5"/>
    <w:rsid w:val="0028042F"/>
    <w:rsid w:val="0028161A"/>
    <w:rsid w:val="00281B83"/>
    <w:rsid w:val="00283616"/>
    <w:rsid w:val="00283BC6"/>
    <w:rsid w:val="002862D7"/>
    <w:rsid w:val="002916DA"/>
    <w:rsid w:val="00292CA0"/>
    <w:rsid w:val="002941E8"/>
    <w:rsid w:val="0029596A"/>
    <w:rsid w:val="00295B75"/>
    <w:rsid w:val="002A4B08"/>
    <w:rsid w:val="002A53BC"/>
    <w:rsid w:val="002A7C52"/>
    <w:rsid w:val="002B370F"/>
    <w:rsid w:val="002B5FDB"/>
    <w:rsid w:val="002B67FA"/>
    <w:rsid w:val="002B7AEB"/>
    <w:rsid w:val="002C1C10"/>
    <w:rsid w:val="002D2D3F"/>
    <w:rsid w:val="002D39F9"/>
    <w:rsid w:val="002D4193"/>
    <w:rsid w:val="002D5C0B"/>
    <w:rsid w:val="002D625C"/>
    <w:rsid w:val="002E70DA"/>
    <w:rsid w:val="002E7282"/>
    <w:rsid w:val="002F2B88"/>
    <w:rsid w:val="002F3631"/>
    <w:rsid w:val="002F6940"/>
    <w:rsid w:val="002F7428"/>
    <w:rsid w:val="0030191C"/>
    <w:rsid w:val="00305984"/>
    <w:rsid w:val="00307F8D"/>
    <w:rsid w:val="0031164A"/>
    <w:rsid w:val="00311A43"/>
    <w:rsid w:val="00323742"/>
    <w:rsid w:val="00324008"/>
    <w:rsid w:val="0032430F"/>
    <w:rsid w:val="003246EB"/>
    <w:rsid w:val="003311E1"/>
    <w:rsid w:val="00332497"/>
    <w:rsid w:val="0033273F"/>
    <w:rsid w:val="00336800"/>
    <w:rsid w:val="00336E1B"/>
    <w:rsid w:val="00340D3D"/>
    <w:rsid w:val="0034539E"/>
    <w:rsid w:val="00363444"/>
    <w:rsid w:val="00367B46"/>
    <w:rsid w:val="0037651D"/>
    <w:rsid w:val="00377A15"/>
    <w:rsid w:val="00385A4D"/>
    <w:rsid w:val="0039790E"/>
    <w:rsid w:val="003A4955"/>
    <w:rsid w:val="003A6369"/>
    <w:rsid w:val="003A6590"/>
    <w:rsid w:val="003B03AE"/>
    <w:rsid w:val="003B0622"/>
    <w:rsid w:val="003B3739"/>
    <w:rsid w:val="003B7772"/>
    <w:rsid w:val="003C1491"/>
    <w:rsid w:val="003C3E48"/>
    <w:rsid w:val="003D3394"/>
    <w:rsid w:val="003D3692"/>
    <w:rsid w:val="003D53EE"/>
    <w:rsid w:val="003D5D80"/>
    <w:rsid w:val="0040130C"/>
    <w:rsid w:val="00411BB9"/>
    <w:rsid w:val="00414F59"/>
    <w:rsid w:val="004224ED"/>
    <w:rsid w:val="0042713F"/>
    <w:rsid w:val="00431E84"/>
    <w:rsid w:val="00440284"/>
    <w:rsid w:val="00440393"/>
    <w:rsid w:val="00440F8E"/>
    <w:rsid w:val="00443742"/>
    <w:rsid w:val="00455087"/>
    <w:rsid w:val="00456A15"/>
    <w:rsid w:val="004623ED"/>
    <w:rsid w:val="00467FB3"/>
    <w:rsid w:val="004707FE"/>
    <w:rsid w:val="00471B0B"/>
    <w:rsid w:val="00473C9B"/>
    <w:rsid w:val="00476323"/>
    <w:rsid w:val="00476613"/>
    <w:rsid w:val="0047663D"/>
    <w:rsid w:val="00476B49"/>
    <w:rsid w:val="00481403"/>
    <w:rsid w:val="00482AE8"/>
    <w:rsid w:val="004837DB"/>
    <w:rsid w:val="00485906"/>
    <w:rsid w:val="0048602D"/>
    <w:rsid w:val="004937D2"/>
    <w:rsid w:val="004940B7"/>
    <w:rsid w:val="004A48BA"/>
    <w:rsid w:val="004A61A4"/>
    <w:rsid w:val="004A77C8"/>
    <w:rsid w:val="004A7B3C"/>
    <w:rsid w:val="004B61E3"/>
    <w:rsid w:val="004C1EC7"/>
    <w:rsid w:val="004D33CD"/>
    <w:rsid w:val="004D42DE"/>
    <w:rsid w:val="004D5BD5"/>
    <w:rsid w:val="004D7625"/>
    <w:rsid w:val="004E3050"/>
    <w:rsid w:val="004E34FC"/>
    <w:rsid w:val="004E396F"/>
    <w:rsid w:val="004E59C8"/>
    <w:rsid w:val="004F4013"/>
    <w:rsid w:val="004F4B9D"/>
    <w:rsid w:val="004F6007"/>
    <w:rsid w:val="004F7CDB"/>
    <w:rsid w:val="00500AA7"/>
    <w:rsid w:val="0050158E"/>
    <w:rsid w:val="00512979"/>
    <w:rsid w:val="00512E2E"/>
    <w:rsid w:val="005137E7"/>
    <w:rsid w:val="00515D82"/>
    <w:rsid w:val="0051619C"/>
    <w:rsid w:val="005244EC"/>
    <w:rsid w:val="00524DE1"/>
    <w:rsid w:val="005324DC"/>
    <w:rsid w:val="00532FB7"/>
    <w:rsid w:val="0053414A"/>
    <w:rsid w:val="00536D43"/>
    <w:rsid w:val="00550EC0"/>
    <w:rsid w:val="0055332D"/>
    <w:rsid w:val="00557CFC"/>
    <w:rsid w:val="0056548E"/>
    <w:rsid w:val="0056693C"/>
    <w:rsid w:val="005707F3"/>
    <w:rsid w:val="005767E5"/>
    <w:rsid w:val="005814A4"/>
    <w:rsid w:val="00597BA1"/>
    <w:rsid w:val="005A401D"/>
    <w:rsid w:val="005A51BA"/>
    <w:rsid w:val="005B03F1"/>
    <w:rsid w:val="005B5566"/>
    <w:rsid w:val="005B6A41"/>
    <w:rsid w:val="005C3444"/>
    <w:rsid w:val="005D02C2"/>
    <w:rsid w:val="005D0AE8"/>
    <w:rsid w:val="005D23E2"/>
    <w:rsid w:val="005D2CDC"/>
    <w:rsid w:val="005E2404"/>
    <w:rsid w:val="005E2DF7"/>
    <w:rsid w:val="005F18A4"/>
    <w:rsid w:val="006113EA"/>
    <w:rsid w:val="00612A9A"/>
    <w:rsid w:val="006135A5"/>
    <w:rsid w:val="00624CCA"/>
    <w:rsid w:val="006329D3"/>
    <w:rsid w:val="00633EBD"/>
    <w:rsid w:val="00641AF4"/>
    <w:rsid w:val="006434AD"/>
    <w:rsid w:val="00647CEE"/>
    <w:rsid w:val="006542FE"/>
    <w:rsid w:val="00662860"/>
    <w:rsid w:val="00674AFF"/>
    <w:rsid w:val="006931DB"/>
    <w:rsid w:val="00693576"/>
    <w:rsid w:val="006A07B5"/>
    <w:rsid w:val="006A1DD8"/>
    <w:rsid w:val="006A72AB"/>
    <w:rsid w:val="006B0E00"/>
    <w:rsid w:val="006C233E"/>
    <w:rsid w:val="006C5A7F"/>
    <w:rsid w:val="006D02DE"/>
    <w:rsid w:val="006D0490"/>
    <w:rsid w:val="006D3A4C"/>
    <w:rsid w:val="006D4C80"/>
    <w:rsid w:val="006E4E13"/>
    <w:rsid w:val="006E62A5"/>
    <w:rsid w:val="006E6646"/>
    <w:rsid w:val="006F3D90"/>
    <w:rsid w:val="006F4DFE"/>
    <w:rsid w:val="006F5861"/>
    <w:rsid w:val="007040F0"/>
    <w:rsid w:val="0071075E"/>
    <w:rsid w:val="007122D1"/>
    <w:rsid w:val="00712355"/>
    <w:rsid w:val="00715E45"/>
    <w:rsid w:val="0072240A"/>
    <w:rsid w:val="00722AD0"/>
    <w:rsid w:val="00746F4C"/>
    <w:rsid w:val="00747E70"/>
    <w:rsid w:val="00750BED"/>
    <w:rsid w:val="007644FD"/>
    <w:rsid w:val="00765784"/>
    <w:rsid w:val="0076613C"/>
    <w:rsid w:val="00773B80"/>
    <w:rsid w:val="00780BA6"/>
    <w:rsid w:val="00781D8C"/>
    <w:rsid w:val="00782564"/>
    <w:rsid w:val="007826A3"/>
    <w:rsid w:val="007849C0"/>
    <w:rsid w:val="00787924"/>
    <w:rsid w:val="00790AF2"/>
    <w:rsid w:val="00791176"/>
    <w:rsid w:val="00792799"/>
    <w:rsid w:val="007935F5"/>
    <w:rsid w:val="007A1634"/>
    <w:rsid w:val="007A2DC1"/>
    <w:rsid w:val="007A2DE5"/>
    <w:rsid w:val="007B1267"/>
    <w:rsid w:val="007B1551"/>
    <w:rsid w:val="007B19CC"/>
    <w:rsid w:val="007C1B3C"/>
    <w:rsid w:val="007C2E05"/>
    <w:rsid w:val="007D1CF9"/>
    <w:rsid w:val="007D4CAF"/>
    <w:rsid w:val="007F20E0"/>
    <w:rsid w:val="007F79F9"/>
    <w:rsid w:val="00801810"/>
    <w:rsid w:val="00802E93"/>
    <w:rsid w:val="00810A59"/>
    <w:rsid w:val="00810C7C"/>
    <w:rsid w:val="00815135"/>
    <w:rsid w:val="0082179A"/>
    <w:rsid w:val="0083622B"/>
    <w:rsid w:val="00837E6B"/>
    <w:rsid w:val="0084049A"/>
    <w:rsid w:val="00840B64"/>
    <w:rsid w:val="008550EA"/>
    <w:rsid w:val="008715BB"/>
    <w:rsid w:val="00874264"/>
    <w:rsid w:val="00881584"/>
    <w:rsid w:val="00882101"/>
    <w:rsid w:val="0088247A"/>
    <w:rsid w:val="00884001"/>
    <w:rsid w:val="00886EEC"/>
    <w:rsid w:val="008A07E2"/>
    <w:rsid w:val="008A3AA0"/>
    <w:rsid w:val="008B1423"/>
    <w:rsid w:val="008B3952"/>
    <w:rsid w:val="008B4B0E"/>
    <w:rsid w:val="008B64C7"/>
    <w:rsid w:val="008C1297"/>
    <w:rsid w:val="008C2EEB"/>
    <w:rsid w:val="008C7714"/>
    <w:rsid w:val="008D05A6"/>
    <w:rsid w:val="008E617F"/>
    <w:rsid w:val="008E77EB"/>
    <w:rsid w:val="008F4F9F"/>
    <w:rsid w:val="008F5AF6"/>
    <w:rsid w:val="008F71C9"/>
    <w:rsid w:val="00900508"/>
    <w:rsid w:val="00903085"/>
    <w:rsid w:val="00910294"/>
    <w:rsid w:val="00910F8F"/>
    <w:rsid w:val="00911F96"/>
    <w:rsid w:val="00924AAB"/>
    <w:rsid w:val="009415D2"/>
    <w:rsid w:val="009436DC"/>
    <w:rsid w:val="00947833"/>
    <w:rsid w:val="009511E3"/>
    <w:rsid w:val="009636E1"/>
    <w:rsid w:val="00963763"/>
    <w:rsid w:val="00964D73"/>
    <w:rsid w:val="00965AEE"/>
    <w:rsid w:val="0097342D"/>
    <w:rsid w:val="00976778"/>
    <w:rsid w:val="00977839"/>
    <w:rsid w:val="00981FAB"/>
    <w:rsid w:val="009857E1"/>
    <w:rsid w:val="00997D5B"/>
    <w:rsid w:val="009A3411"/>
    <w:rsid w:val="009B54F4"/>
    <w:rsid w:val="009B71B6"/>
    <w:rsid w:val="009C7BE7"/>
    <w:rsid w:val="009D3BE2"/>
    <w:rsid w:val="009E067C"/>
    <w:rsid w:val="009E2A86"/>
    <w:rsid w:val="009F252F"/>
    <w:rsid w:val="00A031B0"/>
    <w:rsid w:val="00A07017"/>
    <w:rsid w:val="00A101C1"/>
    <w:rsid w:val="00A1440A"/>
    <w:rsid w:val="00A14572"/>
    <w:rsid w:val="00A1557D"/>
    <w:rsid w:val="00A1606B"/>
    <w:rsid w:val="00A16818"/>
    <w:rsid w:val="00A32032"/>
    <w:rsid w:val="00A51130"/>
    <w:rsid w:val="00A610C9"/>
    <w:rsid w:val="00A64B0A"/>
    <w:rsid w:val="00A7350E"/>
    <w:rsid w:val="00A74CEF"/>
    <w:rsid w:val="00A80E0D"/>
    <w:rsid w:val="00A84C3D"/>
    <w:rsid w:val="00A84E47"/>
    <w:rsid w:val="00A9006E"/>
    <w:rsid w:val="00A90FD9"/>
    <w:rsid w:val="00A92800"/>
    <w:rsid w:val="00A92F92"/>
    <w:rsid w:val="00AA2914"/>
    <w:rsid w:val="00AB3886"/>
    <w:rsid w:val="00AB50EB"/>
    <w:rsid w:val="00AC1CD1"/>
    <w:rsid w:val="00AC5A79"/>
    <w:rsid w:val="00AC712A"/>
    <w:rsid w:val="00AD2495"/>
    <w:rsid w:val="00AE1677"/>
    <w:rsid w:val="00AE196E"/>
    <w:rsid w:val="00AE21C8"/>
    <w:rsid w:val="00AE2D58"/>
    <w:rsid w:val="00AE6B56"/>
    <w:rsid w:val="00AE7C3F"/>
    <w:rsid w:val="00B0001D"/>
    <w:rsid w:val="00B00560"/>
    <w:rsid w:val="00B065CD"/>
    <w:rsid w:val="00B065E3"/>
    <w:rsid w:val="00B26394"/>
    <w:rsid w:val="00B30B1E"/>
    <w:rsid w:val="00B3516D"/>
    <w:rsid w:val="00B3770F"/>
    <w:rsid w:val="00B37A83"/>
    <w:rsid w:val="00B413C3"/>
    <w:rsid w:val="00B41A7A"/>
    <w:rsid w:val="00B43F88"/>
    <w:rsid w:val="00B45565"/>
    <w:rsid w:val="00B547EE"/>
    <w:rsid w:val="00B55792"/>
    <w:rsid w:val="00B5763B"/>
    <w:rsid w:val="00B63320"/>
    <w:rsid w:val="00B66877"/>
    <w:rsid w:val="00B93325"/>
    <w:rsid w:val="00B93449"/>
    <w:rsid w:val="00B94BE0"/>
    <w:rsid w:val="00BA7E2B"/>
    <w:rsid w:val="00BB0FA9"/>
    <w:rsid w:val="00BB2DB1"/>
    <w:rsid w:val="00BB3892"/>
    <w:rsid w:val="00BC1685"/>
    <w:rsid w:val="00BC1758"/>
    <w:rsid w:val="00BC7792"/>
    <w:rsid w:val="00BD3FD3"/>
    <w:rsid w:val="00BD7790"/>
    <w:rsid w:val="00BE3648"/>
    <w:rsid w:val="00BE4E0D"/>
    <w:rsid w:val="00BF210D"/>
    <w:rsid w:val="00BF2CC2"/>
    <w:rsid w:val="00BF44C4"/>
    <w:rsid w:val="00C0152E"/>
    <w:rsid w:val="00C01C03"/>
    <w:rsid w:val="00C02FEA"/>
    <w:rsid w:val="00C13F70"/>
    <w:rsid w:val="00C14854"/>
    <w:rsid w:val="00C15708"/>
    <w:rsid w:val="00C17F01"/>
    <w:rsid w:val="00C258AE"/>
    <w:rsid w:val="00C30C05"/>
    <w:rsid w:val="00C32015"/>
    <w:rsid w:val="00C32F22"/>
    <w:rsid w:val="00C34A45"/>
    <w:rsid w:val="00C43D0B"/>
    <w:rsid w:val="00C51064"/>
    <w:rsid w:val="00C538B9"/>
    <w:rsid w:val="00C57CD4"/>
    <w:rsid w:val="00C62DB3"/>
    <w:rsid w:val="00C64EA1"/>
    <w:rsid w:val="00C66FF1"/>
    <w:rsid w:val="00C75ADB"/>
    <w:rsid w:val="00C76AC3"/>
    <w:rsid w:val="00C84D2E"/>
    <w:rsid w:val="00C84EAE"/>
    <w:rsid w:val="00CA2847"/>
    <w:rsid w:val="00CC08B7"/>
    <w:rsid w:val="00CC1DE4"/>
    <w:rsid w:val="00CC2248"/>
    <w:rsid w:val="00CC2AD8"/>
    <w:rsid w:val="00CC5514"/>
    <w:rsid w:val="00CC7FA2"/>
    <w:rsid w:val="00CD342D"/>
    <w:rsid w:val="00CE15E4"/>
    <w:rsid w:val="00CE2DA8"/>
    <w:rsid w:val="00CE34AB"/>
    <w:rsid w:val="00CE6591"/>
    <w:rsid w:val="00CF12B2"/>
    <w:rsid w:val="00CF223E"/>
    <w:rsid w:val="00CF499A"/>
    <w:rsid w:val="00CF55B4"/>
    <w:rsid w:val="00D073AD"/>
    <w:rsid w:val="00D07611"/>
    <w:rsid w:val="00D162E4"/>
    <w:rsid w:val="00D220B5"/>
    <w:rsid w:val="00D22C63"/>
    <w:rsid w:val="00D248C5"/>
    <w:rsid w:val="00D2674A"/>
    <w:rsid w:val="00D36DC0"/>
    <w:rsid w:val="00D459F8"/>
    <w:rsid w:val="00D54049"/>
    <w:rsid w:val="00D60BA7"/>
    <w:rsid w:val="00D60E56"/>
    <w:rsid w:val="00D62644"/>
    <w:rsid w:val="00D63C7E"/>
    <w:rsid w:val="00D91306"/>
    <w:rsid w:val="00D921CF"/>
    <w:rsid w:val="00DA3E49"/>
    <w:rsid w:val="00DA4001"/>
    <w:rsid w:val="00DA7196"/>
    <w:rsid w:val="00DA7B7E"/>
    <w:rsid w:val="00DB2F2F"/>
    <w:rsid w:val="00DB4268"/>
    <w:rsid w:val="00DB4FC5"/>
    <w:rsid w:val="00DB5F28"/>
    <w:rsid w:val="00DB77CF"/>
    <w:rsid w:val="00DC1974"/>
    <w:rsid w:val="00DC19D9"/>
    <w:rsid w:val="00DC220D"/>
    <w:rsid w:val="00DC491A"/>
    <w:rsid w:val="00DC604D"/>
    <w:rsid w:val="00DD1C34"/>
    <w:rsid w:val="00DD5928"/>
    <w:rsid w:val="00DD65E6"/>
    <w:rsid w:val="00DE039C"/>
    <w:rsid w:val="00DE249E"/>
    <w:rsid w:val="00DF6C5F"/>
    <w:rsid w:val="00DF72F6"/>
    <w:rsid w:val="00E0272B"/>
    <w:rsid w:val="00E11748"/>
    <w:rsid w:val="00E13218"/>
    <w:rsid w:val="00E33C85"/>
    <w:rsid w:val="00E3591C"/>
    <w:rsid w:val="00E36716"/>
    <w:rsid w:val="00E420A5"/>
    <w:rsid w:val="00E47D7B"/>
    <w:rsid w:val="00E532CF"/>
    <w:rsid w:val="00E54133"/>
    <w:rsid w:val="00E57403"/>
    <w:rsid w:val="00E57E1E"/>
    <w:rsid w:val="00E60908"/>
    <w:rsid w:val="00E610EC"/>
    <w:rsid w:val="00E61692"/>
    <w:rsid w:val="00E63EC4"/>
    <w:rsid w:val="00E656E0"/>
    <w:rsid w:val="00E65824"/>
    <w:rsid w:val="00E7087B"/>
    <w:rsid w:val="00E74413"/>
    <w:rsid w:val="00E757F1"/>
    <w:rsid w:val="00E8574E"/>
    <w:rsid w:val="00E8600C"/>
    <w:rsid w:val="00E948D4"/>
    <w:rsid w:val="00EA4400"/>
    <w:rsid w:val="00EA6F83"/>
    <w:rsid w:val="00EB046C"/>
    <w:rsid w:val="00EB42C8"/>
    <w:rsid w:val="00EC274B"/>
    <w:rsid w:val="00EC3278"/>
    <w:rsid w:val="00EC7DB5"/>
    <w:rsid w:val="00ED1761"/>
    <w:rsid w:val="00ED2FA4"/>
    <w:rsid w:val="00ED57B0"/>
    <w:rsid w:val="00EE04BC"/>
    <w:rsid w:val="00EE0AF7"/>
    <w:rsid w:val="00EE70D5"/>
    <w:rsid w:val="00EF0672"/>
    <w:rsid w:val="00F02D25"/>
    <w:rsid w:val="00F04059"/>
    <w:rsid w:val="00F059C5"/>
    <w:rsid w:val="00F06B42"/>
    <w:rsid w:val="00F07E52"/>
    <w:rsid w:val="00F11442"/>
    <w:rsid w:val="00F1148E"/>
    <w:rsid w:val="00F11735"/>
    <w:rsid w:val="00F120B0"/>
    <w:rsid w:val="00F139EC"/>
    <w:rsid w:val="00F25AFD"/>
    <w:rsid w:val="00F36F3E"/>
    <w:rsid w:val="00F40641"/>
    <w:rsid w:val="00F40CA8"/>
    <w:rsid w:val="00F41AFB"/>
    <w:rsid w:val="00F42EF8"/>
    <w:rsid w:val="00F4527C"/>
    <w:rsid w:val="00F51794"/>
    <w:rsid w:val="00F61E38"/>
    <w:rsid w:val="00F6273B"/>
    <w:rsid w:val="00F65D49"/>
    <w:rsid w:val="00F70FD2"/>
    <w:rsid w:val="00F736BD"/>
    <w:rsid w:val="00F74752"/>
    <w:rsid w:val="00F77FEA"/>
    <w:rsid w:val="00F81B5D"/>
    <w:rsid w:val="00F82AC8"/>
    <w:rsid w:val="00F8690E"/>
    <w:rsid w:val="00F91496"/>
    <w:rsid w:val="00FA0CDA"/>
    <w:rsid w:val="00FB620F"/>
    <w:rsid w:val="00FC53EF"/>
    <w:rsid w:val="00FC675E"/>
    <w:rsid w:val="00FD1BEF"/>
    <w:rsid w:val="00FD1FA8"/>
    <w:rsid w:val="00FD367F"/>
    <w:rsid w:val="00FD723F"/>
    <w:rsid w:val="00FF3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335D"/>
  <w15:docId w15:val="{2BED1063-8AF8-42AC-9528-0B464C6F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0" w:line="240" w:lineRule="auto"/>
      <w:ind w:left="360" w:hanging="360"/>
      <w:outlineLvl w:val="1"/>
    </w:pPr>
    <w:rPr>
      <w:b/>
      <w:sz w:val="30"/>
      <w:szCs w:val="30"/>
    </w:rPr>
  </w:style>
  <w:style w:type="paragraph" w:styleId="Heading3">
    <w:name w:val="heading 3"/>
    <w:basedOn w:val="Normal"/>
    <w:next w:val="Normal"/>
    <w:uiPriority w:val="9"/>
    <w:unhideWhenUsed/>
    <w:qFormat/>
    <w:pPr>
      <w:keepNext/>
      <w:keepLines/>
      <w:spacing w:before="280" w:after="8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6E1B"/>
    <w:rPr>
      <w:b/>
      <w:bCs/>
    </w:rPr>
  </w:style>
  <w:style w:type="character" w:customStyle="1" w:styleId="CommentSubjectChar">
    <w:name w:val="Comment Subject Char"/>
    <w:basedOn w:val="CommentTextChar"/>
    <w:link w:val="CommentSubject"/>
    <w:uiPriority w:val="99"/>
    <w:semiHidden/>
    <w:rsid w:val="00336E1B"/>
    <w:rPr>
      <w:b/>
      <w:bCs/>
      <w:sz w:val="20"/>
      <w:szCs w:val="20"/>
    </w:rPr>
  </w:style>
  <w:style w:type="paragraph" w:styleId="NoSpacing">
    <w:name w:val="No Spacing"/>
    <w:uiPriority w:val="1"/>
    <w:qFormat/>
    <w:rsid w:val="00662860"/>
    <w:pPr>
      <w:spacing w:after="0" w:line="240" w:lineRule="auto"/>
    </w:pPr>
  </w:style>
  <w:style w:type="paragraph" w:styleId="Revision">
    <w:name w:val="Revision"/>
    <w:hidden/>
    <w:uiPriority w:val="99"/>
    <w:semiHidden/>
    <w:rsid w:val="001A7074"/>
    <w:pPr>
      <w:spacing w:after="0" w:line="240" w:lineRule="auto"/>
    </w:pPr>
  </w:style>
  <w:style w:type="paragraph" w:styleId="Bibliography">
    <w:name w:val="Bibliography"/>
    <w:basedOn w:val="Normal"/>
    <w:next w:val="Normal"/>
    <w:uiPriority w:val="37"/>
    <w:unhideWhenUsed/>
    <w:rsid w:val="00F42EF8"/>
  </w:style>
  <w:style w:type="character" w:styleId="Hyperlink">
    <w:name w:val="Hyperlink"/>
    <w:basedOn w:val="DefaultParagraphFont"/>
    <w:uiPriority w:val="99"/>
    <w:unhideWhenUsed/>
    <w:rsid w:val="0037651D"/>
    <w:rPr>
      <w:color w:val="0000FF" w:themeColor="hyperlink"/>
      <w:u w:val="single"/>
    </w:rPr>
  </w:style>
  <w:style w:type="character" w:styleId="UnresolvedMention">
    <w:name w:val="Unresolved Mention"/>
    <w:basedOn w:val="DefaultParagraphFont"/>
    <w:uiPriority w:val="99"/>
    <w:semiHidden/>
    <w:unhideWhenUsed/>
    <w:rsid w:val="0037651D"/>
    <w:rPr>
      <w:color w:val="605E5C"/>
      <w:shd w:val="clear" w:color="auto" w:fill="E1DFDD"/>
    </w:rPr>
  </w:style>
  <w:style w:type="paragraph" w:styleId="ListParagraph">
    <w:name w:val="List Paragraph"/>
    <w:basedOn w:val="Normal"/>
    <w:uiPriority w:val="34"/>
    <w:qFormat/>
    <w:rsid w:val="004E59C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1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mcpsychology.biomedcentral.com/articles/10.1186/s40359-018-0236-1" TargetMode="External"/><Relationship Id="rId18" Type="http://schemas.openxmlformats.org/officeDocument/2006/relationships/hyperlink" Target="https://www.ncbi.nlm.nih.gov/pmc/articles/PMC3719424/" TargetMode="External"/><Relationship Id="rId26" Type="http://schemas.openxmlformats.org/officeDocument/2006/relationships/hyperlink" Target="https://alzheimersdisease.net/physical-neurological-exam" TargetMode="External"/><Relationship Id="rId39" Type="http://schemas.openxmlformats.org/officeDocument/2006/relationships/hyperlink" Target="https://www.thelancet.com/cms/10.1016/j.eclinm.2022.101337/attachment/ff2804a0-c13d-4efc-b267-f3f902c68af5/mmc1.pdf" TargetMode="External"/><Relationship Id="rId21" Type="http://schemas.openxmlformats.org/officeDocument/2006/relationships/hyperlink" Target="https://pubmed.ncbi.nlm.nih.gov/15817019/" TargetMode="External"/><Relationship Id="rId34" Type="http://schemas.openxmlformats.org/officeDocument/2006/relationships/hyperlink" Target="https://www.thelancet.com/cms/10.1016/j.eclinm.2022.101337/attachment/ff2804a0-c13d-4efc-b267-f3f902c68af5/mmc1.pdf" TargetMode="External"/><Relationship Id="rId42" Type="http://schemas.openxmlformats.org/officeDocument/2006/relationships/hyperlink" Target="https://www.cadth.ca/canadian-medical-imaging-inventory-2019-202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nchs/data/ahcd/namcs_summary/2016_namcs_web_tables.pdf" TargetMode="External"/><Relationship Id="rId29" Type="http://schemas.openxmlformats.org/officeDocument/2006/relationships/hyperlink" Target="https://www.cma.ca/sites/default/files/pdf/Physician%20Data/01-physicians-by-specialty-province-e.pdf" TargetMode="External"/><Relationship Id="rId11" Type="http://schemas.openxmlformats.org/officeDocument/2006/relationships/hyperlink" Target="https://jamanetwork.com/journals/jamaneurology/fullarticle/784558" TargetMode="External"/><Relationship Id="rId24" Type="http://schemas.openxmlformats.org/officeDocument/2006/relationships/hyperlink" Target="https://n.neurology.org/content/73/10/754.short" TargetMode="External"/><Relationship Id="rId32" Type="http://schemas.openxmlformats.org/officeDocument/2006/relationships/hyperlink" Target="https://www.thelancet.com/cms/10.1016/j.eclinm.2022.101337/attachment/ff2804a0-c13d-4efc-b267-f3f902c68af5/mmc1.pdf" TargetMode="External"/><Relationship Id="rId37" Type="http://schemas.openxmlformats.org/officeDocument/2006/relationships/hyperlink" Target="https://www.thelancet.com/cms/10.1016/j.eclinm.2022.101337/attachment/ff2804a0-c13d-4efc-b267-f3f902c68af5/mmc1.pdf" TargetMode="External"/><Relationship Id="rId40" Type="http://schemas.openxmlformats.org/officeDocument/2006/relationships/hyperlink" Target="https://www.cadth.ca/canadian-medical-imaging-inventory-2019-2020" TargetMode="External"/><Relationship Id="rId45" Type="http://schemas.openxmlformats.org/officeDocument/2006/relationships/hyperlink" Target="https://surveys.cma.ca/viewer?file=%2Fmedia%2FSurveyPDF%2FCMA_Survey_Workforce2019_Q21_Q22Work_hours-e.pdf" TargetMode="External"/><Relationship Id="rId5" Type="http://schemas.openxmlformats.org/officeDocument/2006/relationships/webSettings" Target="webSettings.xml"/><Relationship Id="rId15" Type="http://schemas.openxmlformats.org/officeDocument/2006/relationships/hyperlink" Target="https://pubmed.ncbi.nlm.nih.gov/30937189/" TargetMode="External"/><Relationship Id="rId23" Type="http://schemas.openxmlformats.org/officeDocument/2006/relationships/hyperlink" Target="https://jamanetwork.com/journals/jama/article-abstract/2293296" TargetMode="External"/><Relationship Id="rId28" Type="http://schemas.openxmlformats.org/officeDocument/2006/relationships/hyperlink" Target="https://www.mayoclinic.org/tests-procedures/lumbar-puncture/about/pac-20394631" TargetMode="External"/><Relationship Id="rId36" Type="http://schemas.openxmlformats.org/officeDocument/2006/relationships/hyperlink" Target="https://www.cadth.ca/canadian-medical-imaging-inventory-2019-2020" TargetMode="External"/><Relationship Id="rId49" Type="http://schemas.microsoft.com/office/2011/relationships/people" Target="people.xml"/><Relationship Id="rId10" Type="http://schemas.openxmlformats.org/officeDocument/2006/relationships/hyperlink" Target="https://www.ncbi.nlm.nih.gov/pmc/articles/PMC5772157/" TargetMode="External"/><Relationship Id="rId19" Type="http://schemas.openxmlformats.org/officeDocument/2006/relationships/hyperlink" Target="https://www.ncbi.nlm.nih.gov/pmc/articles/PMC5772157/" TargetMode="External"/><Relationship Id="rId31" Type="http://schemas.openxmlformats.org/officeDocument/2006/relationships/hyperlink" Target="https://www.cihi.ca/sites/default/files/document/nursing-in-canada-2011-2020-data-tables-en.xlsx" TargetMode="External"/><Relationship Id="rId44" Type="http://schemas.openxmlformats.org/officeDocument/2006/relationships/hyperlink" Target="https://www.tbs-sct.canada.ca/agreements-conventions/view-visualiser-eng.aspx?id=19" TargetMode="External"/><Relationship Id="rId4" Type="http://schemas.openxmlformats.org/officeDocument/2006/relationships/settings" Target="settings.xml"/><Relationship Id="rId9" Type="http://schemas.openxmlformats.org/officeDocument/2006/relationships/hyperlink" Target="https://www.ncbi.nlm.nih.gov/pmc/articles/PMC3719424/" TargetMode="External"/><Relationship Id="rId14" Type="http://schemas.openxmlformats.org/officeDocument/2006/relationships/hyperlink" Target="https://pubmed.ncbi.nlm.nih.gov/23127423/" TargetMode="External"/><Relationship Id="rId22" Type="http://schemas.openxmlformats.org/officeDocument/2006/relationships/hyperlink" Target="https://alz-journals.onlinelibrary.wiley.com/doi/full/10.1002/alz.12470" TargetMode="External"/><Relationship Id="rId27" Type="http://schemas.openxmlformats.org/officeDocument/2006/relationships/hyperlink" Target="https://www.mayoclinic.org/tests-procedures/lumbar-puncture/about/pac-20394631" TargetMode="External"/><Relationship Id="rId30" Type="http://schemas.openxmlformats.org/officeDocument/2006/relationships/hyperlink" Target="https://www.thelancet.com/cms/10.1016/j.eclinm.2022.101337/attachment/ff2804a0-c13d-4efc-b267-f3f902c68af5/mmc1.pdf" TargetMode="External"/><Relationship Id="rId35" Type="http://schemas.openxmlformats.org/officeDocument/2006/relationships/hyperlink" Target="https://www.cadth.ca/canadian-medical-imaging-inventory-2019-2020" TargetMode="External"/><Relationship Id="rId43" Type="http://schemas.openxmlformats.org/officeDocument/2006/relationships/hyperlink" Target="https://www.thelancet.com/cms/10.1016/j.eclinm.2022.101337/attachment/ff2804a0-c13d-4efc-b267-f3f902c68af5/mmc1.pdf" TargetMode="External"/><Relationship Id="rId48" Type="http://schemas.openxmlformats.org/officeDocument/2006/relationships/fontTable" Target="fontTable.xml"/><Relationship Id="rId8" Type="http://schemas.openxmlformats.org/officeDocument/2006/relationships/hyperlink" Target="https://www150.statcan.gc.ca/t1/tbl1/en/tv.action?pid=1710000501&amp;pickMembers%5B0%5D=1.10&amp;pickMembers%5B1%5D=2.1&amp;cubeTimeFrame.startYear=2021&amp;cubeTimeFrame.endYear=2021&amp;referencePeriods=20210101%2C20210101" TargetMode="External"/><Relationship Id="rId3" Type="http://schemas.openxmlformats.org/officeDocument/2006/relationships/styles" Target="styles.xml"/><Relationship Id="rId12" Type="http://schemas.openxmlformats.org/officeDocument/2006/relationships/hyperlink" Target="https://pubmed.ncbi.nlm.nih.gov/35286590/" TargetMode="External"/><Relationship Id="rId17" Type="http://schemas.openxmlformats.org/officeDocument/2006/relationships/hyperlink" Target="https://www.alz.org/news/2019/new-alzheimer-s-association-report-shows-signifi" TargetMode="External"/><Relationship Id="rId25" Type="http://schemas.openxmlformats.org/officeDocument/2006/relationships/hyperlink" Target="https://practicalneurology.com/articles/2019-june/preclinical-prodromal-and-dementia-stages-ofalzheimers-disease" TargetMode="External"/><Relationship Id="rId33" Type="http://schemas.openxmlformats.org/officeDocument/2006/relationships/hyperlink" Target="https://www.napra.ca/national-statistics" TargetMode="External"/><Relationship Id="rId38" Type="http://schemas.openxmlformats.org/officeDocument/2006/relationships/hyperlink" Target="https://www.cadth.ca/canadian-medical-imaging-inventory-2019-2020" TargetMode="External"/><Relationship Id="rId46" Type="http://schemas.openxmlformats.org/officeDocument/2006/relationships/hyperlink" Target="https://www.canada.ca/en/employment-social-development/programs/employment-standards/holidays.html" TargetMode="External"/><Relationship Id="rId20" Type="http://schemas.openxmlformats.org/officeDocument/2006/relationships/hyperlink" Target="https://www.scielo.br/j/dn/a/yZ7C4Lr9WBjQNs9mSxzHYZk/?lang=en" TargetMode="External"/><Relationship Id="rId41" Type="http://schemas.openxmlformats.org/officeDocument/2006/relationships/hyperlink" Target="https://www.thelancet.com/cms/10.1016/j.eclinm.2022.101337/attachment/ff2804a0-c13d-4efc-b267-f3f902c68af5/mmc1.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3D8B-F0A1-41C3-9B37-B0D459DC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10373</Characters>
  <Application>Microsoft Office Word</Application>
  <DocSecurity>0</DocSecurity>
  <Lines>86</Lines>
  <Paragraphs>24</Paragraphs>
  <ScaleCrop>false</ScaleCrop>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Stevie Kenyon</cp:lastModifiedBy>
  <cp:revision>4</cp:revision>
  <dcterms:created xsi:type="dcterms:W3CDTF">2023-06-29T01:41:00Z</dcterms:created>
  <dcterms:modified xsi:type="dcterms:W3CDTF">2023-07-06T02:17:00Z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id="4DqG9RfE"/&gt;&lt;style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