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tblBorders>
        <w:tblLook w:val="0000" w:firstRow="0" w:lastRow="0" w:firstColumn="0" w:lastColumn="0" w:noHBand="0" w:noVBand="0"/>
      </w:tblPr>
      <w:tblGrid>
        <w:gridCol w:w="4318"/>
        <w:gridCol w:w="8642"/>
      </w:tblGrid>
      <w:tr w:rsidR="005850D4" w:rsidRPr="005850D4" w14:paraId="589211AD" w14:textId="77777777" w:rsidTr="00EA3EED">
        <w:trPr>
          <w:trHeight w:val="284"/>
        </w:trPr>
        <w:tc>
          <w:tcPr>
            <w:tcW w:w="5000" w:type="pct"/>
            <w:gridSpan w:val="2"/>
            <w:tcBorders>
              <w:bottom w:val="single" w:sz="4" w:space="0" w:color="auto"/>
            </w:tcBorders>
          </w:tcPr>
          <w:p w14:paraId="0AAAE14E" w14:textId="4F8F7D5A" w:rsidR="005850D4" w:rsidRPr="005850D4" w:rsidRDefault="005850D4" w:rsidP="005850D4">
            <w:pPr>
              <w:autoSpaceDE w:val="0"/>
              <w:autoSpaceDN w:val="0"/>
              <w:adjustRightInd w:val="0"/>
              <w:spacing w:after="120" w:line="240" w:lineRule="auto"/>
              <w:rPr>
                <w:rFonts w:ascii="Calibri" w:eastAsia="Calibri" w:hAnsi="Calibri" w:cs="Times New Roman"/>
              </w:rPr>
            </w:pPr>
            <w:r w:rsidRPr="005850D4">
              <w:rPr>
                <w:rFonts w:ascii="Calibri" w:eastAsia="Calibri" w:hAnsi="Calibri" w:cs="Times New Roman"/>
              </w:rPr>
              <w:br w:type="page"/>
            </w:r>
            <w:r w:rsidR="005E3A8F" w:rsidRPr="00320D88">
              <w:rPr>
                <w:rFonts w:ascii="Times New Roman" w:eastAsia="Calibri" w:hAnsi="Times New Roman" w:cs="Times New Roman"/>
                <w:color w:val="000000"/>
              </w:rPr>
              <w:t xml:space="preserve">Table </w:t>
            </w:r>
            <w:r w:rsidR="001834B0">
              <w:rPr>
                <w:rFonts w:ascii="Times New Roman" w:eastAsia="Calibri" w:hAnsi="Times New Roman" w:cs="Times New Roman"/>
                <w:color w:val="000000"/>
              </w:rPr>
              <w:t>e-</w:t>
            </w:r>
            <w:r w:rsidR="001F1343">
              <w:rPr>
                <w:rFonts w:ascii="Times New Roman" w:eastAsia="Calibri" w:hAnsi="Times New Roman" w:cs="Times New Roman"/>
                <w:color w:val="000000"/>
              </w:rPr>
              <w:t>1</w:t>
            </w:r>
            <w:r w:rsidR="00821EC9">
              <w:rPr>
                <w:rFonts w:ascii="Times New Roman" w:eastAsia="Calibri" w:hAnsi="Times New Roman" w:cs="Times New Roman"/>
                <w:color w:val="000000"/>
              </w:rPr>
              <w:t>.</w:t>
            </w:r>
            <w:r w:rsidR="00821EC9" w:rsidRPr="005850D4">
              <w:rPr>
                <w:rFonts w:ascii="Times New Roman" w:eastAsia="Calibri" w:hAnsi="Times New Roman" w:cs="Times New Roman"/>
                <w:color w:val="000000"/>
              </w:rPr>
              <w:t xml:space="preserve"> </w:t>
            </w:r>
            <w:r w:rsidRPr="005850D4">
              <w:rPr>
                <w:rFonts w:ascii="Times New Roman" w:eastAsia="Calibri" w:hAnsi="Times New Roman" w:cs="Times New Roman"/>
                <w:color w:val="000000"/>
              </w:rPr>
              <w:t>Description of Ontario health administrative databases</w:t>
            </w:r>
            <w:r w:rsidR="00821EC9">
              <w:rPr>
                <w:rFonts w:ascii="Times New Roman" w:eastAsia="Calibri" w:hAnsi="Times New Roman" w:cs="Times New Roman"/>
                <w:color w:val="000000"/>
              </w:rPr>
              <w:t>.</w:t>
            </w:r>
          </w:p>
        </w:tc>
      </w:tr>
      <w:tr w:rsidR="005850D4" w:rsidRPr="005850D4" w14:paraId="6BE316C7" w14:textId="77777777" w:rsidTr="00EA3EED">
        <w:trPr>
          <w:trHeight w:val="287"/>
        </w:trPr>
        <w:tc>
          <w:tcPr>
            <w:tcW w:w="1666" w:type="pct"/>
            <w:tcBorders>
              <w:top w:val="single" w:sz="4" w:space="0" w:color="auto"/>
              <w:bottom w:val="single" w:sz="4" w:space="0" w:color="auto"/>
            </w:tcBorders>
          </w:tcPr>
          <w:p w14:paraId="76BCF75B"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b/>
                <w:bCs/>
                <w:color w:val="000000"/>
              </w:rPr>
              <w:t>Database</w:t>
            </w:r>
          </w:p>
        </w:tc>
        <w:tc>
          <w:tcPr>
            <w:tcW w:w="3334" w:type="pct"/>
            <w:tcBorders>
              <w:top w:val="single" w:sz="4" w:space="0" w:color="auto"/>
              <w:bottom w:val="single" w:sz="4" w:space="0" w:color="auto"/>
            </w:tcBorders>
          </w:tcPr>
          <w:p w14:paraId="4A6A5246"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b/>
                <w:bCs/>
                <w:color w:val="000000"/>
              </w:rPr>
            </w:pPr>
            <w:r w:rsidRPr="005850D4">
              <w:rPr>
                <w:rFonts w:ascii="Times New Roman" w:eastAsia="Calibri" w:hAnsi="Times New Roman" w:cs="Times New Roman"/>
                <w:b/>
                <w:bCs/>
                <w:color w:val="000000"/>
              </w:rPr>
              <w:t>Description</w:t>
            </w:r>
          </w:p>
        </w:tc>
      </w:tr>
      <w:tr w:rsidR="005850D4" w:rsidRPr="005850D4" w14:paraId="17B2B482" w14:textId="77777777" w:rsidTr="00EA3EED">
        <w:trPr>
          <w:trHeight w:val="133"/>
        </w:trPr>
        <w:tc>
          <w:tcPr>
            <w:tcW w:w="5000" w:type="pct"/>
            <w:gridSpan w:val="2"/>
            <w:tcBorders>
              <w:top w:val="single" w:sz="4" w:space="0" w:color="auto"/>
              <w:bottom w:val="single" w:sz="4" w:space="0" w:color="auto"/>
            </w:tcBorders>
          </w:tcPr>
          <w:p w14:paraId="01EDB7D9"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b/>
                <w:bCs/>
                <w:i/>
                <w:iCs/>
                <w:color w:val="000000"/>
              </w:rPr>
              <w:t xml:space="preserve">Health Services </w:t>
            </w:r>
          </w:p>
        </w:tc>
      </w:tr>
      <w:tr w:rsidR="005850D4" w:rsidRPr="005850D4" w14:paraId="731455E4" w14:textId="77777777" w:rsidTr="00EA3EED">
        <w:trPr>
          <w:trHeight w:val="3006"/>
        </w:trPr>
        <w:tc>
          <w:tcPr>
            <w:tcW w:w="1666" w:type="pct"/>
            <w:tcBorders>
              <w:top w:val="single" w:sz="4" w:space="0" w:color="auto"/>
              <w:bottom w:val="single" w:sz="4" w:space="0" w:color="auto"/>
            </w:tcBorders>
          </w:tcPr>
          <w:p w14:paraId="3DC3AD4E"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Discharge Abstract Database (DAD) </w:t>
            </w:r>
          </w:p>
        </w:tc>
        <w:tc>
          <w:tcPr>
            <w:tcW w:w="3334" w:type="pct"/>
            <w:tcBorders>
              <w:top w:val="single" w:sz="4" w:space="0" w:color="auto"/>
              <w:bottom w:val="single" w:sz="4" w:space="0" w:color="auto"/>
            </w:tcBorders>
          </w:tcPr>
          <w:p w14:paraId="16DC5E28"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The DAD is compiled by the Canadian Institute for Health Information (CIHI) and contains administrative, clinical (diagnoses and procedures/interventions), demographic, and administrative information for all admissions to acute care hospitals in Ontario. At ICES, consecutive DAD records are linked together to form ‘episodes of care’ among the hospitals to which patients have been transferred after their initial admission. </w:t>
            </w:r>
          </w:p>
          <w:p w14:paraId="1F14EFB0"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Prior to April 1, 2002, diagnoses (up to 16 on a given DAD record) are captured using the International Statistical Classification of Diseases, Injuries, and Causes of Death, 9th Revision (ICD-9) coding system and procedures (up to 10 on a given DAD record) are captured using the Canadian Classification of Diagnostic, Therapeutic, and Surgical Procedures (CCP) coding system. Following April 1, 2002, diagnoses (up to 25 on a given DAD record) are captured using the International Statistical Classification of Diseases and Related Health Problems, 10th Revision, Canada (ICD-10-CA) coding system and interventions (up to 20 on a given DAD record) are captured using the Canadian Classification of Health Interventions (CCI) coding system. </w:t>
            </w:r>
          </w:p>
          <w:p w14:paraId="013BED89" w14:textId="331F183F"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In a hospital medical record </w:t>
            </w:r>
            <w:proofErr w:type="spellStart"/>
            <w:r w:rsidRPr="005850D4">
              <w:rPr>
                <w:rFonts w:ascii="Times New Roman" w:eastAsia="Calibri" w:hAnsi="Times New Roman" w:cs="Times New Roman"/>
                <w:color w:val="000000"/>
              </w:rPr>
              <w:t>reabstraction</w:t>
            </w:r>
            <w:proofErr w:type="spellEnd"/>
            <w:r w:rsidRPr="005850D4">
              <w:rPr>
                <w:rFonts w:ascii="Times New Roman" w:eastAsia="Calibri" w:hAnsi="Times New Roman" w:cs="Times New Roman"/>
                <w:color w:val="000000"/>
              </w:rPr>
              <w:t xml:space="preserve"> study of 14,500 hospital discharges from 18 hospital sites between April 2002 and March 2004, DAD records were demonstrated to have excellent agreement (over 99%) for nonmedical information such as demographic and administrative data. Regarding diagnoses, median agreement between the original DAD records and the </w:t>
            </w:r>
            <w:proofErr w:type="spellStart"/>
            <w:r w:rsidRPr="005850D4">
              <w:rPr>
                <w:rFonts w:ascii="Times New Roman" w:eastAsia="Calibri" w:hAnsi="Times New Roman" w:cs="Times New Roman"/>
                <w:color w:val="000000"/>
              </w:rPr>
              <w:t>reabstracted</w:t>
            </w:r>
            <w:proofErr w:type="spellEnd"/>
            <w:r w:rsidRPr="005850D4">
              <w:rPr>
                <w:rFonts w:ascii="Times New Roman" w:eastAsia="Calibri" w:hAnsi="Times New Roman" w:cs="Times New Roman"/>
                <w:color w:val="000000"/>
              </w:rPr>
              <w:t xml:space="preserve"> records for the 50 most common most responsible diagnoses was 81% (Sensitivity 82%; Specificity 82%).</w:t>
            </w:r>
            <w:r w:rsidR="00F60702">
              <w:rPr>
                <w:rFonts w:ascii="Times New Roman" w:eastAsia="Calibri" w:hAnsi="Times New Roman" w:cs="Times New Roman"/>
                <w:noProof/>
                <w:color w:val="000000"/>
                <w:vertAlign w:val="superscript"/>
              </w:rPr>
              <w:fldChar w:fldCharType="begin" w:fldLock="1"/>
            </w:r>
            <w:r w:rsidR="000B09E7">
              <w:rPr>
                <w:rFonts w:ascii="Times New Roman" w:eastAsia="Calibri" w:hAnsi="Times New Roman" w:cs="Times New Roman"/>
                <w:noProof/>
                <w:color w:val="000000"/>
                <w:vertAlign w:val="superscript"/>
              </w:rPr>
              <w:instrText>ADDIN CSL_CITATION {"citationItems":[{"id":"ITEM-1","itemData":{"author":[{"dropping-particle":"","family":"Juurlink","given":"David","non-dropping-particle":"","parse-names":false,"suffix":""},{"dropping-particle":"","family":"Preyra","given":"Colin","non-dropping-particle":"","parse-names":false,"suffix":""},{"dropping-particle":"","family":"Croxford","given":"Ruth","non-dropping-particle":"","parse-names":false,"suffix":""},{"dropping-particle":"","family":"Chong","given":"Alice","non-dropping-particle":"","parse-names":false,"suffix":""},{"dropping-particle":"","family":"Austin","given":"Peter","non-dropping-particle":"","parse-names":false,"suffix":""},{"dropping-particle":"","family":"Tu","given":"Jack","non-dropping-particle":"","parse-names":false,"suffix":""},{"dropping-particle":"","family":"Laupacis","given":"Andreas","non-dropping-particle":"","parse-names":false,"suffix":""}],"id":"ITEM-1","issue":"June","issued":{"date-parts":[["2006"]]},"note":"Accessed August 1, 2019","number-of-pages":"1-77","publisher-place":"Toronto","title":"Canadian Institute for Health Information Discharge Abstract Database: a validation study","type":"report"},"uris":["http://www.mendeley.com/documents/?uuid=6fdfbc6d-e30f-421a-b7cc-3c0b55719690"]}],"mendeley":{"formattedCitation":"(1)","plainTextFormattedCitation":"(1)","previouslyFormattedCitation":"(1)"},"properties":{"noteIndex":0},"schema":"https://github.com/citation-style-language/schema/raw/master/csl-citation.json"}</w:instrText>
            </w:r>
            <w:r w:rsidR="00F60702">
              <w:rPr>
                <w:rFonts w:ascii="Times New Roman" w:eastAsia="Calibri" w:hAnsi="Times New Roman" w:cs="Times New Roman"/>
                <w:noProof/>
                <w:color w:val="000000"/>
                <w:vertAlign w:val="superscript"/>
              </w:rPr>
              <w:fldChar w:fldCharType="separate"/>
            </w:r>
            <w:r w:rsidR="002D3D31" w:rsidRPr="002D3D31">
              <w:rPr>
                <w:rFonts w:ascii="Times New Roman" w:eastAsia="Calibri" w:hAnsi="Times New Roman" w:cs="Times New Roman"/>
                <w:noProof/>
                <w:color w:val="000000"/>
              </w:rPr>
              <w:t>(1)</w:t>
            </w:r>
            <w:r w:rsidR="00F60702">
              <w:rPr>
                <w:rFonts w:ascii="Times New Roman" w:eastAsia="Calibri" w:hAnsi="Times New Roman" w:cs="Times New Roman"/>
                <w:noProof/>
                <w:color w:val="000000"/>
                <w:vertAlign w:val="superscript"/>
              </w:rPr>
              <w:fldChar w:fldCharType="end"/>
            </w:r>
            <w:r w:rsidRPr="005850D4">
              <w:rPr>
                <w:rFonts w:ascii="Times New Roman" w:eastAsia="Calibri" w:hAnsi="Times New Roman" w:cs="Times New Roman"/>
                <w:color w:val="000000"/>
              </w:rPr>
              <w:t xml:space="preserve"> The corresponding median agreement for the 50 most frequently performed surgical procedures was 92% (sensitivity 95%, positive predictive value 91%).</w:t>
            </w:r>
          </w:p>
        </w:tc>
      </w:tr>
      <w:tr w:rsidR="005850D4" w:rsidRPr="005850D4" w14:paraId="39638448" w14:textId="77777777" w:rsidTr="00EA3EED">
        <w:trPr>
          <w:trHeight w:val="841"/>
        </w:trPr>
        <w:tc>
          <w:tcPr>
            <w:tcW w:w="1666" w:type="pct"/>
            <w:tcBorders>
              <w:top w:val="single" w:sz="4" w:space="0" w:color="auto"/>
              <w:left w:val="nil"/>
              <w:bottom w:val="single" w:sz="4" w:space="0" w:color="auto"/>
            </w:tcBorders>
          </w:tcPr>
          <w:p w14:paraId="6E3003B6"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National Ambulatory Care Reporting System (NACRS) </w:t>
            </w:r>
          </w:p>
        </w:tc>
        <w:tc>
          <w:tcPr>
            <w:tcW w:w="3334" w:type="pct"/>
            <w:tcBorders>
              <w:top w:val="single" w:sz="4" w:space="0" w:color="auto"/>
              <w:bottom w:val="single" w:sz="4" w:space="0" w:color="auto"/>
              <w:right w:val="nil"/>
            </w:tcBorders>
          </w:tcPr>
          <w:p w14:paraId="430B5A79"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The NACRS is compiled by the Canadian Institute for Health Information (CIHI) and contains administrative, clinical (diagnoses and procedures), demographic, and administrative information for all patient visits made to hospital- and community-based ambulatory care centres (emergency departments, day surgery units, hemodialysis units, and cancer care clinics) in Ontario. At ICES, NACRS records are linked with other data sources (DAD, Ontario Mental Health Reporting System [OMHRS]) to identify transitions to other care settings, such as inpatient acute care or psychiatric care. </w:t>
            </w:r>
          </w:p>
          <w:p w14:paraId="259AA974"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Prior to April 1, 2002, diagnoses (up to 6 on a given NACRS record) are captured using the ICD-9 coding system and procedures (up to 10 on a given NACRS record) are captured using </w:t>
            </w:r>
            <w:r w:rsidRPr="005850D4">
              <w:rPr>
                <w:rFonts w:ascii="Times New Roman" w:eastAsia="Calibri" w:hAnsi="Times New Roman" w:cs="Times New Roman"/>
                <w:color w:val="000000"/>
              </w:rPr>
              <w:lastRenderedPageBreak/>
              <w:t xml:space="preserve">the CCP coding system. Following April 1, 2002, diagnoses (up to 10 on a given NACRS record) are captured using the ICD- 10-CA coding system and interventions (up to 10 on a given NACRS record) are captured using the CCI coding system. NACRS emergency department diagnosis codes have been extensively validated. </w:t>
            </w:r>
          </w:p>
        </w:tc>
      </w:tr>
      <w:tr w:rsidR="00AD3AD1" w:rsidRPr="005850D4" w14:paraId="25102683" w14:textId="77777777" w:rsidTr="00EA3EED">
        <w:trPr>
          <w:trHeight w:val="3006"/>
        </w:trPr>
        <w:tc>
          <w:tcPr>
            <w:tcW w:w="1666" w:type="pct"/>
            <w:tcBorders>
              <w:top w:val="single" w:sz="4" w:space="0" w:color="auto"/>
              <w:left w:val="nil"/>
              <w:bottom w:val="single" w:sz="4" w:space="0" w:color="auto"/>
            </w:tcBorders>
          </w:tcPr>
          <w:p w14:paraId="0FDBDB34" w14:textId="5EE95354" w:rsidR="00AD3AD1" w:rsidRPr="005850D4" w:rsidRDefault="001934BC" w:rsidP="005850D4">
            <w:pPr>
              <w:autoSpaceDE w:val="0"/>
              <w:autoSpaceDN w:val="0"/>
              <w:adjustRightInd w:val="0"/>
              <w:spacing w:after="120" w:line="240" w:lineRule="auto"/>
              <w:rPr>
                <w:rFonts w:ascii="Times New Roman" w:eastAsia="Calibri" w:hAnsi="Times New Roman" w:cs="Times New Roman"/>
                <w:color w:val="000000"/>
              </w:rPr>
            </w:pPr>
            <w:r w:rsidRPr="001934BC">
              <w:rPr>
                <w:rFonts w:ascii="Times New Roman" w:eastAsia="Calibri" w:hAnsi="Times New Roman" w:cs="Times New Roman"/>
                <w:color w:val="000000"/>
              </w:rPr>
              <w:lastRenderedPageBreak/>
              <w:t>Ontario Drug Benefit (ODB) program database</w:t>
            </w:r>
          </w:p>
        </w:tc>
        <w:tc>
          <w:tcPr>
            <w:tcW w:w="3334" w:type="pct"/>
            <w:tcBorders>
              <w:top w:val="single" w:sz="4" w:space="0" w:color="auto"/>
              <w:bottom w:val="single" w:sz="4" w:space="0" w:color="auto"/>
              <w:right w:val="nil"/>
            </w:tcBorders>
          </w:tcPr>
          <w:p w14:paraId="499D5040" w14:textId="2EE9E8E4" w:rsidR="00AD3AD1" w:rsidRPr="00AD3AD1" w:rsidRDefault="00AD3AD1" w:rsidP="00AD3AD1">
            <w:pPr>
              <w:autoSpaceDE w:val="0"/>
              <w:autoSpaceDN w:val="0"/>
              <w:adjustRightInd w:val="0"/>
              <w:spacing w:after="120" w:line="240" w:lineRule="auto"/>
              <w:rPr>
                <w:rFonts w:ascii="Times New Roman" w:eastAsia="Calibri" w:hAnsi="Times New Roman" w:cs="Times New Roman"/>
                <w:color w:val="000000"/>
              </w:rPr>
            </w:pPr>
            <w:r w:rsidRPr="00AD3AD1">
              <w:rPr>
                <w:rFonts w:ascii="Times New Roman" w:eastAsia="Calibri" w:hAnsi="Times New Roman" w:cs="Times New Roman"/>
                <w:color w:val="000000"/>
              </w:rPr>
              <w:t xml:space="preserve">The ODB database contains prescription medication claims for those covered under the provincial drug program, mainly: those aged 65 years and older, </w:t>
            </w:r>
            <w:r w:rsidR="00A403E2">
              <w:rPr>
                <w:rFonts w:ascii="Times New Roman" w:eastAsia="Calibri" w:hAnsi="Times New Roman" w:cs="Times New Roman"/>
                <w:color w:val="000000"/>
              </w:rPr>
              <w:t>24 years and younger without private insurance coverage (</w:t>
            </w:r>
            <w:r w:rsidR="00A403E2" w:rsidRPr="00FD3995">
              <w:rPr>
                <w:rFonts w:ascii="Times New Roman" w:hAnsi="Times New Roman" w:cs="Times New Roman"/>
              </w:rPr>
              <w:t>as of January 1, 2018)</w:t>
            </w:r>
            <w:r w:rsidR="00A403E2">
              <w:rPr>
                <w:rFonts w:ascii="Times New Roman" w:eastAsia="Calibri" w:hAnsi="Times New Roman" w:cs="Times New Roman"/>
                <w:color w:val="000000"/>
              </w:rPr>
              <w:t xml:space="preserve">, </w:t>
            </w:r>
            <w:r w:rsidRPr="00AD3AD1">
              <w:rPr>
                <w:rFonts w:ascii="Times New Roman" w:eastAsia="Calibri" w:hAnsi="Times New Roman" w:cs="Times New Roman"/>
                <w:color w:val="000000"/>
              </w:rPr>
              <w:t>nursing home residents, patients receiving services under the Ontario Home Care program, those receiving social assistance, and residents eligible for specialized drug programs (e.g., programs which cover the costs of medications for individuals whose medication costs exceed 4% of their net household income and for individuals with rare, serious conditions such as Cystic Fibrosis).</w:t>
            </w:r>
          </w:p>
          <w:p w14:paraId="331C79D2" w14:textId="77777777" w:rsidR="00AD3AD1" w:rsidRPr="00AD3AD1" w:rsidRDefault="00AD3AD1" w:rsidP="00AD3AD1">
            <w:pPr>
              <w:autoSpaceDE w:val="0"/>
              <w:autoSpaceDN w:val="0"/>
              <w:adjustRightInd w:val="0"/>
              <w:spacing w:after="120" w:line="240" w:lineRule="auto"/>
              <w:rPr>
                <w:rFonts w:ascii="Times New Roman" w:eastAsia="Calibri" w:hAnsi="Times New Roman" w:cs="Times New Roman"/>
                <w:color w:val="000000"/>
              </w:rPr>
            </w:pPr>
            <w:r w:rsidRPr="00AD3AD1">
              <w:rPr>
                <w:rFonts w:ascii="Times New Roman" w:eastAsia="Calibri" w:hAnsi="Times New Roman" w:cs="Times New Roman"/>
                <w:color w:val="000000"/>
              </w:rPr>
              <w:t>Each medication claim has an associated prescriber identifier which indicates the health practitioner who wrote the prescription, as well as fields that identify the type and quantity of medication and duration of treatment. A special flag in the ODB database indicates whether the prescription was dispensed to a nursing home resident.</w:t>
            </w:r>
          </w:p>
          <w:p w14:paraId="00750A13" w14:textId="55F393C8" w:rsidR="00AD3AD1" w:rsidRPr="005850D4" w:rsidRDefault="00AD3AD1" w:rsidP="00AD3AD1">
            <w:pPr>
              <w:autoSpaceDE w:val="0"/>
              <w:autoSpaceDN w:val="0"/>
              <w:adjustRightInd w:val="0"/>
              <w:spacing w:after="120" w:line="240" w:lineRule="auto"/>
              <w:rPr>
                <w:rFonts w:ascii="Times New Roman" w:eastAsia="Calibri" w:hAnsi="Times New Roman" w:cs="Times New Roman"/>
                <w:color w:val="000000"/>
              </w:rPr>
            </w:pPr>
            <w:r w:rsidRPr="00AD3AD1">
              <w:rPr>
                <w:rFonts w:ascii="Times New Roman" w:eastAsia="Calibri" w:hAnsi="Times New Roman" w:cs="Times New Roman"/>
                <w:color w:val="000000"/>
              </w:rPr>
              <w:t>An audit of 100 randomly selected prescriptions dispensed from 50 Ontario pharmacies determined that the ODB had an error rate of 0.7% and none of the pharmacy characteristics examined (locations, owner affiliation, productivity) were associated with coding errors</w:t>
            </w:r>
            <w:r w:rsidRPr="003749D7">
              <w:rPr>
                <w:rFonts w:ascii="Times New Roman" w:eastAsia="Calibri" w:hAnsi="Times New Roman" w:cs="Times New Roman"/>
                <w:color w:val="000000"/>
              </w:rPr>
              <w:t>.</w:t>
            </w:r>
            <w:r w:rsidR="003749D7" w:rsidRPr="00601AC7">
              <w:rPr>
                <w:rFonts w:ascii="Times New Roman" w:eastAsia="Calibri" w:hAnsi="Times New Roman" w:cs="Times New Roman"/>
                <w:color w:val="000000"/>
              </w:rPr>
              <w:fldChar w:fldCharType="begin" w:fldLock="1"/>
            </w:r>
            <w:r w:rsidR="000B09E7">
              <w:rPr>
                <w:rFonts w:ascii="Times New Roman" w:eastAsia="Calibri" w:hAnsi="Times New Roman" w:cs="Times New Roman"/>
                <w:color w:val="000000"/>
              </w:rPr>
              <w:instrText>ADDIN CSL_CITATION {"citationItems":[{"id":"ITEM-1","itemData":{"ISBN":"1198-581X","author":[{"dropping-particle":"","family":"Levy","given":"Adrian R","non-dropping-particle":"","parse-names":false,"suffix":""},{"dropping-particle":"","family":"O'Brien","given":"Bernie J","non-dropping-particle":"","parse-names":false,"suffix":""},{"dropping-particle":"","family":"Sellors","given":"Connie","non-dropping-particle":"","parse-names":false,"suffix":""},{"dropping-particle":"","family":"Grootendorst","given":"Paul","non-dropping-particle":"","parse-names":false,"suffix":""},{"dropping-particle":"","family":"Willison","given":"Donald","non-dropping-particle":"","parse-names":false,"suffix":""}],"container-title":"Can J Clin Pharmacol","id":"ITEM-1","issue":"2","issued":{"date-parts":[["2003"]]},"page":"67-71","title":"Coding accuracy of administrative drug claims in the Ontario Drug Benefit database.","type":"article","volume":"10"},"uris":["http://www.mendeley.com/documents/?uuid=f94fe8e3-3127-4d08-b30f-fcddb939f334"]}],"mendeley":{"formattedCitation":"(2)","plainTextFormattedCitation":"(2)","previouslyFormattedCitation":"(2)"},"properties":{"noteIndex":0},"schema":"https://github.com/citation-style-language/schema/raw/master/csl-citation.json"}</w:instrText>
            </w:r>
            <w:r w:rsidR="003749D7" w:rsidRPr="00601AC7">
              <w:rPr>
                <w:rFonts w:ascii="Times New Roman" w:eastAsia="Calibri" w:hAnsi="Times New Roman" w:cs="Times New Roman"/>
                <w:color w:val="000000"/>
              </w:rPr>
              <w:fldChar w:fldCharType="separate"/>
            </w:r>
            <w:r w:rsidR="002D3D31" w:rsidRPr="002D3D31">
              <w:rPr>
                <w:rFonts w:ascii="Times New Roman" w:eastAsia="Calibri" w:hAnsi="Times New Roman" w:cs="Times New Roman"/>
                <w:noProof/>
                <w:color w:val="000000"/>
              </w:rPr>
              <w:t>(2)</w:t>
            </w:r>
            <w:r w:rsidR="003749D7" w:rsidRPr="00601AC7">
              <w:rPr>
                <w:rFonts w:ascii="Times New Roman" w:eastAsia="Calibri" w:hAnsi="Times New Roman" w:cs="Times New Roman"/>
                <w:color w:val="000000"/>
              </w:rPr>
              <w:fldChar w:fldCharType="end"/>
            </w:r>
          </w:p>
        </w:tc>
      </w:tr>
      <w:tr w:rsidR="005850D4" w:rsidRPr="005850D4" w14:paraId="4AAD825D" w14:textId="77777777" w:rsidTr="00EA3EED">
        <w:trPr>
          <w:trHeight w:val="3006"/>
        </w:trPr>
        <w:tc>
          <w:tcPr>
            <w:tcW w:w="1666" w:type="pct"/>
            <w:tcBorders>
              <w:top w:val="single" w:sz="4" w:space="0" w:color="auto"/>
              <w:left w:val="nil"/>
              <w:bottom w:val="single" w:sz="4" w:space="0" w:color="auto"/>
            </w:tcBorders>
          </w:tcPr>
          <w:p w14:paraId="39D6A063"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Ontario Health Insurance Plan (OHIP) Claims History Database </w:t>
            </w:r>
          </w:p>
        </w:tc>
        <w:tc>
          <w:tcPr>
            <w:tcW w:w="3334" w:type="pct"/>
            <w:tcBorders>
              <w:top w:val="single" w:sz="4" w:space="0" w:color="auto"/>
              <w:bottom w:val="single" w:sz="4" w:space="0" w:color="auto"/>
              <w:right w:val="nil"/>
            </w:tcBorders>
          </w:tcPr>
          <w:p w14:paraId="79D3D4D2"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The OHIP claims database contains information on inpatient and outpatient services provided to Ontario residents eligible for the province’s publicly funded health insurance system by fee-for-service health care practitioners (primarily physicians) and “shadow billings” for those paid through non-fee-for-service payment plans. </w:t>
            </w:r>
          </w:p>
          <w:p w14:paraId="4E987AD8" w14:textId="52674E38"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Billing codes on the claims (OHIP fee codes) identify the care provider, their area of specialization and the type and location of service. OHIP billing claims also contain a 3-digit diagnosis code - the main reason for the service - captured using a modified version of the ICD, 8th revision coding system. OHIP claims are well completed, but the validity of the diagnosis coding is highly variable.</w:t>
            </w:r>
            <w:r w:rsidR="00F60702">
              <w:rPr>
                <w:rFonts w:ascii="Times New Roman" w:eastAsia="Calibri" w:hAnsi="Times New Roman" w:cs="Times New Roman"/>
                <w:noProof/>
                <w:color w:val="000000"/>
                <w:vertAlign w:val="superscript"/>
              </w:rPr>
              <w:fldChar w:fldCharType="begin" w:fldLock="1"/>
            </w:r>
            <w:r w:rsidR="000B09E7">
              <w:rPr>
                <w:rFonts w:ascii="Times New Roman" w:eastAsia="Calibri" w:hAnsi="Times New Roman" w:cs="Times New Roman"/>
                <w:noProof/>
                <w:color w:val="000000"/>
                <w:vertAlign w:val="superscript"/>
              </w:rPr>
              <w:instrText>ADDIN CSL_CITATION {"citationItems":[{"id":"ITEM-1","itemData":{"ISBN":"0920169791","author":[{"dropping-particle":"","family":"Williams","given":"J","non-dropping-particle":"","parse-names":false,"suffix":""},{"dropping-particle":"","family":"Young","given":"W","non-dropping-particle":"","parse-names":false,"suffix":""}],"container-title":"Patterns of Health Care in Ontario: The ICES Practice Atlas","edition":"2nd","editor":[{"dropping-particle":"","family":"Goel","given":"Vivek","non-dropping-particle":"","parse-names":false,"suffix":""},{"dropping-particle":"","family":"Williams","given":"J Ivan","non-dropping-particle":"","parse-names":false,"suffix":""},{"dropping-particle":"","family":"Anderson","given":"Geoffrey M","non-dropping-particle":"","parse-names":false,"suffix":""},{"dropping-particle":"","family":"Blackstien-Hirsch","given":"Paula","non-dropping-particle":"","parse-names":false,"suffix":""},{"dropping-particle":"","family":"Fooks","given":"Cathy","non-dropping-particle":"","parse-names":false,"suffix":""},{"dropping-particle":"","family":"Naylor","given":"C David","non-dropping-particle":"","parse-names":false,"suffix":""}],"id":"ITEM-1","issued":{"date-parts":[["1996"]]},"page":"339-346","publisher":"Canadian Medical Association","publisher-place":"Ottawa","title":"A summary of the quality of health care administrative databases in Canada","type":"chapter"},"uris":["http://www.mendeley.com/documents/?uuid=07e50f4e-1838-4a64-ab31-6a945614693a"]}],"mendeley":{"formattedCitation":"(3)","plainTextFormattedCitation":"(3)","previouslyFormattedCitation":"(3)"},"properties":{"noteIndex":0},"schema":"https://github.com/citation-style-language/schema/raw/master/csl-citation.json"}</w:instrText>
            </w:r>
            <w:r w:rsidR="00F60702">
              <w:rPr>
                <w:rFonts w:ascii="Times New Roman" w:eastAsia="Calibri" w:hAnsi="Times New Roman" w:cs="Times New Roman"/>
                <w:noProof/>
                <w:color w:val="000000"/>
                <w:vertAlign w:val="superscript"/>
              </w:rPr>
              <w:fldChar w:fldCharType="separate"/>
            </w:r>
            <w:r w:rsidR="002D3D31" w:rsidRPr="002D3D31">
              <w:rPr>
                <w:rFonts w:ascii="Times New Roman" w:eastAsia="Calibri" w:hAnsi="Times New Roman" w:cs="Times New Roman"/>
                <w:noProof/>
                <w:color w:val="000000"/>
              </w:rPr>
              <w:t>(3)</w:t>
            </w:r>
            <w:r w:rsidR="00F60702">
              <w:rPr>
                <w:rFonts w:ascii="Times New Roman" w:eastAsia="Calibri" w:hAnsi="Times New Roman" w:cs="Times New Roman"/>
                <w:noProof/>
                <w:color w:val="000000"/>
                <w:vertAlign w:val="superscript"/>
              </w:rPr>
              <w:fldChar w:fldCharType="end"/>
            </w:r>
          </w:p>
        </w:tc>
      </w:tr>
      <w:tr w:rsidR="005850D4" w:rsidRPr="005850D4" w14:paraId="0571B4F4" w14:textId="77777777" w:rsidTr="00412723">
        <w:trPr>
          <w:trHeight w:val="2258"/>
        </w:trPr>
        <w:tc>
          <w:tcPr>
            <w:tcW w:w="1666" w:type="pct"/>
            <w:tcBorders>
              <w:top w:val="single" w:sz="4" w:space="0" w:color="auto"/>
              <w:left w:val="nil"/>
              <w:bottom w:val="single" w:sz="4" w:space="0" w:color="auto"/>
            </w:tcBorders>
          </w:tcPr>
          <w:p w14:paraId="7D6F1814"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lastRenderedPageBreak/>
              <w:t xml:space="preserve">Same-Day Surgery (SDS) database </w:t>
            </w:r>
          </w:p>
        </w:tc>
        <w:tc>
          <w:tcPr>
            <w:tcW w:w="3334" w:type="pct"/>
            <w:tcBorders>
              <w:top w:val="single" w:sz="4" w:space="0" w:color="auto"/>
              <w:bottom w:val="single" w:sz="4" w:space="0" w:color="auto"/>
              <w:right w:val="nil"/>
            </w:tcBorders>
          </w:tcPr>
          <w:p w14:paraId="29FB9F7E"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The SDS is compiled by the Canadian Institute for Health Information (CIHI) and contains administrative, clinical (diagnoses and procedures), demographic, and administrative information for all patient visits made to day surgery institutions in Ontario. </w:t>
            </w:r>
          </w:p>
          <w:p w14:paraId="352271BA"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Prior to April 1, 2002, diagnoses (up to 16 on a given SDS record) were captured using the ICD-9 coding system and procedures (up to 10 on a given SDS record) were captured using the CCP coding system. Since April 1, 2002, diagnoses (up to 25 on a given SDS record) are captured using the ICD-10-CA coding system and interventions (up to 16 on a given SDS record) are captured using the CCI coding system. </w:t>
            </w:r>
          </w:p>
        </w:tc>
      </w:tr>
      <w:tr w:rsidR="005850D4" w:rsidRPr="005850D4" w14:paraId="487E2468" w14:textId="77777777" w:rsidTr="00EA3EED">
        <w:trPr>
          <w:trHeight w:val="60"/>
        </w:trPr>
        <w:tc>
          <w:tcPr>
            <w:tcW w:w="1666" w:type="pct"/>
            <w:tcBorders>
              <w:top w:val="single" w:sz="4" w:space="0" w:color="auto"/>
              <w:left w:val="nil"/>
              <w:bottom w:val="single" w:sz="4" w:space="0" w:color="auto"/>
            </w:tcBorders>
          </w:tcPr>
          <w:p w14:paraId="7637B9F2"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b/>
                <w:i/>
                <w:color w:val="000000"/>
              </w:rPr>
            </w:pPr>
            <w:r w:rsidRPr="005850D4">
              <w:rPr>
                <w:rFonts w:ascii="Times New Roman" w:eastAsia="Calibri" w:hAnsi="Times New Roman" w:cs="Times New Roman"/>
                <w:b/>
                <w:i/>
                <w:color w:val="000000"/>
              </w:rPr>
              <w:t>ICES-derived cohorts</w:t>
            </w:r>
          </w:p>
        </w:tc>
        <w:tc>
          <w:tcPr>
            <w:tcW w:w="3334" w:type="pct"/>
            <w:tcBorders>
              <w:top w:val="single" w:sz="4" w:space="0" w:color="auto"/>
              <w:bottom w:val="single" w:sz="4" w:space="0" w:color="auto"/>
              <w:right w:val="nil"/>
            </w:tcBorders>
          </w:tcPr>
          <w:p w14:paraId="52E579CA"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p>
        </w:tc>
      </w:tr>
      <w:tr w:rsidR="005850D4" w:rsidRPr="005850D4" w14:paraId="1E0D848B" w14:textId="77777777" w:rsidTr="00EA3EED">
        <w:trPr>
          <w:trHeight w:val="60"/>
        </w:trPr>
        <w:tc>
          <w:tcPr>
            <w:tcW w:w="1666" w:type="pct"/>
            <w:tcBorders>
              <w:top w:val="single" w:sz="4" w:space="0" w:color="auto"/>
              <w:left w:val="nil"/>
              <w:bottom w:val="single" w:sz="4" w:space="0" w:color="auto"/>
            </w:tcBorders>
          </w:tcPr>
          <w:p w14:paraId="19B6CA8B"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Ontario Diabetes Database (ODD) </w:t>
            </w:r>
          </w:p>
        </w:tc>
        <w:tc>
          <w:tcPr>
            <w:tcW w:w="3334" w:type="pct"/>
            <w:tcBorders>
              <w:top w:val="single" w:sz="4" w:space="0" w:color="auto"/>
              <w:bottom w:val="single" w:sz="4" w:space="0" w:color="auto"/>
              <w:right w:val="nil"/>
            </w:tcBorders>
          </w:tcPr>
          <w:p w14:paraId="14850732"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The ODD is created using algorithms applied to inpatient hospitalization (DAD) records, same day surgery (SDS) records, and physician billing claims (OHIP) data to determine the diagnosis date for incident cases of diabetes in Ontario. </w:t>
            </w:r>
          </w:p>
          <w:p w14:paraId="4E71D4B1" w14:textId="728AAA75"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For adults aged 19 years and greater, the definition for diabetes is 2 physician billing claims with a diagnosis for diabetes (OHIP diagnosis code: 250) or 1 inpatient hospitalization or same day surgery record with a diagnosis for diabetes (ICD-9 diagnosis code: 250; ICD-10 diagnosis codes: E10, E11, E13, E14; in any diagnostic code space) within a 2 year period. Physician claims and hospitalizations with a diagnosis of diabetes occurring within 120 prior to and 180 days after a gestational hospitalization record were excluded. When using primary care chart abstraction as the reference standard, this definition has been shown to have the following performance characteristics: Sensitivity (86.1%), Specificity (97.1%), Positive Predictive Value (79.8%), and Negative Predictive Value (98.1%).</w:t>
            </w:r>
            <w:r w:rsidR="00F60702">
              <w:rPr>
                <w:rFonts w:ascii="Times New Roman" w:eastAsia="Calibri" w:hAnsi="Times New Roman" w:cs="Times New Roman"/>
                <w:noProof/>
                <w:color w:val="000000"/>
                <w:vertAlign w:val="superscript"/>
              </w:rPr>
              <w:fldChar w:fldCharType="begin" w:fldLock="1"/>
            </w:r>
            <w:r w:rsidR="000B09E7">
              <w:rPr>
                <w:rFonts w:ascii="Times New Roman" w:eastAsia="Calibri" w:hAnsi="Times New Roman" w:cs="Times New Roman"/>
                <w:noProof/>
                <w:color w:val="000000"/>
                <w:vertAlign w:val="superscript"/>
              </w:rPr>
              <w:instrText>ADDIN CSL_CITATION {"citationItems":[{"id":"ITEM-1","itemData":{"DOI":"10.2337/diacare.25.3.512","ISBN":"0149-5992 (Print)","ISSN":"01495992","PMID":"11874939","abstract":"OBJECTIVE Accurate information about the magnitude and distribution of diabetes can inform policy and support health care evaluation. We linked physician service claims (PSCs) and hospital discharge abstracts (HDAs) to determine diabetes prevalence and incidence. RESEARCH DESIGN AND METHODS A retrospective cohort was constructed using administrative data from the national HDA database, PSCs for Ontario (population 11 million), and registries carrying demographics and vital statistics. All HDAs and PSCs bearing a diagnosis of diabetes (ICD9-CM 250) were selected for 1991-1999. Two previously reported algorithms for identification of diabetes were applied as follows: \"1-claim\" (any HDA or PSC showing diabetes) and \"2-claim\" (one HDA or two PSCs within 2 years showing diabetes). Incident cases were defined as individuals who met the criteria for diabetes for the first time after at least 2 years of observation. For validation, diagnostic data abstracted from primary care charts (n=3,317) of 57 randomly selected physicians were linked to the administrative data cohort, and sensitivity and specificity were calculated. RESULTS -In 1998, 696,938 individuals met the 1-claim criteria and 528,280 met the 2-claim criteria. Sensitivity for diabetes was 90 and 86%; for the 1- and 2-claim algorithms, specificity was 92 and 97%, respectively, and positive predictive values were 61 and 80%, respectively. Using the 2-claim algorithm, the all-age prevalence increased from 3.2% in 1993 to 4.5% in 1998 (6.1% in adults). Incidence remained stable. CONCLUSIONS Administrative data can be used to establish population-based incidence and prevalence of diabetes. Diabetes prevalence is increasing in Ontario and is considerably higher than self-reported rates.","author":[{"dropping-particle":"","family":"Hux","given":"Janet E.","non-dropping-particle":"","parse-names":false,"suffix":""},{"dropping-particle":"","family":"Ivis","given":"Frank","non-dropping-particle":"","parse-names":false,"suffix":""},{"dropping-particle":"","family":"Flintoft","given":"Virginia","non-dropping-particle":"","parse-names":false,"suffix":""},{"dropping-particle":"","family":"Bica","given":"Adina","non-dropping-particle":"","parse-names":false,"suffix":""}],"container-title":"Diabetes Care","id":"ITEM-1","issue":"3","issued":{"date-parts":[["2002"]]},"page":"512-516","title":"Diabetes in Ontario: determination of prevalence and incidence using a validated administrative data algorithm","type":"article-journal","volume":"25"},"uris":["http://www.mendeley.com/documents/?uuid=3bd36768-94f1-4762-b330-57fbbd6cf7a8"]}],"mendeley":{"formattedCitation":"(4)","plainTextFormattedCitation":"(4)","previouslyFormattedCitation":"(4)"},"properties":{"noteIndex":0},"schema":"https://github.com/citation-style-language/schema/raw/master/csl-citation.json"}</w:instrText>
            </w:r>
            <w:r w:rsidR="00F60702">
              <w:rPr>
                <w:rFonts w:ascii="Times New Roman" w:eastAsia="Calibri" w:hAnsi="Times New Roman" w:cs="Times New Roman"/>
                <w:noProof/>
                <w:color w:val="000000"/>
                <w:vertAlign w:val="superscript"/>
              </w:rPr>
              <w:fldChar w:fldCharType="separate"/>
            </w:r>
            <w:r w:rsidR="002D3D31" w:rsidRPr="002D3D31">
              <w:rPr>
                <w:rFonts w:ascii="Times New Roman" w:eastAsia="Calibri" w:hAnsi="Times New Roman" w:cs="Times New Roman"/>
                <w:noProof/>
                <w:color w:val="000000"/>
              </w:rPr>
              <w:t>(4)</w:t>
            </w:r>
            <w:r w:rsidR="00F60702">
              <w:rPr>
                <w:rFonts w:ascii="Times New Roman" w:eastAsia="Calibri" w:hAnsi="Times New Roman" w:cs="Times New Roman"/>
                <w:noProof/>
                <w:color w:val="000000"/>
                <w:vertAlign w:val="superscript"/>
              </w:rPr>
              <w:fldChar w:fldCharType="end"/>
            </w:r>
          </w:p>
          <w:p w14:paraId="7FF967BC" w14:textId="7BC42725"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For individuals aged 18 years or less, the definition for diabetes is 4 physician billing claims with a diagnosis of diabetes (OHIP diagnosis code: 250) within a 2 year period. Physician claims during the newborn hospitalization episode were excluded. When using primary care chart abstraction as the reference standard, this definition has been shown to have the following performance characteristics: Sensitivity (82.8%), Specificity (98.9%), Positive Predictive Value (99.4%), and Negative Predictive Value (71.2%).</w:t>
            </w:r>
            <w:r w:rsidR="00F60702">
              <w:rPr>
                <w:rFonts w:ascii="Times New Roman" w:eastAsia="Calibri" w:hAnsi="Times New Roman" w:cs="Times New Roman"/>
                <w:noProof/>
                <w:color w:val="000000"/>
                <w:vertAlign w:val="superscript"/>
              </w:rPr>
              <w:fldChar w:fldCharType="begin" w:fldLock="1"/>
            </w:r>
            <w:r w:rsidR="000B09E7">
              <w:rPr>
                <w:rFonts w:ascii="Times New Roman" w:eastAsia="Calibri" w:hAnsi="Times New Roman" w:cs="Times New Roman"/>
                <w:noProof/>
                <w:color w:val="000000"/>
                <w:vertAlign w:val="superscript"/>
              </w:rPr>
              <w:instrText>ADDIN CSL_CITATION {"citationItems":[{"id":"ITEM-1","itemData":{"DOI":"10.1111/j.1399-5448.2009.00539.x","ISBN":"1399-5448 (Electronic)\\r1399-543X (Linking)","ISSN":"1399543X","PMID":"19500278","abstract":"OBJECTIVE: To validate a case definition of pediatric diabetes using administrative health data and describe trends in incidence and prevalence over time in Ontario, Canada. METHODS: We sampled hospital records of 700 children from 1994 to 2003 with a prior history of at least one outpatient or hospital record for diabetes mellitus and 300 randomly selected children with no diabetes records. We defined patients as having diabetes based on diagnoses and drug utilization from chart abstraction and compared sensitivity and specificity of a number of combinations of overall health care use using administrative data to develop a highly specific definition. We used Poisson regression to test changes in incidence over time (1994-2003). RESULTS: Use of four physician claims and no hospital records over a 2-yr period yielded the most specific definition (83% sensitivity, 99% specificity). Using this definition overall age/sex standardized incidence per 100,000 was 32.3 [95% confidence intervals (CI) 30.4, 34.4] and prevalence 241.5 per 100 000 (95% CI 236.2-249.9) in 2003/2004. Overall incidence differs by age, (peaking in 10-14 yr olds) but not significantly by sex. The overall incidence has increased on average by 3.1% per year since 1994 (95% CI 1.02-1.04), with no difference in the rate of increase by age. CONCLUSIONS: Population-based surveillance of diabetes in children is possible using administrative data. This will facilitate further study of trends in incidence but also in use of health services and outcomes. Further work to differentiate type 1 and 2 diabetes will be important.","author":[{"dropping-particle":"","family":"Guttmann","given":"Astrid","non-dropping-particle":"","parse-names":false,"suffix":""},{"dropping-particle":"","family":"Nakhla","given":"Meranda","non-dropping-particle":"","parse-names":false,"suffix":""},{"dropping-particle":"","family":"Henderson","given":"Melanie","non-dropping-particle":"","parse-names":false,"suffix":""},{"dropping-particle":"","family":"To","given":"Teresa","non-dropping-particle":"","parse-names":false,"suffix":""},{"dropping-particle":"","family":"Daneman","given":"Denis","non-dropping-particle":"","parse-names":false,"suffix":""},{"dropping-particle":"","family":"Cauch-Dudek","given":"Karen","non-dropping-particle":"","parse-names":false,"suffix":""},{"dropping-particle":"","family":"Wang","given":"Xuesong","non-dropping-particle":"","parse-names":false,"suffix":""},{"dropping-particle":"","family":"Lam","given":"Kelvin","non-dropping-particle":"","parse-names":false,"suffix":""},{"dropping-particle":"","family":"Hux","given":"Jan","non-dropping-particle":"","parse-names":false,"suffix":""}],"container-title":"Pediatric Diabetes","id":"ITEM-1","issue":"2","issued":{"date-parts":[["2010"]]},"page":"122-128","title":"Validation of a health administrative data algorithm for assessing the epidemiology of diabetes in Canadian children","type":"article-journal","volume":"11"},"uris":["http://www.mendeley.com/documents/?uuid=35f5f8a4-08ae-4c8a-8c93-d7cd8af25608"]}],"mendeley":{"formattedCitation":"(5)","plainTextFormattedCitation":"(5)","previouslyFormattedCitation":"(5)"},"properties":{"noteIndex":0},"schema":"https://github.com/citation-style-language/schema/raw/master/csl-citation.json"}</w:instrText>
            </w:r>
            <w:r w:rsidR="00F60702">
              <w:rPr>
                <w:rFonts w:ascii="Times New Roman" w:eastAsia="Calibri" w:hAnsi="Times New Roman" w:cs="Times New Roman"/>
                <w:noProof/>
                <w:color w:val="000000"/>
                <w:vertAlign w:val="superscript"/>
              </w:rPr>
              <w:fldChar w:fldCharType="separate"/>
            </w:r>
            <w:r w:rsidR="002D3D31" w:rsidRPr="002D3D31">
              <w:rPr>
                <w:rFonts w:ascii="Times New Roman" w:eastAsia="Calibri" w:hAnsi="Times New Roman" w:cs="Times New Roman"/>
                <w:noProof/>
                <w:color w:val="000000"/>
              </w:rPr>
              <w:t>(5)</w:t>
            </w:r>
            <w:r w:rsidR="00F60702">
              <w:rPr>
                <w:rFonts w:ascii="Times New Roman" w:eastAsia="Calibri" w:hAnsi="Times New Roman" w:cs="Times New Roman"/>
                <w:noProof/>
                <w:color w:val="000000"/>
                <w:vertAlign w:val="superscript"/>
              </w:rPr>
              <w:fldChar w:fldCharType="end"/>
            </w:r>
          </w:p>
        </w:tc>
      </w:tr>
      <w:tr w:rsidR="005850D4" w:rsidRPr="005850D4" w14:paraId="4B05463F" w14:textId="77777777" w:rsidTr="00EA3EED">
        <w:trPr>
          <w:trHeight w:val="60"/>
        </w:trPr>
        <w:tc>
          <w:tcPr>
            <w:tcW w:w="1666" w:type="pct"/>
            <w:tcBorders>
              <w:top w:val="single" w:sz="4" w:space="0" w:color="auto"/>
              <w:left w:val="nil"/>
              <w:bottom w:val="single" w:sz="4" w:space="0" w:color="auto"/>
            </w:tcBorders>
          </w:tcPr>
          <w:p w14:paraId="07A29C0B"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Ontario Hypertension Database </w:t>
            </w:r>
          </w:p>
        </w:tc>
        <w:tc>
          <w:tcPr>
            <w:tcW w:w="3334" w:type="pct"/>
            <w:tcBorders>
              <w:top w:val="single" w:sz="4" w:space="0" w:color="auto"/>
              <w:bottom w:val="single" w:sz="4" w:space="0" w:color="auto"/>
              <w:right w:val="nil"/>
            </w:tcBorders>
          </w:tcPr>
          <w:p w14:paraId="044919C8"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 xml:space="preserve">The Ontario Hypertension Database is created using a definition of ≥2 physician billing claims with a diagnosis of hypertension (OHIP diagnosis codes: 401-405) and/or ≥1 inpatient hospitalization or same day surgery record with a diagnosis of hypertension (ICD-9 diagnosis codes: 401-405; ICD-10 diagnosis codes: I10-I13, I15; in any diagnostic code space) in a two-year period applied to hospitalization (DAD), same day surgery (SDS), and physician billing claims (OHIP) data to determine the diagnosis date for incident cases of hypertension in </w:t>
            </w:r>
            <w:r w:rsidRPr="005850D4">
              <w:rPr>
                <w:rFonts w:ascii="Times New Roman" w:eastAsia="Calibri" w:hAnsi="Times New Roman" w:cs="Times New Roman"/>
                <w:color w:val="000000"/>
              </w:rPr>
              <w:lastRenderedPageBreak/>
              <w:t xml:space="preserve">Ontario. Physician claims and hospitalizations with a diagnosis of hypertension occurring within 120 prior to and 180 days after a gestational hospitalization record are excluded. </w:t>
            </w:r>
          </w:p>
          <w:p w14:paraId="036EC196" w14:textId="1679CB61"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r w:rsidRPr="005850D4">
              <w:rPr>
                <w:rFonts w:ascii="Times New Roman" w:eastAsia="Calibri" w:hAnsi="Times New Roman" w:cs="Times New Roman"/>
                <w:color w:val="000000"/>
              </w:rPr>
              <w:t>When using electronic medical record data abstraction as the reference standard, the above definition has been demonstrated to have the following performance characteristics: Sensitivity (72%), Specificity (95%), Positive Predictive Value (87%), and Negative Predictive Value (88%).</w:t>
            </w:r>
            <w:r w:rsidR="00F60702">
              <w:rPr>
                <w:rFonts w:ascii="Times New Roman" w:eastAsia="Calibri" w:hAnsi="Times New Roman" w:cs="Times New Roman"/>
                <w:noProof/>
                <w:color w:val="000000"/>
                <w:vertAlign w:val="superscript"/>
              </w:rPr>
              <w:fldChar w:fldCharType="begin" w:fldLock="1"/>
            </w:r>
            <w:r w:rsidR="000B09E7">
              <w:rPr>
                <w:rFonts w:ascii="Times New Roman" w:eastAsia="Calibri" w:hAnsi="Times New Roman" w:cs="Times New Roman"/>
                <w:noProof/>
                <w:color w:val="000000"/>
                <w:vertAlign w:val="superscript"/>
              </w:rPr>
              <w:instrText>ADDIN CSL_CITATION {"citationItems":[{"id":"ITEM-1","itemData":{"ISBN":"1911-2092 (Electronic)","ISSN":"1911-2092","PMID":"20101286","abstract":"BACKGROUND Traditionally, the determination of the occurrence of hypertension in patients has relied on costly and time-consuming survey methods that do not allow patients to be followed over time. OBJECTIVES To determine the accuracy of using administrative claims data to identify rates of hypertension in a large population living in a single-payer health care system. METHODS Various definitions for hypertension using administrative claims databases were compared with 2 other reference standards: (1) data obtained from a random sample of primary care physician offices throughout the province, and (2) self-reported survey data from a national census. RESULTS A case-definition algorithm employing 2 outpatient physician billing claims for hypertension over a 3-year period had a sensitivity of 73% (95% confidence interval [CI] 69%-77%), a specificity of 95% (CI 93%-96%), a positive predictive value of 87% (CI 84%-90%), and a negative predictive value of 88% (CI 86%-90%) for detecting hypertensive adults compared with physician-assigned diagnoses. Compared with self-reported survey data, the algorithm had a sensitivity of 64% (CI 63%-66%), a specificity of 94%(CI 93%-94%), a positive predictive value of 77% (76%-78%), and negative predictive value of 89% (CI 88%-89%). When this algorithm was applied to the entire province of Ontario, the age- and sex-standardized prevalence of hypertension in adults older than 35 years increased from 20% in 1994 to 29% in 2002. CONCLUSIONS It is possible to use administrative data to accurately identify from a population sample those patients who have been diagnosed with hypertension. Given that administrative data are already routinely collected, their use is likely to be substantially less expensive compared with serial cross-sectional or cohort studies for surveillance of hypertension occurrence and outcomes over time in a large population.","author":[{"dropping-particle":"","family":"Tu","given":"Karen","non-dropping-particle":"","parse-names":false,"suffix":""},{"dropping-particle":"","family":"Campbell","given":"Norman Rc","non-dropping-particle":"","parse-names":false,"suffix":""},{"dropping-particle":"","family":"Chen","given":"Zhong-Liang","non-dropping-particle":"","parse-names":false,"suffix":""},{"dropping-particle":"","family":"Cauch-Dudek","given":"Karen J","non-dropping-particle":"","parse-names":false,"suffix":""},{"dropping-particle":"","family":"McAlister","given":"Finlay A","non-dropping-particle":"","parse-names":false,"suffix":""}],"container-title":"Open Medicine","id":"ITEM-1","issue":"1","issued":{"date-parts":[["2007"]]},"page":"e18-26","title":"Accuracy of administrative databases in identifying patients with hypertension.","type":"article-journal","volume":"1"},"uris":["http://www.mendeley.com/documents/?uuid=db5c80f0-3fd9-4926-8b68-6f5955669744"]}],"mendeley":{"formattedCitation":"(6)","plainTextFormattedCitation":"(6)","previouslyFormattedCitation":"(6)"},"properties":{"noteIndex":0},"schema":"https://github.com/citation-style-language/schema/raw/master/csl-citation.json"}</w:instrText>
            </w:r>
            <w:r w:rsidR="00F60702">
              <w:rPr>
                <w:rFonts w:ascii="Times New Roman" w:eastAsia="Calibri" w:hAnsi="Times New Roman" w:cs="Times New Roman"/>
                <w:noProof/>
                <w:color w:val="000000"/>
                <w:vertAlign w:val="superscript"/>
              </w:rPr>
              <w:fldChar w:fldCharType="separate"/>
            </w:r>
            <w:r w:rsidR="002D3D31" w:rsidRPr="002D3D31">
              <w:rPr>
                <w:rFonts w:ascii="Times New Roman" w:eastAsia="Calibri" w:hAnsi="Times New Roman" w:cs="Times New Roman"/>
                <w:noProof/>
                <w:color w:val="000000"/>
              </w:rPr>
              <w:t>(6)</w:t>
            </w:r>
            <w:r w:rsidR="00F60702">
              <w:rPr>
                <w:rFonts w:ascii="Times New Roman" w:eastAsia="Calibri" w:hAnsi="Times New Roman" w:cs="Times New Roman"/>
                <w:noProof/>
                <w:color w:val="000000"/>
                <w:vertAlign w:val="superscript"/>
              </w:rPr>
              <w:fldChar w:fldCharType="end"/>
            </w:r>
          </w:p>
        </w:tc>
      </w:tr>
      <w:tr w:rsidR="005850D4" w:rsidRPr="005850D4" w14:paraId="0A79B5AC" w14:textId="77777777" w:rsidTr="00EA3EED">
        <w:trPr>
          <w:trHeight w:val="60"/>
        </w:trPr>
        <w:tc>
          <w:tcPr>
            <w:tcW w:w="1666" w:type="pct"/>
            <w:tcBorders>
              <w:top w:val="single" w:sz="4" w:space="0" w:color="auto"/>
              <w:left w:val="nil"/>
              <w:bottom w:val="single" w:sz="4" w:space="0" w:color="auto"/>
            </w:tcBorders>
          </w:tcPr>
          <w:p w14:paraId="2464C5EA"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b/>
                <w:i/>
                <w:color w:val="000000"/>
              </w:rPr>
            </w:pPr>
            <w:r w:rsidRPr="005850D4">
              <w:rPr>
                <w:rFonts w:ascii="Times New Roman" w:eastAsia="Calibri" w:hAnsi="Times New Roman" w:cs="Times New Roman"/>
                <w:b/>
                <w:i/>
                <w:color w:val="000000"/>
              </w:rPr>
              <w:lastRenderedPageBreak/>
              <w:t>Acquired cohorts and registries</w:t>
            </w:r>
          </w:p>
        </w:tc>
        <w:tc>
          <w:tcPr>
            <w:tcW w:w="3334" w:type="pct"/>
            <w:tcBorders>
              <w:top w:val="single" w:sz="4" w:space="0" w:color="auto"/>
              <w:bottom w:val="single" w:sz="4" w:space="0" w:color="auto"/>
              <w:right w:val="nil"/>
            </w:tcBorders>
          </w:tcPr>
          <w:p w14:paraId="4909727B" w14:textId="77777777" w:rsidR="005850D4" w:rsidRPr="005850D4" w:rsidRDefault="005850D4" w:rsidP="005850D4">
            <w:pPr>
              <w:autoSpaceDE w:val="0"/>
              <w:autoSpaceDN w:val="0"/>
              <w:adjustRightInd w:val="0"/>
              <w:spacing w:after="120" w:line="240" w:lineRule="auto"/>
              <w:rPr>
                <w:rFonts w:ascii="Times New Roman" w:eastAsia="Calibri" w:hAnsi="Times New Roman" w:cs="Times New Roman"/>
                <w:color w:val="000000"/>
              </w:rPr>
            </w:pPr>
          </w:p>
        </w:tc>
      </w:tr>
      <w:tr w:rsidR="005850D4" w:rsidRPr="005850D4" w14:paraId="5EA92D77" w14:textId="77777777" w:rsidTr="00EA3EED">
        <w:trPr>
          <w:trHeight w:val="557"/>
        </w:trPr>
        <w:tc>
          <w:tcPr>
            <w:tcW w:w="1666" w:type="pct"/>
            <w:tcBorders>
              <w:top w:val="single" w:sz="4" w:space="0" w:color="auto"/>
              <w:bottom w:val="single" w:sz="4" w:space="0" w:color="auto"/>
            </w:tcBorders>
          </w:tcPr>
          <w:p w14:paraId="7A3B4AEB" w14:textId="77777777" w:rsidR="005850D4" w:rsidRPr="005850D4" w:rsidRDefault="005850D4" w:rsidP="005850D4">
            <w:pPr>
              <w:autoSpaceDE w:val="0"/>
              <w:autoSpaceDN w:val="0"/>
              <w:adjustRightInd w:val="0"/>
              <w:spacing w:after="120" w:line="240" w:lineRule="auto"/>
              <w:rPr>
                <w:rFonts w:ascii="Times New Roman" w:eastAsia="Times New Roman" w:hAnsi="Times New Roman" w:cs="Times New Roman"/>
                <w:color w:val="000000"/>
              </w:rPr>
            </w:pPr>
            <w:r w:rsidRPr="005850D4">
              <w:rPr>
                <w:rFonts w:ascii="Times New Roman" w:eastAsia="Times New Roman" w:hAnsi="Times New Roman" w:cs="Times New Roman"/>
                <w:color w:val="000000"/>
              </w:rPr>
              <w:t xml:space="preserve">Ontario Cancer Registry (OCR) </w:t>
            </w:r>
          </w:p>
        </w:tc>
        <w:tc>
          <w:tcPr>
            <w:tcW w:w="3334" w:type="pct"/>
            <w:tcBorders>
              <w:top w:val="single" w:sz="4" w:space="0" w:color="auto"/>
              <w:bottom w:val="single" w:sz="4" w:space="0" w:color="auto"/>
            </w:tcBorders>
          </w:tcPr>
          <w:p w14:paraId="4FB6057E" w14:textId="77777777" w:rsidR="005850D4" w:rsidRPr="005850D4" w:rsidRDefault="005850D4" w:rsidP="005850D4">
            <w:pPr>
              <w:autoSpaceDE w:val="0"/>
              <w:autoSpaceDN w:val="0"/>
              <w:adjustRightInd w:val="0"/>
              <w:spacing w:after="120" w:line="240" w:lineRule="auto"/>
              <w:rPr>
                <w:rFonts w:ascii="Times New Roman" w:eastAsia="Times New Roman" w:hAnsi="Times New Roman" w:cs="Times New Roman"/>
                <w:color w:val="000000"/>
              </w:rPr>
            </w:pPr>
            <w:r w:rsidRPr="005850D4">
              <w:rPr>
                <w:rFonts w:ascii="Times New Roman" w:eastAsia="Times New Roman" w:hAnsi="Times New Roman" w:cs="Times New Roman"/>
                <w:color w:val="000000"/>
              </w:rPr>
              <w:t xml:space="preserve">The OCR is a computerized database of information on all Ontario residents who have been newly diagnosed with cancer since 1964. All new cases of cancer, expect non-melanoma skin cancer, are registered in the information system which is managed and maintained by Cancer Care Ontario (CCO). Data from multiple sources, including DAD and SDS records from CIHI which include a diagnosis of cancer, paper reports from pathology departments with any mention of cancer, electronic reports from the eight Ontario Regional Cancer Centers and from the Princess Margaret Hospital (the specialized institutions treated cancer patients in Ontario), and electronic reports of all deaths of Ontario residents from the Office of the Registrar General of Ontario based on Ontario Provincial death certificates with cancer as the underlying cause of death are linked to compile incident cases of cancer in Ontario. </w:t>
            </w:r>
          </w:p>
          <w:p w14:paraId="14FD90D0" w14:textId="44BCE188" w:rsidR="005850D4" w:rsidRPr="005850D4" w:rsidRDefault="005850D4" w:rsidP="005850D4">
            <w:pPr>
              <w:autoSpaceDE w:val="0"/>
              <w:autoSpaceDN w:val="0"/>
              <w:adjustRightInd w:val="0"/>
              <w:spacing w:after="120" w:line="240" w:lineRule="auto"/>
              <w:rPr>
                <w:rFonts w:ascii="Times New Roman" w:eastAsia="Times New Roman" w:hAnsi="Times New Roman" w:cs="Times New Roman"/>
                <w:color w:val="000000"/>
              </w:rPr>
            </w:pPr>
            <w:r w:rsidRPr="005850D4">
              <w:rPr>
                <w:rFonts w:ascii="Times New Roman" w:eastAsia="Times New Roman" w:hAnsi="Times New Roman" w:cs="Times New Roman"/>
                <w:color w:val="000000"/>
              </w:rPr>
              <w:t>Approximately 95% of all diagnosed cancer cases in Ontario are captured by the OCR.</w:t>
            </w:r>
            <w:r w:rsidRPr="005850D4">
              <w:rPr>
                <w:rFonts w:ascii="Times New Roman" w:eastAsia="Times New Roman" w:hAnsi="Times New Roman" w:cs="Times New Roman"/>
                <w:noProof/>
                <w:color w:val="000000"/>
                <w:vertAlign w:val="superscript"/>
              </w:rPr>
              <w:t>13</w:t>
            </w:r>
            <w:r w:rsidRPr="005850D4">
              <w:rPr>
                <w:rFonts w:ascii="Times New Roman" w:eastAsia="Times New Roman" w:hAnsi="Times New Roman" w:cs="Times New Roman"/>
                <w:color w:val="000000"/>
              </w:rPr>
              <w:t xml:space="preserve"> When using a clinical registry of head and neck tumours from a provincial regional cancer centre as the reference standard, there was excellent agreement with the OCR for tumour site (81%) and diagnosis date within 1 month (91.5%).</w:t>
            </w:r>
            <w:r w:rsidR="00F60702">
              <w:rPr>
                <w:rFonts w:ascii="Times New Roman" w:eastAsia="Times New Roman" w:hAnsi="Times New Roman" w:cs="Times New Roman"/>
                <w:noProof/>
                <w:color w:val="000000"/>
                <w:vertAlign w:val="superscript"/>
              </w:rPr>
              <w:fldChar w:fldCharType="begin" w:fldLock="1"/>
            </w:r>
            <w:r w:rsidR="000B09E7">
              <w:rPr>
                <w:rFonts w:ascii="Times New Roman" w:eastAsia="Times New Roman" w:hAnsi="Times New Roman" w:cs="Times New Roman"/>
                <w:noProof/>
                <w:color w:val="000000"/>
                <w:vertAlign w:val="superscript"/>
              </w:rPr>
              <w:instrText>ADDIN CSL_CITATION {"citationItems":[{"id":"ITEM-1","itemData":{"DOI":"10.1016/j.jclinepi.2005.05.001","ISSN":"08954356","abstract":"Background and Objectives: The Ontario Cancer Registry (OCR) is a population-based tumor registry created to provide data for epidemiologic research and for cancer surveillance. Recently it has been used for health services research. The objective of this project was to assess the quality of the OCR data that is used in survival analysis. Methods and Design: Clinical information for 898 patients with squamous carcinoma of the head and neck including index tumor site, date of diagnosis, vital status, date of death, and cause of death from a prospective database at the Kingston Regional Cancer Center is compared to the same data elements in the OCR for the same patients. Results: There is no statistically significant difference in disease-specific survival between the information from the two databases (log rank P = .89). The OCR captured and correctly assigned index tumor site for 81.4% (detection rate). The site assignment was accurate 90.9% of the time (confirmation rate), there was agreement on vital status (dead vs. alive) for all but one patient, and there was excellent agreement on date of death. However, cause of death (cancer vs. noncancer) based on death certificates had a 31% error rate. Conclusion: Researchers can be confident in the survival analysis generated from data in this registry, but need to be aware of potential sources of error. © 2006 Elsevier Inc. All rights reserved.","author":[{"dropping-particle":"","family":"Hall","given":"Stephen","non-dropping-particle":"","parse-names":false,"suffix":""},{"dropping-particle":"","family":"Schulze","given":"Karleen","non-dropping-particle":"","parse-names":false,"suffix":""},{"dropping-particle":"","family":"Groome","given":"Patti","non-dropping-particle":"","parse-names":false,"suffix":""},{"dropping-particle":"","family":"Mackillop","given":"William","non-dropping-particle":"","parse-names":false,"suffix":""},{"dropping-particle":"","family":"Holowaty","given":"Eric","non-dropping-particle":"","parse-names":false,"suffix":""}],"container-title":"Journal of Clinical Epidemiology","id":"ITEM-1","issue":"1","issued":{"date-parts":[["2006"]]},"page":"67-76","title":"Using cancer registry data for survival studies: the example of the Ontario Cancer Registry","type":"article-journal","volume":"59"},"uris":["http://www.mendeley.com/documents/?uuid=d764072d-143b-487a-b2a7-60324d27d0bf"]}],"mendeley":{"formattedCitation":"(7)","plainTextFormattedCitation":"(7)","previouslyFormattedCitation":"(7)"},"properties":{"noteIndex":0},"schema":"https://github.com/citation-style-language/schema/raw/master/csl-citation.json"}</w:instrText>
            </w:r>
            <w:r w:rsidR="00F60702">
              <w:rPr>
                <w:rFonts w:ascii="Times New Roman" w:eastAsia="Times New Roman" w:hAnsi="Times New Roman" w:cs="Times New Roman"/>
                <w:noProof/>
                <w:color w:val="000000"/>
                <w:vertAlign w:val="superscript"/>
              </w:rPr>
              <w:fldChar w:fldCharType="separate"/>
            </w:r>
            <w:r w:rsidR="002D3D31" w:rsidRPr="002D3D31">
              <w:rPr>
                <w:rFonts w:ascii="Times New Roman" w:eastAsia="Times New Roman" w:hAnsi="Times New Roman" w:cs="Times New Roman"/>
                <w:noProof/>
                <w:color w:val="000000"/>
              </w:rPr>
              <w:t>(7)</w:t>
            </w:r>
            <w:r w:rsidR="00F60702">
              <w:rPr>
                <w:rFonts w:ascii="Times New Roman" w:eastAsia="Times New Roman" w:hAnsi="Times New Roman" w:cs="Times New Roman"/>
                <w:noProof/>
                <w:color w:val="000000"/>
                <w:vertAlign w:val="superscript"/>
              </w:rPr>
              <w:fldChar w:fldCharType="end"/>
            </w:r>
          </w:p>
        </w:tc>
      </w:tr>
      <w:tr w:rsidR="00BE3643" w:rsidRPr="005850D4" w14:paraId="4E56D144" w14:textId="77777777" w:rsidTr="00BE3643">
        <w:trPr>
          <w:trHeight w:val="424"/>
        </w:trPr>
        <w:tc>
          <w:tcPr>
            <w:tcW w:w="1666" w:type="pct"/>
            <w:tcBorders>
              <w:top w:val="single" w:sz="4" w:space="0" w:color="auto"/>
              <w:bottom w:val="single" w:sz="4" w:space="0" w:color="auto"/>
            </w:tcBorders>
          </w:tcPr>
          <w:p w14:paraId="120CE56C" w14:textId="72C7A9A8" w:rsidR="00BE3643" w:rsidRPr="00BE3643" w:rsidRDefault="00BE3643" w:rsidP="005850D4">
            <w:pPr>
              <w:autoSpaceDE w:val="0"/>
              <w:autoSpaceDN w:val="0"/>
              <w:adjustRightInd w:val="0"/>
              <w:spacing w:after="120" w:line="240" w:lineRule="auto"/>
              <w:rPr>
                <w:rFonts w:ascii="Times New Roman" w:eastAsia="Times New Roman" w:hAnsi="Times New Roman" w:cs="Times New Roman"/>
                <w:b/>
                <w:bCs/>
                <w:i/>
                <w:iCs/>
                <w:color w:val="000000"/>
              </w:rPr>
            </w:pPr>
            <w:r w:rsidRPr="00BE3643">
              <w:rPr>
                <w:rFonts w:ascii="Times New Roman" w:eastAsia="Times New Roman" w:hAnsi="Times New Roman" w:cs="Times New Roman"/>
                <w:b/>
                <w:bCs/>
                <w:i/>
                <w:iCs/>
                <w:color w:val="000000"/>
              </w:rPr>
              <w:t>Population and demographics</w:t>
            </w:r>
          </w:p>
        </w:tc>
        <w:tc>
          <w:tcPr>
            <w:tcW w:w="3334" w:type="pct"/>
            <w:tcBorders>
              <w:top w:val="single" w:sz="4" w:space="0" w:color="auto"/>
              <w:bottom w:val="single" w:sz="4" w:space="0" w:color="auto"/>
            </w:tcBorders>
          </w:tcPr>
          <w:p w14:paraId="13CA2E17" w14:textId="77777777" w:rsidR="00BE3643" w:rsidRPr="005850D4" w:rsidRDefault="00BE3643" w:rsidP="005850D4">
            <w:pPr>
              <w:autoSpaceDE w:val="0"/>
              <w:autoSpaceDN w:val="0"/>
              <w:adjustRightInd w:val="0"/>
              <w:spacing w:after="120" w:line="240" w:lineRule="auto"/>
              <w:rPr>
                <w:rFonts w:ascii="Times New Roman" w:eastAsia="Times New Roman" w:hAnsi="Times New Roman" w:cs="Times New Roman"/>
                <w:color w:val="000000"/>
              </w:rPr>
            </w:pPr>
          </w:p>
        </w:tc>
      </w:tr>
      <w:tr w:rsidR="00BE3643" w:rsidRPr="005850D4" w14:paraId="4CA90B63" w14:textId="77777777" w:rsidTr="00EA3EED">
        <w:trPr>
          <w:trHeight w:val="820"/>
        </w:trPr>
        <w:tc>
          <w:tcPr>
            <w:tcW w:w="1666" w:type="pct"/>
            <w:tcBorders>
              <w:top w:val="single" w:sz="4" w:space="0" w:color="auto"/>
              <w:bottom w:val="single" w:sz="4" w:space="0" w:color="auto"/>
            </w:tcBorders>
          </w:tcPr>
          <w:p w14:paraId="280B8E37" w14:textId="77777777" w:rsidR="00BE3643" w:rsidRPr="00BE3643" w:rsidRDefault="00BE3643" w:rsidP="00BE3643">
            <w:pPr>
              <w:autoSpaceDE w:val="0"/>
              <w:autoSpaceDN w:val="0"/>
              <w:adjustRightInd w:val="0"/>
              <w:spacing w:after="120" w:line="240" w:lineRule="auto"/>
              <w:rPr>
                <w:rFonts w:ascii="Times New Roman" w:eastAsia="Times New Roman" w:hAnsi="Times New Roman" w:cs="Times New Roman"/>
                <w:color w:val="000000"/>
              </w:rPr>
            </w:pPr>
            <w:r w:rsidRPr="00BE3643">
              <w:rPr>
                <w:rFonts w:ascii="Times New Roman" w:eastAsia="Times New Roman" w:hAnsi="Times New Roman" w:cs="Times New Roman"/>
                <w:color w:val="000000"/>
              </w:rPr>
              <w:t>Immigration, Refugees, and Citizenship Canada’s (IRCC) Permanent Resident Database</w:t>
            </w:r>
          </w:p>
          <w:p w14:paraId="1524C22C" w14:textId="030D0537" w:rsidR="00BE3643" w:rsidRPr="005850D4" w:rsidRDefault="00BE3643" w:rsidP="00BE3643">
            <w:pPr>
              <w:autoSpaceDE w:val="0"/>
              <w:autoSpaceDN w:val="0"/>
              <w:adjustRightInd w:val="0"/>
              <w:spacing w:after="120" w:line="240" w:lineRule="auto"/>
              <w:rPr>
                <w:rFonts w:ascii="Times New Roman" w:eastAsia="Times New Roman" w:hAnsi="Times New Roman" w:cs="Times New Roman"/>
                <w:color w:val="000000"/>
              </w:rPr>
            </w:pPr>
          </w:p>
        </w:tc>
        <w:tc>
          <w:tcPr>
            <w:tcW w:w="3334" w:type="pct"/>
            <w:tcBorders>
              <w:top w:val="single" w:sz="4" w:space="0" w:color="auto"/>
              <w:bottom w:val="single" w:sz="4" w:space="0" w:color="auto"/>
            </w:tcBorders>
          </w:tcPr>
          <w:p w14:paraId="3E39DB90" w14:textId="258DC5C1" w:rsidR="00BE3643" w:rsidRPr="005850D4" w:rsidRDefault="00BE3643" w:rsidP="005850D4">
            <w:pPr>
              <w:autoSpaceDE w:val="0"/>
              <w:autoSpaceDN w:val="0"/>
              <w:adjustRightInd w:val="0"/>
              <w:spacing w:after="120" w:line="240" w:lineRule="auto"/>
              <w:rPr>
                <w:rFonts w:ascii="Times New Roman" w:eastAsia="Times New Roman" w:hAnsi="Times New Roman" w:cs="Times New Roman"/>
                <w:color w:val="000000"/>
              </w:rPr>
            </w:pPr>
            <w:r w:rsidRPr="00BE3643">
              <w:rPr>
                <w:rFonts w:ascii="Times New Roman" w:eastAsia="Times New Roman" w:hAnsi="Times New Roman" w:cs="Times New Roman"/>
                <w:color w:val="000000"/>
              </w:rPr>
              <w:t>The Ontario portion of the IRCC Permanent Resident Database includes immigration application records for people who initially applied to land in Ontario since 1985. The dataset contains permanent residents’ demographic information such as country of citizenship, level of education, mother tongue, and landing date. New immigrants who are currently residing in Ontario but originally landed in another province are not captured in this dataset.</w:t>
            </w:r>
          </w:p>
        </w:tc>
      </w:tr>
      <w:tr w:rsidR="00BE3643" w:rsidRPr="005850D4" w14:paraId="03049575" w14:textId="77777777" w:rsidTr="00EA3EED">
        <w:trPr>
          <w:trHeight w:val="820"/>
        </w:trPr>
        <w:tc>
          <w:tcPr>
            <w:tcW w:w="1666" w:type="pct"/>
            <w:tcBorders>
              <w:top w:val="single" w:sz="4" w:space="0" w:color="auto"/>
              <w:bottom w:val="single" w:sz="4" w:space="0" w:color="auto"/>
            </w:tcBorders>
          </w:tcPr>
          <w:p w14:paraId="28DCB11B" w14:textId="7635A1AE" w:rsidR="00BE3643" w:rsidRPr="00BE3643" w:rsidRDefault="00BE3643" w:rsidP="00BE3643">
            <w:pPr>
              <w:autoSpaceDE w:val="0"/>
              <w:autoSpaceDN w:val="0"/>
              <w:adjustRightInd w:val="0"/>
              <w:spacing w:after="120" w:line="240" w:lineRule="auto"/>
              <w:rPr>
                <w:rFonts w:ascii="Times New Roman" w:eastAsia="Times New Roman" w:hAnsi="Times New Roman" w:cs="Times New Roman"/>
                <w:color w:val="000000"/>
              </w:rPr>
            </w:pPr>
            <w:r w:rsidRPr="005850D4">
              <w:rPr>
                <w:rFonts w:ascii="Times New Roman" w:eastAsia="Times New Roman" w:hAnsi="Times New Roman" w:cs="Times New Roman"/>
                <w:color w:val="000000"/>
              </w:rPr>
              <w:t xml:space="preserve">OHIP Registered Persons Database (RPDB) </w:t>
            </w:r>
          </w:p>
        </w:tc>
        <w:tc>
          <w:tcPr>
            <w:tcW w:w="3334" w:type="pct"/>
            <w:tcBorders>
              <w:top w:val="single" w:sz="4" w:space="0" w:color="auto"/>
              <w:bottom w:val="single" w:sz="4" w:space="0" w:color="auto"/>
            </w:tcBorders>
          </w:tcPr>
          <w:p w14:paraId="358323E3" w14:textId="028883E7" w:rsidR="00BE3643" w:rsidRPr="00BE3643" w:rsidRDefault="00BE3643" w:rsidP="00BE3643">
            <w:pPr>
              <w:autoSpaceDE w:val="0"/>
              <w:autoSpaceDN w:val="0"/>
              <w:adjustRightInd w:val="0"/>
              <w:spacing w:after="120" w:line="240" w:lineRule="auto"/>
              <w:rPr>
                <w:rFonts w:ascii="Times New Roman" w:eastAsia="Times New Roman" w:hAnsi="Times New Roman" w:cs="Times New Roman"/>
                <w:color w:val="000000"/>
              </w:rPr>
            </w:pPr>
            <w:r w:rsidRPr="005850D4">
              <w:rPr>
                <w:rFonts w:ascii="Times New Roman" w:eastAsia="Times New Roman" w:hAnsi="Times New Roman" w:cs="Times New Roman"/>
                <w:color w:val="000000"/>
              </w:rPr>
              <w:t>The OHIP RPDB provides basic demographic information (age, sex, location of residence, date of birth, and date of death for deceased individuals) for those issued an Ontario health insurance number. The RPDB also indicates the time periods for which an individual was eligible to receive publicly funded health insurance benefits and the best known postal code for each registrant on July 1st of each year.</w:t>
            </w:r>
          </w:p>
        </w:tc>
      </w:tr>
      <w:tr w:rsidR="00BE3643" w:rsidRPr="005850D4" w14:paraId="1E80F877" w14:textId="77777777" w:rsidTr="00EA3EED">
        <w:trPr>
          <w:trHeight w:val="820"/>
        </w:trPr>
        <w:tc>
          <w:tcPr>
            <w:tcW w:w="1666" w:type="pct"/>
            <w:tcBorders>
              <w:top w:val="single" w:sz="4" w:space="0" w:color="auto"/>
              <w:bottom w:val="single" w:sz="4" w:space="0" w:color="auto"/>
            </w:tcBorders>
          </w:tcPr>
          <w:p w14:paraId="37CBCD88" w14:textId="4A38F9C7" w:rsidR="00BE3643" w:rsidRPr="00BE3643" w:rsidRDefault="00BE3643" w:rsidP="00BE3643">
            <w:pPr>
              <w:autoSpaceDE w:val="0"/>
              <w:autoSpaceDN w:val="0"/>
              <w:adjustRightInd w:val="0"/>
              <w:spacing w:after="120" w:line="240" w:lineRule="auto"/>
              <w:rPr>
                <w:rFonts w:ascii="Times New Roman" w:eastAsia="Times New Roman" w:hAnsi="Times New Roman" w:cs="Times New Roman"/>
                <w:color w:val="000000"/>
              </w:rPr>
            </w:pPr>
            <w:r w:rsidRPr="005850D4">
              <w:rPr>
                <w:rFonts w:ascii="Times New Roman" w:eastAsia="Times New Roman" w:hAnsi="Times New Roman" w:cs="Times New Roman"/>
                <w:color w:val="000000"/>
              </w:rPr>
              <w:lastRenderedPageBreak/>
              <w:t>Ontario Marginalization Index (ON-Marg)</w:t>
            </w:r>
          </w:p>
        </w:tc>
        <w:tc>
          <w:tcPr>
            <w:tcW w:w="3334" w:type="pct"/>
            <w:tcBorders>
              <w:top w:val="single" w:sz="4" w:space="0" w:color="auto"/>
              <w:bottom w:val="single" w:sz="4" w:space="0" w:color="auto"/>
            </w:tcBorders>
          </w:tcPr>
          <w:p w14:paraId="06D31E5E" w14:textId="279118BD" w:rsidR="00BE3643" w:rsidRPr="005850D4" w:rsidRDefault="00BE3643" w:rsidP="00BE3643">
            <w:pPr>
              <w:autoSpaceDE w:val="0"/>
              <w:autoSpaceDN w:val="0"/>
              <w:adjustRightInd w:val="0"/>
              <w:spacing w:after="120" w:line="240" w:lineRule="auto"/>
              <w:rPr>
                <w:rFonts w:ascii="Times New Roman" w:eastAsia="Times New Roman" w:hAnsi="Times New Roman" w:cs="Times New Roman"/>
                <w:color w:val="000000"/>
              </w:rPr>
            </w:pPr>
            <w:r w:rsidRPr="005850D4">
              <w:rPr>
                <w:rFonts w:ascii="Times New Roman" w:eastAsia="Times New Roman" w:hAnsi="Times New Roman" w:cs="Times New Roman"/>
                <w:color w:val="000000"/>
              </w:rPr>
              <w:t>The ON-Marg was developed using census and geography data to quantify differences in population marginalization between regions within Ontario.</w:t>
            </w:r>
            <w:r>
              <w:rPr>
                <w:rFonts w:ascii="Times New Roman" w:eastAsia="Times New Roman" w:hAnsi="Times New Roman" w:cs="Times New Roman"/>
                <w:noProof/>
                <w:color w:val="000000"/>
                <w:vertAlign w:val="superscript"/>
              </w:rPr>
              <w:fldChar w:fldCharType="begin" w:fldLock="1"/>
            </w:r>
            <w:r w:rsidR="000B09E7">
              <w:rPr>
                <w:rFonts w:ascii="Times New Roman" w:eastAsia="Times New Roman" w:hAnsi="Times New Roman" w:cs="Times New Roman"/>
                <w:noProof/>
                <w:color w:val="000000"/>
                <w:vertAlign w:val="superscript"/>
              </w:rPr>
              <w:instrText>ADDIN CSL_CITATION {"citationItems":[{"id":"ITEM-1","itemData":{"DOI":"10.1017/cbo9780511841538.002","author":[{"dropping-particle":"","family":"Matheson","given":"Flora I","non-dropping-particle":"","parse-names":false,"suffix":""},{"dropping-particle":"","family":"Dunn","given":"James R","non-dropping-particle":"","parse-names":false,"suffix":""},{"dropping-particle":"","family":"Smith","given":"Katherine L.W.","non-dropping-particle":"","parse-names":false,"suffix":""},{"dropping-particle":"","family":"Moineddin","given":"Rahim","non-dropping-particle":"","parse-names":false,"suffix":""},{"dropping-particle":"","family":"Glazier","given":"Richard H","non-dropping-particle":"","parse-names":false,"suffix":""}],"id":"ITEM-1","issued":{"date-parts":[["2012"]]},"publisher-place":"Toronto, Ontario","title":"Ontario Marginalization Index: user guide version 1.0","type":"report"},"uris":["http://www.mendeley.com/documents/?uuid=185abbe7-649d-4da4-b0bf-114c91492a1a"]},{"id":"ITEM-2","itemData":{"author":[{"dropping-particle":"","family":"Matheson","given":"Flora","non-dropping-particle":"","parse-names":false,"suffix":""},{"dropping-particle":"","family":"Ingen","given":"Trevor","non-dropping-particle":"van","parse-names":false,"suffix":""}],"id":"ITEM-2","issued":{"date-parts":[["2017"]]},"publisher":"Ontario Agency for Health Protection and Promotion (Public Health Ontario)","publisher-place":"Toronto, Ontario","title":"2011 Ontario Marginalization Index: technical document","type":"report"},"uris":["http://www.mendeley.com/documents/?uuid=5b51f0ec-482e-4acf-935e-989dcbc1cc8e"]}],"mendeley":{"formattedCitation":"(8,9)","plainTextFormattedCitation":"(8,9)","previouslyFormattedCitation":"(8,9)"},"properties":{"noteIndex":0},"schema":"https://github.com/citation-style-language/schema/raw/master/csl-citation.json"}</w:instrText>
            </w:r>
            <w:r>
              <w:rPr>
                <w:rFonts w:ascii="Times New Roman" w:eastAsia="Times New Roman" w:hAnsi="Times New Roman" w:cs="Times New Roman"/>
                <w:noProof/>
                <w:color w:val="000000"/>
                <w:vertAlign w:val="superscript"/>
              </w:rPr>
              <w:fldChar w:fldCharType="separate"/>
            </w:r>
            <w:r w:rsidR="002D3D31" w:rsidRPr="002D3D31">
              <w:rPr>
                <w:rFonts w:ascii="Times New Roman" w:eastAsia="Times New Roman" w:hAnsi="Times New Roman" w:cs="Times New Roman"/>
                <w:noProof/>
                <w:color w:val="000000"/>
              </w:rPr>
              <w:t>(8,9)</w:t>
            </w:r>
            <w:r>
              <w:rPr>
                <w:rFonts w:ascii="Times New Roman" w:eastAsia="Times New Roman" w:hAnsi="Times New Roman" w:cs="Times New Roman"/>
                <w:noProof/>
                <w:color w:val="000000"/>
                <w:vertAlign w:val="superscript"/>
              </w:rPr>
              <w:fldChar w:fldCharType="end"/>
            </w:r>
            <w:r>
              <w:rPr>
                <w:rFonts w:ascii="Times New Roman" w:eastAsia="Times New Roman" w:hAnsi="Times New Roman" w:cs="Times New Roman"/>
                <w:noProof/>
                <w:color w:val="000000"/>
                <w:vertAlign w:val="superscript"/>
              </w:rPr>
              <w:t xml:space="preserve"> </w:t>
            </w:r>
            <w:r w:rsidRPr="005850D4">
              <w:rPr>
                <w:rFonts w:ascii="Times New Roman" w:eastAsia="Times New Roman" w:hAnsi="Times New Roman" w:cs="Times New Roman"/>
                <w:color w:val="000000"/>
              </w:rPr>
              <w:t xml:space="preserve">The factor scores or quintile distributions obtained from application of the ON-Marg are used to identify inequalities in health and social well-being. </w:t>
            </w:r>
          </w:p>
          <w:p w14:paraId="2098BC6A" w14:textId="59EAA713" w:rsidR="00BE3643" w:rsidRPr="00BE3643" w:rsidRDefault="00BE3643" w:rsidP="00BE3643">
            <w:pPr>
              <w:autoSpaceDE w:val="0"/>
              <w:autoSpaceDN w:val="0"/>
              <w:adjustRightInd w:val="0"/>
              <w:spacing w:after="120" w:line="240" w:lineRule="auto"/>
              <w:rPr>
                <w:rFonts w:ascii="Times New Roman" w:eastAsia="Times New Roman" w:hAnsi="Times New Roman" w:cs="Times New Roman"/>
                <w:color w:val="000000"/>
              </w:rPr>
            </w:pPr>
            <w:r w:rsidRPr="005850D4">
              <w:rPr>
                <w:rFonts w:ascii="Times New Roman" w:eastAsia="Times New Roman" w:hAnsi="Times New Roman" w:cs="Times New Roman"/>
                <w:color w:val="000000"/>
              </w:rPr>
              <w:t>There are four dimensions of marginalization that are represented by the index, including residential instability, material deprivation, dependency, and ethnic concentration.</w:t>
            </w:r>
            <w:r>
              <w:rPr>
                <w:rFonts w:ascii="Times New Roman" w:eastAsia="Times New Roman" w:hAnsi="Times New Roman" w:cs="Times New Roman"/>
                <w:noProof/>
                <w:color w:val="000000"/>
                <w:vertAlign w:val="superscript"/>
              </w:rPr>
              <w:fldChar w:fldCharType="begin" w:fldLock="1"/>
            </w:r>
            <w:r w:rsidR="000B09E7">
              <w:rPr>
                <w:rFonts w:ascii="Times New Roman" w:eastAsia="Times New Roman" w:hAnsi="Times New Roman" w:cs="Times New Roman"/>
                <w:noProof/>
                <w:color w:val="000000"/>
                <w:vertAlign w:val="superscript"/>
              </w:rPr>
              <w:instrText>ADDIN CSL_CITATION {"citationItems":[{"id":"ITEM-1","itemData":{"DOI":"10.1017/cbo9780511841538.002","author":[{"dropping-particle":"","family":"Matheson","given":"Flora I","non-dropping-particle":"","parse-names":false,"suffix":""},{"dropping-particle":"","family":"Dunn","given":"James R","non-dropping-particle":"","parse-names":false,"suffix":""},{"dropping-particle":"","family":"Smith","given":"Katherine L.W.","non-dropping-particle":"","parse-names":false,"suffix":""},{"dropping-particle":"","family":"Moineddin","given":"Rahim","non-dropping-particle":"","parse-names":false,"suffix":""},{"dropping-particle":"","family":"Glazier","given":"Richard H","non-dropping-particle":"","parse-names":false,"suffix":""}],"id":"ITEM-1","issued":{"date-parts":[["2012"]]},"publisher-place":"Toronto, Ontario","title":"Ontario Marginalization Index: user guide version 1.0","type":"report"},"uris":["http://www.mendeley.com/documents/?uuid=185abbe7-649d-4da4-b0bf-114c91492a1a"]},{"id":"ITEM-2","itemData":{"author":[{"dropping-particle":"","family":"Matheson","given":"Flora","non-dropping-particle":"","parse-names":false,"suffix":""},{"dropping-particle":"","family":"Ingen","given":"Trevor","non-dropping-particle":"van","parse-names":false,"suffix":""}],"id":"ITEM-2","issued":{"date-parts":[["2017"]]},"publisher":"Ontario Agency for Health Protection and Promotion (Public Health Ontario)","publisher-place":"Toronto, Ontario","title":"2011 Ontario Marginalization Index: technical document","type":"report"},"uris":["http://www.mendeley.com/documents/?uuid=5b51f0ec-482e-4acf-935e-989dcbc1cc8e"]}],"mendeley":{"formattedCitation":"(8,9)","plainTextFormattedCitation":"(8,9)","previouslyFormattedCitation":"(8,9)"},"properties":{"noteIndex":0},"schema":"https://github.com/citation-style-language/schema/raw/master/csl-citation.json"}</w:instrText>
            </w:r>
            <w:r>
              <w:rPr>
                <w:rFonts w:ascii="Times New Roman" w:eastAsia="Times New Roman" w:hAnsi="Times New Roman" w:cs="Times New Roman"/>
                <w:noProof/>
                <w:color w:val="000000"/>
                <w:vertAlign w:val="superscript"/>
              </w:rPr>
              <w:fldChar w:fldCharType="separate"/>
            </w:r>
            <w:r w:rsidR="002D3D31" w:rsidRPr="002D3D31">
              <w:rPr>
                <w:rFonts w:ascii="Times New Roman" w:eastAsia="Times New Roman" w:hAnsi="Times New Roman" w:cs="Times New Roman"/>
                <w:noProof/>
                <w:color w:val="000000"/>
              </w:rPr>
              <w:t>(8,9)</w:t>
            </w:r>
            <w:r>
              <w:rPr>
                <w:rFonts w:ascii="Times New Roman" w:eastAsia="Times New Roman" w:hAnsi="Times New Roman" w:cs="Times New Roman"/>
                <w:noProof/>
                <w:color w:val="000000"/>
                <w:vertAlign w:val="superscript"/>
              </w:rPr>
              <w:fldChar w:fldCharType="end"/>
            </w:r>
            <w:r w:rsidRPr="005850D4">
              <w:rPr>
                <w:rFonts w:ascii="Times New Roman" w:eastAsia="Times New Roman" w:hAnsi="Times New Roman" w:cs="Times New Roman"/>
                <w:color w:val="000000"/>
              </w:rPr>
              <w:t xml:space="preserve"> Residential instability is measured using population dwelling characteristics, such as the proportion of the population living alone, proportion of dwellings that are apartment buildings, and the proportion of the population who are single, widowed, or divorced. Material deprivation represents socioeconomic characteristics of the population, such as the proportion that is considered low income, the proportion receiving government transfer payments, and the proportion aged 15+ who are unemployed. The dependency dimension uses indicators of population dependency due to unemployment and younger or older age. Ethnic concentration is calculated using data indicating the proportion of the population that are recent immigrants (past 5 years) and the proportion who self-identify as a visible minority.</w:t>
            </w:r>
          </w:p>
        </w:tc>
      </w:tr>
    </w:tbl>
    <w:p w14:paraId="34D9BE09" w14:textId="77777777" w:rsidR="006D1F0A" w:rsidRDefault="006D1F0A">
      <w:pPr>
        <w:rPr>
          <w:rFonts w:ascii="Times New Roman" w:hAnsi="Times New Roman" w:cs="Times New Roman"/>
          <w:lang w:val="en-US"/>
        </w:rPr>
      </w:pPr>
    </w:p>
    <w:p w14:paraId="09FF9BC4" w14:textId="77777777" w:rsidR="006D1F0A" w:rsidRDefault="006D1F0A">
      <w:pPr>
        <w:rPr>
          <w:rFonts w:ascii="Times New Roman" w:hAnsi="Times New Roman" w:cs="Times New Roman"/>
          <w:lang w:val="en-US"/>
        </w:rPr>
      </w:pPr>
      <w:r>
        <w:rPr>
          <w:rFonts w:ascii="Times New Roman" w:hAnsi="Times New Roman" w:cs="Times New Roman"/>
          <w:lang w:val="en-US"/>
        </w:rPr>
        <w:br w:type="page"/>
      </w:r>
    </w:p>
    <w:tbl>
      <w:tblPr>
        <w:tblStyle w:val="TableGrid"/>
        <w:tblW w:w="0" w:type="auto"/>
        <w:tblLook w:val="04A0" w:firstRow="1" w:lastRow="0" w:firstColumn="1" w:lastColumn="0" w:noHBand="0" w:noVBand="1"/>
      </w:tblPr>
      <w:tblGrid>
        <w:gridCol w:w="1774"/>
        <w:gridCol w:w="1354"/>
        <w:gridCol w:w="1221"/>
        <w:gridCol w:w="3848"/>
        <w:gridCol w:w="4753"/>
      </w:tblGrid>
      <w:tr w:rsidR="005707D0" w:rsidRPr="00AF2B46" w14:paraId="6C2FA266" w14:textId="46663678" w:rsidTr="009679F5">
        <w:tc>
          <w:tcPr>
            <w:tcW w:w="12950" w:type="dxa"/>
            <w:gridSpan w:val="5"/>
          </w:tcPr>
          <w:p w14:paraId="2E076161" w14:textId="79DC3B28" w:rsidR="005707D0" w:rsidRPr="00AF2B46" w:rsidRDefault="005707D0" w:rsidP="00EA3EED">
            <w:pPr>
              <w:rPr>
                <w:rFonts w:ascii="Times New Roman" w:hAnsi="Times New Roman" w:cs="Times New Roman"/>
                <w:b/>
                <w:lang w:val="en-US"/>
              </w:rPr>
            </w:pPr>
            <w:r w:rsidRPr="00AF2B46">
              <w:rPr>
                <w:rFonts w:ascii="Times New Roman" w:hAnsi="Times New Roman" w:cs="Times New Roman"/>
                <w:lang w:val="en-US"/>
              </w:rPr>
              <w:lastRenderedPageBreak/>
              <w:t xml:space="preserve">Table </w:t>
            </w:r>
            <w:r>
              <w:rPr>
                <w:rFonts w:ascii="Times New Roman" w:hAnsi="Times New Roman" w:cs="Times New Roman"/>
                <w:lang w:val="en-US"/>
              </w:rPr>
              <w:t>e-2.</w:t>
            </w:r>
            <w:r w:rsidRPr="00AF2B46">
              <w:rPr>
                <w:rFonts w:ascii="Times New Roman" w:hAnsi="Times New Roman" w:cs="Times New Roman"/>
                <w:lang w:val="en-US"/>
              </w:rPr>
              <w:t xml:space="preserve"> Administrative codes used to define variables.</w:t>
            </w:r>
          </w:p>
        </w:tc>
      </w:tr>
      <w:tr w:rsidR="002D3ECA" w:rsidRPr="00AF2B46" w14:paraId="7A5E568E" w14:textId="4578CC48" w:rsidTr="003D494A">
        <w:tc>
          <w:tcPr>
            <w:tcW w:w="1774" w:type="dxa"/>
          </w:tcPr>
          <w:p w14:paraId="7A760CED" w14:textId="77777777" w:rsidR="005707D0" w:rsidRPr="00AF2B46" w:rsidRDefault="005707D0" w:rsidP="00EA3EED">
            <w:pPr>
              <w:jc w:val="center"/>
              <w:rPr>
                <w:rFonts w:ascii="Times New Roman" w:hAnsi="Times New Roman" w:cs="Times New Roman"/>
                <w:b/>
                <w:lang w:val="en-US"/>
              </w:rPr>
            </w:pPr>
            <w:r w:rsidRPr="00AF2B46">
              <w:rPr>
                <w:rFonts w:ascii="Times New Roman" w:hAnsi="Times New Roman" w:cs="Times New Roman"/>
                <w:b/>
                <w:lang w:val="en-US"/>
              </w:rPr>
              <w:t>Concept</w:t>
            </w:r>
          </w:p>
        </w:tc>
        <w:tc>
          <w:tcPr>
            <w:tcW w:w="1354" w:type="dxa"/>
          </w:tcPr>
          <w:p w14:paraId="1DDAD344" w14:textId="77777777" w:rsidR="005707D0" w:rsidRPr="00AF2B46" w:rsidRDefault="005707D0" w:rsidP="00EA3EED">
            <w:pPr>
              <w:jc w:val="center"/>
              <w:rPr>
                <w:rFonts w:ascii="Times New Roman" w:hAnsi="Times New Roman" w:cs="Times New Roman"/>
                <w:b/>
                <w:lang w:val="en-US"/>
              </w:rPr>
            </w:pPr>
            <w:r>
              <w:rPr>
                <w:rFonts w:ascii="Times New Roman" w:hAnsi="Times New Roman" w:cs="Times New Roman"/>
                <w:b/>
                <w:lang w:val="en-US"/>
              </w:rPr>
              <w:t>Databases</w:t>
            </w:r>
          </w:p>
        </w:tc>
        <w:tc>
          <w:tcPr>
            <w:tcW w:w="1221" w:type="dxa"/>
          </w:tcPr>
          <w:p w14:paraId="6EE79238" w14:textId="77777777" w:rsidR="005707D0" w:rsidRPr="00AF2B46" w:rsidRDefault="005707D0" w:rsidP="00EA3EED">
            <w:pPr>
              <w:jc w:val="center"/>
              <w:rPr>
                <w:rFonts w:ascii="Times New Roman" w:hAnsi="Times New Roman" w:cs="Times New Roman"/>
                <w:b/>
                <w:lang w:val="en-US"/>
              </w:rPr>
            </w:pPr>
            <w:r w:rsidRPr="00AF2B46">
              <w:rPr>
                <w:rFonts w:ascii="Times New Roman" w:hAnsi="Times New Roman" w:cs="Times New Roman"/>
                <w:b/>
                <w:lang w:val="en-US"/>
              </w:rPr>
              <w:t>Code Type</w:t>
            </w:r>
          </w:p>
        </w:tc>
        <w:tc>
          <w:tcPr>
            <w:tcW w:w="3848" w:type="dxa"/>
          </w:tcPr>
          <w:p w14:paraId="44E1693A" w14:textId="77777777" w:rsidR="005707D0" w:rsidRPr="00AF2B46" w:rsidRDefault="005707D0" w:rsidP="00EA3EED">
            <w:pPr>
              <w:jc w:val="center"/>
              <w:rPr>
                <w:rFonts w:ascii="Times New Roman" w:hAnsi="Times New Roman" w:cs="Times New Roman"/>
                <w:b/>
                <w:lang w:val="en-US"/>
              </w:rPr>
            </w:pPr>
            <w:r w:rsidRPr="00AF2B46">
              <w:rPr>
                <w:rFonts w:ascii="Times New Roman" w:hAnsi="Times New Roman" w:cs="Times New Roman"/>
                <w:b/>
                <w:lang w:val="en-US"/>
              </w:rPr>
              <w:t>Codes</w:t>
            </w:r>
          </w:p>
        </w:tc>
        <w:tc>
          <w:tcPr>
            <w:tcW w:w="4753" w:type="dxa"/>
          </w:tcPr>
          <w:p w14:paraId="168EABB7" w14:textId="77777777" w:rsidR="005707D0" w:rsidRPr="00AF2B46" w:rsidRDefault="005707D0" w:rsidP="00EA3EED">
            <w:pPr>
              <w:jc w:val="center"/>
              <w:rPr>
                <w:rFonts w:ascii="Times New Roman" w:hAnsi="Times New Roman" w:cs="Times New Roman"/>
                <w:b/>
                <w:lang w:val="en-US"/>
              </w:rPr>
            </w:pPr>
            <w:r w:rsidRPr="00AF2B46">
              <w:rPr>
                <w:rFonts w:ascii="Times New Roman" w:hAnsi="Times New Roman" w:cs="Times New Roman"/>
                <w:b/>
                <w:lang w:val="en-US"/>
              </w:rPr>
              <w:t>Algorithm</w:t>
            </w:r>
          </w:p>
        </w:tc>
      </w:tr>
      <w:tr w:rsidR="005707D0" w:rsidRPr="00AF2B46" w14:paraId="70BE27DE" w14:textId="5513E435" w:rsidTr="009679F5">
        <w:tc>
          <w:tcPr>
            <w:tcW w:w="12950" w:type="dxa"/>
            <w:gridSpan w:val="5"/>
          </w:tcPr>
          <w:p w14:paraId="102B85F1" w14:textId="71DF9FD5" w:rsidR="005707D0" w:rsidRPr="00320D88" w:rsidRDefault="005707D0" w:rsidP="00EA3EED">
            <w:pPr>
              <w:rPr>
                <w:rFonts w:ascii="Times New Roman" w:hAnsi="Times New Roman" w:cs="Times New Roman"/>
                <w:b/>
                <w:i/>
                <w:iCs/>
                <w:lang w:val="en-US"/>
              </w:rPr>
            </w:pPr>
            <w:r w:rsidRPr="00320D88">
              <w:rPr>
                <w:rFonts w:ascii="Times New Roman" w:hAnsi="Times New Roman" w:cs="Times New Roman"/>
                <w:b/>
                <w:i/>
                <w:iCs/>
                <w:lang w:val="en-US"/>
              </w:rPr>
              <w:t>Inclusion</w:t>
            </w:r>
            <w:r w:rsidR="00971542">
              <w:rPr>
                <w:rFonts w:ascii="Times New Roman" w:hAnsi="Times New Roman" w:cs="Times New Roman"/>
                <w:b/>
                <w:i/>
                <w:iCs/>
                <w:lang w:val="en-US"/>
              </w:rPr>
              <w:t xml:space="preserve"> and Exclusion</w:t>
            </w:r>
            <w:r w:rsidRPr="00320D88">
              <w:rPr>
                <w:rFonts w:ascii="Times New Roman" w:hAnsi="Times New Roman" w:cs="Times New Roman"/>
                <w:b/>
                <w:i/>
                <w:iCs/>
                <w:lang w:val="en-US"/>
              </w:rPr>
              <w:t xml:space="preserve"> Criteri</w:t>
            </w:r>
            <w:r w:rsidR="00971542">
              <w:rPr>
                <w:rFonts w:ascii="Times New Roman" w:hAnsi="Times New Roman" w:cs="Times New Roman"/>
                <w:b/>
                <w:i/>
                <w:iCs/>
                <w:lang w:val="en-US"/>
              </w:rPr>
              <w:t>a</w:t>
            </w:r>
          </w:p>
        </w:tc>
      </w:tr>
      <w:tr w:rsidR="002D3ECA" w:rsidRPr="00AF2B46" w14:paraId="6C0276D8" w14:textId="491A0205" w:rsidTr="003D494A">
        <w:tc>
          <w:tcPr>
            <w:tcW w:w="1774" w:type="dxa"/>
            <w:vMerge w:val="restart"/>
          </w:tcPr>
          <w:p w14:paraId="4A0C6E21" w14:textId="01554C20" w:rsidR="005707D0" w:rsidRPr="00AF2B46" w:rsidRDefault="005707D0" w:rsidP="00EA3EED">
            <w:pPr>
              <w:rPr>
                <w:rFonts w:ascii="Times New Roman" w:hAnsi="Times New Roman" w:cs="Times New Roman"/>
                <w:b/>
                <w:lang w:val="en-US"/>
              </w:rPr>
            </w:pPr>
            <w:r w:rsidRPr="00AF2B46">
              <w:rPr>
                <w:rFonts w:ascii="Times New Roman" w:hAnsi="Times New Roman" w:cs="Times New Roman"/>
                <w:lang w:val="en-US"/>
              </w:rPr>
              <w:t>Stroke</w:t>
            </w:r>
            <w:r w:rsidR="00971542">
              <w:rPr>
                <w:rFonts w:ascii="Times New Roman" w:hAnsi="Times New Roman" w:cs="Times New Roman"/>
                <w:lang w:val="en-US"/>
              </w:rPr>
              <w:t xml:space="preserve"> (both to define inclusion and to exclude those with prior stroke)</w:t>
            </w:r>
          </w:p>
        </w:tc>
        <w:tc>
          <w:tcPr>
            <w:tcW w:w="1354" w:type="dxa"/>
            <w:vMerge w:val="restart"/>
          </w:tcPr>
          <w:p w14:paraId="59E9B2D7" w14:textId="55D14734" w:rsidR="005707D0" w:rsidRPr="00AF2B46" w:rsidRDefault="005707D0" w:rsidP="00490275">
            <w:pPr>
              <w:jc w:val="center"/>
              <w:rPr>
                <w:rFonts w:ascii="Times New Roman" w:hAnsi="Times New Roman" w:cs="Times New Roman"/>
                <w:lang w:val="en-US"/>
              </w:rPr>
            </w:pPr>
            <w:r>
              <w:rPr>
                <w:rFonts w:ascii="Times New Roman" w:hAnsi="Times New Roman" w:cs="Times New Roman"/>
                <w:lang w:val="en-US"/>
              </w:rPr>
              <w:t>DAD</w:t>
            </w:r>
          </w:p>
        </w:tc>
        <w:tc>
          <w:tcPr>
            <w:tcW w:w="1221" w:type="dxa"/>
          </w:tcPr>
          <w:p w14:paraId="757ECD8D" w14:textId="77777777" w:rsidR="005707D0" w:rsidRPr="00AF2B46" w:rsidRDefault="005707D0" w:rsidP="00EA3EED">
            <w:pPr>
              <w:jc w:val="center"/>
              <w:rPr>
                <w:rFonts w:ascii="Times New Roman" w:hAnsi="Times New Roman" w:cs="Times New Roman"/>
                <w:b/>
                <w:lang w:val="en-US"/>
              </w:rPr>
            </w:pPr>
            <w:r w:rsidRPr="00AF2B46">
              <w:rPr>
                <w:rFonts w:ascii="Times New Roman" w:hAnsi="Times New Roman" w:cs="Times New Roman"/>
                <w:lang w:val="en-US"/>
              </w:rPr>
              <w:t>ICD-9</w:t>
            </w:r>
          </w:p>
        </w:tc>
        <w:tc>
          <w:tcPr>
            <w:tcW w:w="3848" w:type="dxa"/>
          </w:tcPr>
          <w:p w14:paraId="1CA08632" w14:textId="43A16617" w:rsidR="005707D0" w:rsidRPr="00AF2B46" w:rsidRDefault="005707D0" w:rsidP="004B761B">
            <w:pPr>
              <w:rPr>
                <w:rFonts w:ascii="Times New Roman" w:hAnsi="Times New Roman" w:cs="Times New Roman"/>
                <w:b/>
                <w:lang w:val="en-US"/>
              </w:rPr>
            </w:pPr>
            <w:r w:rsidRPr="00AF2B46">
              <w:rPr>
                <w:rFonts w:ascii="Times New Roman" w:hAnsi="Times New Roman" w:cs="Times New Roman"/>
                <w:lang w:val="en-US"/>
              </w:rPr>
              <w:t xml:space="preserve">431, </w:t>
            </w:r>
            <w:r>
              <w:rPr>
                <w:rFonts w:ascii="Times New Roman" w:hAnsi="Times New Roman" w:cs="Times New Roman"/>
                <w:lang w:val="en-US"/>
              </w:rPr>
              <w:t xml:space="preserve">4340, 4341, </w:t>
            </w:r>
            <w:r w:rsidRPr="00AF2B46">
              <w:rPr>
                <w:rFonts w:ascii="Times New Roman" w:hAnsi="Times New Roman" w:cs="Times New Roman"/>
                <w:lang w:val="en-US"/>
              </w:rPr>
              <w:t>436</w:t>
            </w:r>
          </w:p>
        </w:tc>
        <w:tc>
          <w:tcPr>
            <w:tcW w:w="4753" w:type="dxa"/>
            <w:vMerge w:val="restart"/>
          </w:tcPr>
          <w:p w14:paraId="09A7EAE1" w14:textId="5740AFAE" w:rsidR="005707D0" w:rsidRDefault="005707D0" w:rsidP="00E87B86">
            <w:pPr>
              <w:rPr>
                <w:rFonts w:ascii="Times New Roman" w:hAnsi="Times New Roman" w:cs="Times New Roman"/>
                <w:lang w:val="en-US"/>
              </w:rPr>
            </w:pPr>
            <w:r w:rsidRPr="00AF2B46">
              <w:rPr>
                <w:rFonts w:ascii="Times New Roman" w:hAnsi="Times New Roman" w:cs="Times New Roman"/>
                <w:lang w:val="en-US"/>
              </w:rPr>
              <w:t>Detection of any code</w:t>
            </w:r>
            <w:r>
              <w:rPr>
                <w:rFonts w:ascii="Times New Roman" w:hAnsi="Times New Roman" w:cs="Times New Roman"/>
                <w:lang w:val="en-US"/>
              </w:rPr>
              <w:t xml:space="preserve"> in </w:t>
            </w:r>
            <w:r w:rsidR="00A35DB6">
              <w:rPr>
                <w:rFonts w:ascii="Times New Roman" w:hAnsi="Times New Roman" w:cs="Times New Roman"/>
                <w:lang w:val="en-US"/>
              </w:rPr>
              <w:t>most responsible diagnos</w:t>
            </w:r>
            <w:r w:rsidR="00C90C18">
              <w:rPr>
                <w:rFonts w:ascii="Times New Roman" w:hAnsi="Times New Roman" w:cs="Times New Roman"/>
                <w:lang w:val="en-US"/>
              </w:rPr>
              <w:t>tic</w:t>
            </w:r>
            <w:r w:rsidR="00A35DB6">
              <w:rPr>
                <w:rFonts w:ascii="Times New Roman" w:hAnsi="Times New Roman" w:cs="Times New Roman"/>
                <w:lang w:val="en-US"/>
              </w:rPr>
              <w:t xml:space="preserve"> position (</w:t>
            </w:r>
            <w:r w:rsidR="000F6B31">
              <w:rPr>
                <w:rFonts w:ascii="Times New Roman" w:hAnsi="Times New Roman" w:cs="Times New Roman"/>
                <w:lang w:val="en-US"/>
              </w:rPr>
              <w:t xml:space="preserve">for </w:t>
            </w:r>
            <w:r w:rsidR="00A35DB6">
              <w:rPr>
                <w:rFonts w:ascii="Times New Roman" w:hAnsi="Times New Roman" w:cs="Times New Roman"/>
                <w:lang w:val="en-US"/>
              </w:rPr>
              <w:t>inclusion)</w:t>
            </w:r>
            <w:r w:rsidR="000F6B31">
              <w:rPr>
                <w:rFonts w:ascii="Times New Roman" w:hAnsi="Times New Roman" w:cs="Times New Roman"/>
                <w:lang w:val="en-US"/>
              </w:rPr>
              <w:t xml:space="preserve"> and all</w:t>
            </w:r>
            <w:r>
              <w:rPr>
                <w:rFonts w:ascii="Times New Roman" w:hAnsi="Times New Roman" w:cs="Times New Roman"/>
                <w:lang w:val="en-US"/>
              </w:rPr>
              <w:t xml:space="preserve"> diagnostic</w:t>
            </w:r>
            <w:r w:rsidRPr="00AF2B46">
              <w:rPr>
                <w:rFonts w:ascii="Times New Roman" w:hAnsi="Times New Roman" w:cs="Times New Roman"/>
                <w:lang w:val="en-US"/>
              </w:rPr>
              <w:t xml:space="preserve"> </w:t>
            </w:r>
            <w:r>
              <w:rPr>
                <w:rFonts w:ascii="Times New Roman" w:hAnsi="Times New Roman" w:cs="Times New Roman"/>
                <w:lang w:val="en-US"/>
              </w:rPr>
              <w:t>position</w:t>
            </w:r>
            <w:r w:rsidR="000F6B31">
              <w:rPr>
                <w:rFonts w:ascii="Times New Roman" w:hAnsi="Times New Roman" w:cs="Times New Roman"/>
                <w:lang w:val="en-US"/>
              </w:rPr>
              <w:t>s (for exclusion</w:t>
            </w:r>
            <w:r w:rsidR="00BB6804">
              <w:rPr>
                <w:rFonts w:ascii="Times New Roman" w:hAnsi="Times New Roman" w:cs="Times New Roman"/>
                <w:lang w:val="en-US"/>
              </w:rPr>
              <w:t>)</w:t>
            </w:r>
          </w:p>
          <w:p w14:paraId="13BC92F9" w14:textId="2603A89B" w:rsidR="005707D0" w:rsidRPr="009679F5" w:rsidRDefault="005707D0" w:rsidP="009679F5">
            <w:pPr>
              <w:pStyle w:val="ListParagraph"/>
              <w:numPr>
                <w:ilvl w:val="0"/>
                <w:numId w:val="2"/>
              </w:numPr>
              <w:rPr>
                <w:rFonts w:ascii="Times New Roman" w:hAnsi="Times New Roman" w:cs="Times New Roman"/>
                <w:lang w:val="en-US"/>
              </w:rPr>
            </w:pPr>
            <w:r w:rsidRPr="009679F5">
              <w:rPr>
                <w:rFonts w:ascii="Times New Roman" w:hAnsi="Times New Roman" w:cs="Times New Roman"/>
                <w:lang w:val="en-US"/>
              </w:rPr>
              <w:t xml:space="preserve">ICD-9 codes </w:t>
            </w:r>
            <w:r w:rsidR="00D55CAA">
              <w:rPr>
                <w:rFonts w:ascii="Times New Roman" w:hAnsi="Times New Roman" w:cs="Times New Roman"/>
                <w:lang w:val="en-US"/>
              </w:rPr>
              <w:t xml:space="preserve">validated by </w:t>
            </w:r>
            <w:r w:rsidR="000D4A13">
              <w:rPr>
                <w:rFonts w:ascii="Times New Roman" w:hAnsi="Times New Roman" w:cs="Times New Roman"/>
                <w:lang w:val="en-US"/>
              </w:rPr>
              <w:t>Liu et al.</w:t>
            </w:r>
            <w:r w:rsidR="000D4A13" w:rsidRPr="00606F76">
              <w:rPr>
                <w:rFonts w:ascii="Times New Roman" w:hAnsi="Times New Roman" w:cs="Times New Roman"/>
                <w:lang w:val="en-US"/>
              </w:rPr>
              <w:fldChar w:fldCharType="begin" w:fldLock="1"/>
            </w:r>
            <w:r w:rsidR="000D4A13" w:rsidRPr="00606F76">
              <w:rPr>
                <w:rFonts w:ascii="Times New Roman" w:hAnsi="Times New Roman" w:cs="Times New Roman"/>
                <w:lang w:val="en-US"/>
              </w:rPr>
              <w:instrText>ADDIN CSL_CITATION {"citationItems":[{"id":"ITEM-1","itemData":{"DOI":"10.1159/000015960","ISSN":"10159770","PMID":"10393410","abstract":"This study examines the validity of the diagnosis of stroke on hospital discharge records in Saskatchewan, Canada. In total, 1494 records with a discharge diagnosis of 'stroke' or a 'stroke-related condition' were reviewed. The clinical algorithm of the 1980 USA National Survey of Stroke was considered the 'gold standard'. The positive predictive value of a primary diagnosis of stroke in the tertiary-care hospitals was about 90%. In community hospitals the majority of stroke cases were coded as ICD9 436 in which the positive predictive value was 78%. The variation between regions would limit the use of hospital discharge data for stroke surveillance.","author":[{"dropping-particle":"","family":"Liu","given":"Liyan","non-dropping-particle":"","parse-names":false,"suffix":""},{"dropping-particle":"","family":"Reeder","given":"Bruce","non-dropping-particle":"","parse-names":false,"suffix":""},{"dropping-particle":"","family":"Shuaib","given":"Ashfaq","non-dropping-particle":"","parse-names":false,"suffix":""},{"dropping-particle":"","family":"Mazagri","given":"Rida","non-dropping-particle":"","parse-names":false,"suffix":""}],"container-title":"Cerebrovascular Diseases","id":"ITEM-1","issue":"4","issued":{"date-parts":[["1999"]]},"page":"224-230","title":"Validity of stroke diagnosis on hospital discharge records in Saskatchewan, Canada: Implications for stroke surveillance","type":"article-journal","volume":"9"},"uris":["http://www.mendeley.com/documents/?uuid=ef0e77d1-6a00-4ce7-bc49-4c6260e7f85c"]}],"mendeley":{"formattedCitation":"(10)","plainTextFormattedCitation":"(10)","previouslyFormattedCitation":"(10)"},"properties":{"noteIndex":0},"schema":"https://github.com/citation-style-language/schema/raw/master/csl-citation.json"}</w:instrText>
            </w:r>
            <w:r w:rsidR="000D4A13" w:rsidRPr="00606F76">
              <w:rPr>
                <w:rFonts w:ascii="Times New Roman" w:hAnsi="Times New Roman" w:cs="Times New Roman"/>
                <w:lang w:val="en-US"/>
              </w:rPr>
              <w:fldChar w:fldCharType="separate"/>
            </w:r>
            <w:r w:rsidR="000D4A13" w:rsidRPr="00606F76">
              <w:rPr>
                <w:rFonts w:ascii="Times New Roman" w:hAnsi="Times New Roman" w:cs="Times New Roman"/>
                <w:noProof/>
                <w:lang w:val="en-US"/>
              </w:rPr>
              <w:t>(10)</w:t>
            </w:r>
            <w:r w:rsidR="000D4A13" w:rsidRPr="00606F76">
              <w:rPr>
                <w:rFonts w:ascii="Times New Roman" w:hAnsi="Times New Roman" w:cs="Times New Roman"/>
                <w:lang w:val="en-US"/>
              </w:rPr>
              <w:fldChar w:fldCharType="end"/>
            </w:r>
            <w:r w:rsidR="00A7063D">
              <w:rPr>
                <w:rFonts w:ascii="Times New Roman" w:hAnsi="Times New Roman" w:cs="Times New Roman"/>
                <w:lang w:val="en-US"/>
              </w:rPr>
              <w:t xml:space="preserve"> -</w:t>
            </w:r>
            <w:r w:rsidRPr="009679F5">
              <w:rPr>
                <w:rFonts w:ascii="Times New Roman" w:hAnsi="Times New Roman" w:cs="Times New Roman"/>
                <w:lang w:val="en-US"/>
              </w:rPr>
              <w:t xml:space="preserve"> codes with high</w:t>
            </w:r>
            <w:r w:rsidR="001A7BCD" w:rsidRPr="009679F5">
              <w:rPr>
                <w:rFonts w:ascii="Times New Roman" w:hAnsi="Times New Roman" w:cs="Times New Roman"/>
                <w:lang w:val="en-US"/>
              </w:rPr>
              <w:t>est</w:t>
            </w:r>
            <w:r w:rsidRPr="009679F5">
              <w:rPr>
                <w:rFonts w:ascii="Times New Roman" w:hAnsi="Times New Roman" w:cs="Times New Roman"/>
                <w:lang w:val="en-US"/>
              </w:rPr>
              <w:t xml:space="preserve"> PPVs</w:t>
            </w:r>
            <w:r w:rsidR="00A7063D">
              <w:rPr>
                <w:rFonts w:ascii="Times New Roman" w:hAnsi="Times New Roman" w:cs="Times New Roman"/>
                <w:lang w:val="en-US"/>
              </w:rPr>
              <w:t xml:space="preserve"> were used</w:t>
            </w:r>
            <w:r w:rsidR="001A7BCD" w:rsidRPr="009679F5">
              <w:rPr>
                <w:rFonts w:ascii="Times New Roman" w:hAnsi="Times New Roman" w:cs="Times New Roman"/>
                <w:lang w:val="en-US"/>
              </w:rPr>
              <w:t>, except for 430</w:t>
            </w:r>
            <w:r w:rsidR="005D3EB3" w:rsidRPr="009679F5">
              <w:rPr>
                <w:rFonts w:ascii="Times New Roman" w:hAnsi="Times New Roman" w:cs="Times New Roman"/>
                <w:lang w:val="en-US"/>
              </w:rPr>
              <w:t xml:space="preserve"> (subarachnoid hemorrhage</w:t>
            </w:r>
            <w:r w:rsidR="009F29AF" w:rsidRPr="009679F5">
              <w:rPr>
                <w:rFonts w:ascii="Times New Roman" w:hAnsi="Times New Roman" w:cs="Times New Roman"/>
                <w:lang w:val="en-US"/>
              </w:rPr>
              <w:t>)</w:t>
            </w:r>
            <w:r w:rsidRPr="009679F5">
              <w:rPr>
                <w:rFonts w:ascii="Times New Roman" w:hAnsi="Times New Roman" w:cs="Times New Roman"/>
                <w:lang w:val="en-US"/>
              </w:rPr>
              <w:t xml:space="preserve"> </w:t>
            </w:r>
          </w:p>
          <w:p w14:paraId="5548FC43" w14:textId="6DC3E017" w:rsidR="005707D0" w:rsidRPr="009679F5" w:rsidRDefault="005707D0" w:rsidP="009679F5">
            <w:pPr>
              <w:pStyle w:val="ListParagraph"/>
              <w:numPr>
                <w:ilvl w:val="0"/>
                <w:numId w:val="2"/>
              </w:numPr>
              <w:rPr>
                <w:rFonts w:ascii="Times New Roman" w:hAnsi="Times New Roman" w:cs="Times New Roman"/>
                <w:b/>
                <w:lang w:val="en-US"/>
              </w:rPr>
            </w:pPr>
            <w:r w:rsidRPr="009679F5">
              <w:rPr>
                <w:rFonts w:ascii="Times New Roman" w:hAnsi="Times New Roman" w:cs="Times New Roman"/>
                <w:lang w:val="en-US"/>
              </w:rPr>
              <w:t>ICD-10 codes validated</w:t>
            </w:r>
            <w:r w:rsidR="007C3FCC">
              <w:rPr>
                <w:rFonts w:ascii="Times New Roman" w:hAnsi="Times New Roman" w:cs="Times New Roman"/>
                <w:lang w:val="en-US"/>
              </w:rPr>
              <w:t xml:space="preserve"> by Porter et al.</w:t>
            </w:r>
            <w:r w:rsidRPr="009679F5">
              <w:rPr>
                <w:rFonts w:ascii="Times New Roman" w:hAnsi="Times New Roman" w:cs="Times New Roman"/>
                <w:lang w:val="en-US"/>
              </w:rPr>
              <w:fldChar w:fldCharType="begin" w:fldLock="1"/>
            </w:r>
            <w:r w:rsidR="009F29AF" w:rsidRPr="009679F5">
              <w:rPr>
                <w:rFonts w:ascii="Times New Roman" w:hAnsi="Times New Roman" w:cs="Times New Roman"/>
                <w:lang w:val="en-US"/>
              </w:rPr>
              <w:instrText>ADDIN CSL_CITATION {"citationItems":[{"id":"ITEM-1","itemData":{"DOI":"10.1159/000449288","ISBN":"1664-5456","ISSN":"16645456","PMID":"27750249","abstract":"BACKGROUND/AIMS The reliability of diagnostic coding of acute stroke and transient ischemic attack (TIA) in administrative data is uncertain. The purpose of this study is to determine the agreement between administrative data sources and chart audit for the identification of stroke type, stroke risk factors, and the use of hospital-based diagnostic procedures in patients with stroke or TIA. METHODS Medical charts for a population-based sample of patients (n = 14,508) with ischemic stroke, intracerebral hemorrhage (ICH), or TIA discharged from inpatient and emergency departments (ED) in Ontario, Canada, between April 1, 2012 and March 31, 2013, were audited by trained abstractors. Audited data were linked and compared with hospital administrative data and physician billing data. The positive predictive value (PPV) of hospital administrative data and kappa agreement for the reporting of stroke type were calculated. Kappa agreement was also determined for stroke risk factors and for select stroke-related procedures. RESULTS The PPV for stroke type in inpatient administrative data ranged from 89.5% (95% CI 88.0-91.0) for TIA, 91.9% (95% CI 90.2-93.5) for ICH, and 97.3% (95% CI 96.9-97.7) for ischemic stroke. For ED administrative data, PPV varied from 78.8% (95% CI 76.3-81.2) for ischemic, 86.3% (95% CI 76.8-95.7) for ICH, and 95.3% (95% CI 94.6-96.0) for TIA. The chance-corrected agreement between the audited and administrative data was good for atrial fibrillation (k = 0.60) and very good for diabetes (k = 0.86). Hospital administrative data combined with physician billing data more than doubled the observed agreement for carotid imaging (k = 0.65) and echocardiography (k = 0.66) compared to hospital administrative data alone. CONCLUSIONS Inpatient and ED administrative data were found to be reliable in the reporting of the International Classification of Diagnosis, 10th revision, Canada (ICD-10-CA)-coded ischemic stroke, ICH and TIA, and for the recording of atrial fibrillation and diabetes. The combination of physician billing data with hospital administrative data greatly improved the capture of some diagnostic services provided to inpatients.","author":[{"dropping-particle":"","family":"Porter","given":"Joan","non-dropping-particle":"","parse-names":false,"suffix":""},{"dropping-particle":"","family":"Mondor","given":"Luke","non-dropping-particle":"","parse-names":false,"suffix":""},{"dropping-particle":"","family":"Kapral","given":"Moira K.","non-dropping-particle":"","parse-names":false,"suffix":""},{"dropping-particle":"","family":"Fang","given":"Jiming","non-dropping-particle":"","parse-names":false,"suffix":""},{"dropping-particle":"","family":"Hall","given":"Ruth E.","non-dropping-particle":"","parse-names":false,"suffix":""}],"container-title":"Cerebrovascular Diseases Extra","id":"ITEM-1","issue":"3","issued":{"date-parts":[["2016"]]},"page":"96-106","title":"How reliable are administrative data for capturing stroke patients and their care?","type":"article-journal","volume":"6"},"uris":["http://www.mendeley.com/documents/?uuid=7e6dcb56-12d3-41f8-9c9b-2a646c823727"]}],"mendeley":{"formattedCitation":"(11)","plainTextFormattedCitation":"(11)","previouslyFormattedCitation":"(11)"},"properties":{"noteIndex":0},"schema":"https://github.com/citation-style-language/schema/raw/master/csl-citation.json"}</w:instrText>
            </w:r>
            <w:r w:rsidRPr="009679F5">
              <w:rPr>
                <w:rFonts w:ascii="Times New Roman" w:hAnsi="Times New Roman" w:cs="Times New Roman"/>
                <w:lang w:val="en-US"/>
              </w:rPr>
              <w:fldChar w:fldCharType="separate"/>
            </w:r>
            <w:r w:rsidRPr="009679F5">
              <w:rPr>
                <w:rFonts w:ascii="Times New Roman" w:hAnsi="Times New Roman" w:cs="Times New Roman"/>
                <w:noProof/>
                <w:lang w:val="en-US"/>
              </w:rPr>
              <w:t>(11)</w:t>
            </w:r>
            <w:r w:rsidRPr="009679F5">
              <w:rPr>
                <w:rFonts w:ascii="Times New Roman" w:hAnsi="Times New Roman" w:cs="Times New Roman"/>
                <w:lang w:val="en-US"/>
              </w:rPr>
              <w:fldChar w:fldCharType="end"/>
            </w:r>
            <w:r w:rsidRPr="009679F5">
              <w:rPr>
                <w:rFonts w:ascii="Times New Roman" w:hAnsi="Times New Roman" w:cs="Times New Roman"/>
                <w:lang w:val="en-US"/>
              </w:rPr>
              <w:t>; however, some codes</w:t>
            </w:r>
            <w:r w:rsidR="00AE28B2" w:rsidRPr="009679F5">
              <w:rPr>
                <w:rFonts w:ascii="Times New Roman" w:hAnsi="Times New Roman" w:cs="Times New Roman"/>
                <w:lang w:val="en-US"/>
              </w:rPr>
              <w:t xml:space="preserve"> (i.e. G453, G458, G459, H341)</w:t>
            </w:r>
            <w:r w:rsidRPr="009679F5">
              <w:rPr>
                <w:rFonts w:ascii="Times New Roman" w:hAnsi="Times New Roman" w:cs="Times New Roman"/>
                <w:lang w:val="en-US"/>
              </w:rPr>
              <w:t xml:space="preserve"> were excluded as not all stroke types increase epilepsy risk </w:t>
            </w:r>
          </w:p>
        </w:tc>
      </w:tr>
      <w:tr w:rsidR="002D3ECA" w:rsidRPr="00AF2B46" w14:paraId="73F301DA" w14:textId="44821C39" w:rsidTr="003D494A">
        <w:tc>
          <w:tcPr>
            <w:tcW w:w="1774" w:type="dxa"/>
            <w:vMerge/>
          </w:tcPr>
          <w:p w14:paraId="35963AE0" w14:textId="77777777" w:rsidR="005707D0" w:rsidRPr="00AF2B46" w:rsidRDefault="005707D0" w:rsidP="00EA3EED">
            <w:pPr>
              <w:jc w:val="center"/>
              <w:rPr>
                <w:rFonts w:ascii="Times New Roman" w:hAnsi="Times New Roman" w:cs="Times New Roman"/>
                <w:b/>
                <w:lang w:val="en-US"/>
              </w:rPr>
            </w:pPr>
          </w:p>
        </w:tc>
        <w:tc>
          <w:tcPr>
            <w:tcW w:w="1354" w:type="dxa"/>
            <w:vMerge/>
          </w:tcPr>
          <w:p w14:paraId="5F5D6755" w14:textId="77777777" w:rsidR="005707D0" w:rsidRPr="00AF2B46" w:rsidRDefault="005707D0" w:rsidP="00EA3EED">
            <w:pPr>
              <w:jc w:val="center"/>
              <w:rPr>
                <w:rFonts w:ascii="Times New Roman" w:hAnsi="Times New Roman" w:cs="Times New Roman"/>
                <w:lang w:val="en-US"/>
              </w:rPr>
            </w:pPr>
          </w:p>
        </w:tc>
        <w:tc>
          <w:tcPr>
            <w:tcW w:w="1221" w:type="dxa"/>
          </w:tcPr>
          <w:p w14:paraId="1D521E6B" w14:textId="77777777" w:rsidR="005707D0" w:rsidRPr="00AF2B46" w:rsidRDefault="005707D0" w:rsidP="00EA3EED">
            <w:pPr>
              <w:jc w:val="center"/>
              <w:rPr>
                <w:rFonts w:ascii="Times New Roman" w:hAnsi="Times New Roman" w:cs="Times New Roman"/>
                <w:b/>
                <w:lang w:val="en-US"/>
              </w:rPr>
            </w:pPr>
            <w:r w:rsidRPr="00AF2B46">
              <w:rPr>
                <w:rFonts w:ascii="Times New Roman" w:hAnsi="Times New Roman" w:cs="Times New Roman"/>
                <w:lang w:val="en-US"/>
              </w:rPr>
              <w:t>ICD-10</w:t>
            </w:r>
          </w:p>
        </w:tc>
        <w:tc>
          <w:tcPr>
            <w:tcW w:w="3848" w:type="dxa"/>
          </w:tcPr>
          <w:p w14:paraId="7265AFFB" w14:textId="14EFB24B" w:rsidR="005707D0" w:rsidRPr="00AF2B46" w:rsidRDefault="005707D0" w:rsidP="004B761B">
            <w:pPr>
              <w:rPr>
                <w:rFonts w:ascii="Times New Roman" w:hAnsi="Times New Roman" w:cs="Times New Roman"/>
                <w:b/>
                <w:lang w:val="en-US"/>
              </w:rPr>
            </w:pPr>
            <w:r w:rsidRPr="00AF2B46">
              <w:rPr>
                <w:rFonts w:ascii="Times New Roman" w:hAnsi="Times New Roman" w:cs="Times New Roman"/>
                <w:lang w:val="en-US"/>
              </w:rPr>
              <w:t>G450, G451, G452, 161, 163, 164</w:t>
            </w:r>
          </w:p>
        </w:tc>
        <w:tc>
          <w:tcPr>
            <w:tcW w:w="4753" w:type="dxa"/>
            <w:vMerge/>
          </w:tcPr>
          <w:p w14:paraId="421D2A77" w14:textId="77777777" w:rsidR="005707D0" w:rsidRPr="00AF2B46" w:rsidRDefault="005707D0" w:rsidP="00EA3EED">
            <w:pPr>
              <w:jc w:val="center"/>
              <w:rPr>
                <w:rFonts w:ascii="Times New Roman" w:hAnsi="Times New Roman" w:cs="Times New Roman"/>
                <w:b/>
                <w:lang w:val="en-US"/>
              </w:rPr>
            </w:pPr>
          </w:p>
        </w:tc>
      </w:tr>
      <w:tr w:rsidR="002D3ECA" w:rsidRPr="00AF2B46" w14:paraId="2731D282" w14:textId="0AA530BD" w:rsidTr="003D494A">
        <w:trPr>
          <w:trHeight w:val="150"/>
        </w:trPr>
        <w:tc>
          <w:tcPr>
            <w:tcW w:w="1774" w:type="dxa"/>
            <w:vMerge w:val="restart"/>
          </w:tcPr>
          <w:p w14:paraId="52E3EE1D" w14:textId="2CA902F3" w:rsidR="005707D0" w:rsidRPr="00AF2B46" w:rsidRDefault="005707D0" w:rsidP="00817C68">
            <w:pPr>
              <w:rPr>
                <w:rFonts w:ascii="Times New Roman" w:hAnsi="Times New Roman" w:cs="Times New Roman"/>
                <w:lang w:val="en-US"/>
              </w:rPr>
            </w:pPr>
            <w:r w:rsidRPr="00AF2B46">
              <w:rPr>
                <w:rFonts w:ascii="Times New Roman" w:hAnsi="Times New Roman" w:cs="Times New Roman"/>
                <w:lang w:val="en-US"/>
              </w:rPr>
              <w:t xml:space="preserve">Seizures or epilepsy </w:t>
            </w:r>
            <w:r w:rsidR="001661CF">
              <w:rPr>
                <w:rFonts w:ascii="Times New Roman" w:hAnsi="Times New Roman" w:cs="Times New Roman"/>
                <w:lang w:val="en-US"/>
              </w:rPr>
              <w:t>(</w:t>
            </w:r>
            <w:r w:rsidR="00F55F4D">
              <w:rPr>
                <w:rFonts w:ascii="Times New Roman" w:hAnsi="Times New Roman" w:cs="Times New Roman"/>
                <w:lang w:val="en-US"/>
              </w:rPr>
              <w:t xml:space="preserve">exclusion criteria where used: </w:t>
            </w:r>
            <w:r w:rsidR="00B959FA">
              <w:rPr>
                <w:rFonts w:ascii="Times New Roman" w:hAnsi="Times New Roman" w:cs="Times New Roman"/>
                <w:lang w:val="en-US"/>
              </w:rPr>
              <w:t xml:space="preserve">[a] </w:t>
            </w:r>
            <w:r w:rsidR="001661CF">
              <w:rPr>
                <w:rFonts w:ascii="Times New Roman" w:hAnsi="Times New Roman" w:cs="Times New Roman"/>
                <w:lang w:val="en-US"/>
              </w:rPr>
              <w:t>prior seizures/epilepsy</w:t>
            </w:r>
            <w:r w:rsidR="00F55F4D">
              <w:rPr>
                <w:rFonts w:ascii="Times New Roman" w:hAnsi="Times New Roman" w:cs="Times New Roman"/>
                <w:lang w:val="en-US"/>
              </w:rPr>
              <w:t xml:space="preserve">, </w:t>
            </w:r>
            <w:r w:rsidR="00B959FA">
              <w:rPr>
                <w:rFonts w:ascii="Times New Roman" w:hAnsi="Times New Roman" w:cs="Times New Roman"/>
                <w:lang w:val="en-US"/>
              </w:rPr>
              <w:t xml:space="preserve">[b] </w:t>
            </w:r>
            <w:r w:rsidR="00F55F4D">
              <w:rPr>
                <w:rFonts w:ascii="Times New Roman" w:hAnsi="Times New Roman" w:cs="Times New Roman"/>
                <w:lang w:val="en-US"/>
              </w:rPr>
              <w:t>no</w:t>
            </w:r>
            <w:r w:rsidR="001661CF">
              <w:rPr>
                <w:rFonts w:ascii="Times New Roman" w:hAnsi="Times New Roman" w:cs="Times New Roman"/>
                <w:lang w:val="en-US"/>
              </w:rPr>
              <w:t xml:space="preserve"> seizure after stroke</w:t>
            </w:r>
            <w:r w:rsidR="00F55F4D">
              <w:rPr>
                <w:rFonts w:ascii="Times New Roman" w:hAnsi="Times New Roman" w:cs="Times New Roman"/>
                <w:lang w:val="en-US"/>
              </w:rPr>
              <w:t xml:space="preserve">, </w:t>
            </w:r>
            <w:r w:rsidR="00B959FA">
              <w:rPr>
                <w:rFonts w:ascii="Times New Roman" w:hAnsi="Times New Roman" w:cs="Times New Roman"/>
                <w:lang w:val="en-US"/>
              </w:rPr>
              <w:t xml:space="preserve">[c] </w:t>
            </w:r>
            <w:r w:rsidR="00F55F4D">
              <w:rPr>
                <w:rFonts w:ascii="Times New Roman" w:hAnsi="Times New Roman" w:cs="Times New Roman"/>
                <w:lang w:val="en-US"/>
              </w:rPr>
              <w:t>no seizure after two ASM trials</w:t>
            </w:r>
            <w:r w:rsidR="001661CF">
              <w:rPr>
                <w:rFonts w:ascii="Times New Roman" w:hAnsi="Times New Roman" w:cs="Times New Roman"/>
                <w:lang w:val="en-US"/>
              </w:rPr>
              <w:t>)</w:t>
            </w:r>
          </w:p>
        </w:tc>
        <w:tc>
          <w:tcPr>
            <w:tcW w:w="1354" w:type="dxa"/>
            <w:vMerge w:val="restart"/>
          </w:tcPr>
          <w:p w14:paraId="0D32A2FC" w14:textId="1A42B7A8" w:rsidR="005707D0" w:rsidRPr="00AF2B46" w:rsidRDefault="005707D0" w:rsidP="00817C68">
            <w:pPr>
              <w:jc w:val="center"/>
              <w:rPr>
                <w:rFonts w:ascii="Times New Roman" w:hAnsi="Times New Roman" w:cs="Times New Roman"/>
                <w:lang w:val="en-US"/>
              </w:rPr>
            </w:pPr>
            <w:r>
              <w:rPr>
                <w:rFonts w:ascii="Times New Roman" w:hAnsi="Times New Roman" w:cs="Times New Roman"/>
                <w:lang w:val="en-US"/>
              </w:rPr>
              <w:t>DAD, NACRS</w:t>
            </w:r>
          </w:p>
        </w:tc>
        <w:tc>
          <w:tcPr>
            <w:tcW w:w="1221" w:type="dxa"/>
          </w:tcPr>
          <w:p w14:paraId="6AA345DB" w14:textId="64A42F23" w:rsidR="005707D0" w:rsidRPr="00AF2B46" w:rsidRDefault="005707D0" w:rsidP="00817C68">
            <w:pPr>
              <w:jc w:val="center"/>
              <w:rPr>
                <w:rFonts w:ascii="Times New Roman" w:hAnsi="Times New Roman" w:cs="Times New Roman"/>
                <w:lang w:val="en-US"/>
              </w:rPr>
            </w:pPr>
            <w:r w:rsidRPr="00AF2B46">
              <w:rPr>
                <w:rFonts w:ascii="Times New Roman" w:hAnsi="Times New Roman" w:cs="Times New Roman"/>
                <w:lang w:val="en-US"/>
              </w:rPr>
              <w:t>ICD-9</w:t>
            </w:r>
          </w:p>
        </w:tc>
        <w:tc>
          <w:tcPr>
            <w:tcW w:w="3848" w:type="dxa"/>
          </w:tcPr>
          <w:p w14:paraId="14BBD820" w14:textId="17162039" w:rsidR="005707D0" w:rsidRPr="00AF2B46" w:rsidRDefault="00C50D69" w:rsidP="00817C68">
            <w:pPr>
              <w:rPr>
                <w:rFonts w:ascii="Times New Roman" w:hAnsi="Times New Roman" w:cs="Times New Roman"/>
                <w:lang w:val="en-US"/>
              </w:rPr>
            </w:pPr>
            <w:r w:rsidRPr="00AF2B46">
              <w:rPr>
                <w:rFonts w:ascii="Times New Roman" w:hAnsi="Times New Roman" w:cs="Times New Roman"/>
                <w:lang w:val="en-US"/>
              </w:rPr>
              <w:t xml:space="preserve">3332, </w:t>
            </w:r>
            <w:r w:rsidR="005707D0" w:rsidRPr="00AF2B46">
              <w:rPr>
                <w:rFonts w:ascii="Times New Roman" w:hAnsi="Times New Roman" w:cs="Times New Roman"/>
                <w:lang w:val="en-US"/>
              </w:rPr>
              <w:t>3450</w:t>
            </w:r>
            <w:r w:rsidR="004C4832">
              <w:rPr>
                <w:rFonts w:ascii="Times New Roman" w:hAnsi="Times New Roman" w:cs="Times New Roman"/>
                <w:lang w:val="en-US"/>
              </w:rPr>
              <w:t>-</w:t>
            </w:r>
            <w:r w:rsidR="005707D0" w:rsidRPr="00AF2B46">
              <w:rPr>
                <w:rFonts w:ascii="Times New Roman" w:hAnsi="Times New Roman" w:cs="Times New Roman"/>
                <w:lang w:val="en-US"/>
              </w:rPr>
              <w:t>3455, 3457</w:t>
            </w:r>
            <w:r w:rsidR="004C4832">
              <w:rPr>
                <w:rFonts w:ascii="Times New Roman" w:hAnsi="Times New Roman" w:cs="Times New Roman"/>
                <w:lang w:val="en-US"/>
              </w:rPr>
              <w:t>-</w:t>
            </w:r>
            <w:r w:rsidR="005707D0" w:rsidRPr="00AF2B46">
              <w:rPr>
                <w:rFonts w:ascii="Times New Roman" w:hAnsi="Times New Roman" w:cs="Times New Roman"/>
                <w:lang w:val="en-US"/>
              </w:rPr>
              <w:t xml:space="preserve">3459, 7803 </w:t>
            </w:r>
          </w:p>
        </w:tc>
        <w:tc>
          <w:tcPr>
            <w:tcW w:w="4753" w:type="dxa"/>
            <w:vMerge w:val="restart"/>
          </w:tcPr>
          <w:p w14:paraId="690293FD" w14:textId="4722AA87" w:rsidR="00941FA9" w:rsidRDefault="005707D0" w:rsidP="00817C68">
            <w:pPr>
              <w:rPr>
                <w:rFonts w:ascii="Times New Roman" w:hAnsi="Times New Roman" w:cs="Times New Roman"/>
                <w:lang w:val="en-US"/>
              </w:rPr>
            </w:pPr>
            <w:r w:rsidRPr="00AF2B46">
              <w:rPr>
                <w:rFonts w:ascii="Times New Roman" w:hAnsi="Times New Roman" w:cs="Times New Roman"/>
                <w:lang w:val="en-US"/>
              </w:rPr>
              <w:t xml:space="preserve">Detection of any code </w:t>
            </w:r>
            <w:r>
              <w:rPr>
                <w:rFonts w:ascii="Times New Roman" w:hAnsi="Times New Roman" w:cs="Times New Roman"/>
                <w:lang w:val="en-US"/>
              </w:rPr>
              <w:t>in any diagnostic position</w:t>
            </w:r>
            <w:r w:rsidR="00B959FA">
              <w:rPr>
                <w:rFonts w:ascii="Times New Roman" w:hAnsi="Times New Roman" w:cs="Times New Roman"/>
                <w:lang w:val="en-US"/>
              </w:rPr>
              <w:t xml:space="preserve"> for (a) and (b), and in the </w:t>
            </w:r>
            <w:r w:rsidR="005A4095">
              <w:rPr>
                <w:rFonts w:ascii="Times New Roman" w:hAnsi="Times New Roman" w:cs="Times New Roman"/>
                <w:lang w:val="en-US"/>
              </w:rPr>
              <w:t>most responsible diagnos</w:t>
            </w:r>
            <w:r w:rsidR="0042343F">
              <w:rPr>
                <w:rFonts w:ascii="Times New Roman" w:hAnsi="Times New Roman" w:cs="Times New Roman"/>
                <w:lang w:val="en-US"/>
              </w:rPr>
              <w:t>tic</w:t>
            </w:r>
            <w:r w:rsidR="00B959FA">
              <w:rPr>
                <w:rFonts w:ascii="Times New Roman" w:hAnsi="Times New Roman" w:cs="Times New Roman"/>
                <w:lang w:val="en-US"/>
              </w:rPr>
              <w:t xml:space="preserve"> position for (c)</w:t>
            </w:r>
            <w:r w:rsidR="0005619B">
              <w:rPr>
                <w:rFonts w:ascii="Times New Roman" w:hAnsi="Times New Roman" w:cs="Times New Roman"/>
                <w:lang w:val="en-US"/>
              </w:rPr>
              <w:t xml:space="preserve"> </w:t>
            </w:r>
            <w:r w:rsidR="00602C68">
              <w:rPr>
                <w:rFonts w:ascii="Times New Roman" w:hAnsi="Times New Roman" w:cs="Times New Roman"/>
                <w:lang w:val="en-US"/>
              </w:rPr>
              <w:t xml:space="preserve">– </w:t>
            </w:r>
            <w:r w:rsidR="00602C68" w:rsidRPr="00AF2B46">
              <w:rPr>
                <w:rFonts w:ascii="Times New Roman" w:hAnsi="Times New Roman" w:cs="Times New Roman"/>
                <w:lang w:val="en-US"/>
              </w:rPr>
              <w:t>algorithm not validated</w:t>
            </w:r>
          </w:p>
          <w:p w14:paraId="055EF6E1" w14:textId="2E72242D" w:rsidR="005707D0" w:rsidRPr="00490275" w:rsidRDefault="00666FCA" w:rsidP="00490275">
            <w:pPr>
              <w:pStyle w:val="ListParagraph"/>
              <w:numPr>
                <w:ilvl w:val="0"/>
                <w:numId w:val="5"/>
              </w:numPr>
              <w:rPr>
                <w:rFonts w:ascii="Times New Roman" w:hAnsi="Times New Roman" w:cs="Times New Roman"/>
                <w:lang w:val="en-US"/>
              </w:rPr>
            </w:pPr>
            <w:r w:rsidRPr="00490275">
              <w:rPr>
                <w:rFonts w:ascii="Times New Roman" w:hAnsi="Times New Roman" w:cs="Times New Roman"/>
                <w:lang w:val="en-US"/>
              </w:rPr>
              <w:t>ICD</w:t>
            </w:r>
            <w:r w:rsidR="006A754F">
              <w:rPr>
                <w:rFonts w:ascii="Times New Roman" w:hAnsi="Times New Roman" w:cs="Times New Roman"/>
                <w:lang w:val="en-US"/>
              </w:rPr>
              <w:t>-9 and ICD-10</w:t>
            </w:r>
            <w:r w:rsidRPr="00490275">
              <w:rPr>
                <w:rFonts w:ascii="Times New Roman" w:hAnsi="Times New Roman" w:cs="Times New Roman"/>
                <w:lang w:val="en-US"/>
              </w:rPr>
              <w:t xml:space="preserve"> </w:t>
            </w:r>
            <w:r w:rsidR="009C71C9" w:rsidRPr="00490275">
              <w:rPr>
                <w:rFonts w:ascii="Times New Roman" w:hAnsi="Times New Roman" w:cs="Times New Roman"/>
                <w:lang w:val="en-US"/>
              </w:rPr>
              <w:t xml:space="preserve">codes </w:t>
            </w:r>
            <w:r w:rsidR="004E4DD1" w:rsidRPr="00490275">
              <w:rPr>
                <w:rFonts w:ascii="Times New Roman" w:hAnsi="Times New Roman" w:cs="Times New Roman"/>
                <w:lang w:val="en-US"/>
              </w:rPr>
              <w:t xml:space="preserve">selected </w:t>
            </w:r>
            <w:r w:rsidR="009C71C9" w:rsidRPr="00490275">
              <w:rPr>
                <w:rFonts w:ascii="Times New Roman" w:hAnsi="Times New Roman" w:cs="Times New Roman"/>
                <w:lang w:val="en-US"/>
              </w:rPr>
              <w:t xml:space="preserve">from </w:t>
            </w:r>
            <w:proofErr w:type="spellStart"/>
            <w:r w:rsidR="009C71C9" w:rsidRPr="00490275">
              <w:rPr>
                <w:rFonts w:ascii="Times New Roman" w:hAnsi="Times New Roman" w:cs="Times New Roman"/>
                <w:lang w:val="en-US"/>
              </w:rPr>
              <w:t>Jette</w:t>
            </w:r>
            <w:proofErr w:type="spellEnd"/>
            <w:r w:rsidR="009C71C9" w:rsidRPr="00490275">
              <w:rPr>
                <w:rFonts w:ascii="Times New Roman" w:hAnsi="Times New Roman" w:cs="Times New Roman"/>
                <w:lang w:val="en-US"/>
              </w:rPr>
              <w:t xml:space="preserve"> et al.</w:t>
            </w:r>
            <w:r w:rsidR="009C71C9" w:rsidRPr="00490275">
              <w:rPr>
                <w:rFonts w:ascii="Times New Roman" w:hAnsi="Times New Roman" w:cs="Times New Roman"/>
                <w:lang w:val="en-US"/>
              </w:rPr>
              <w:fldChar w:fldCharType="begin" w:fldLock="1"/>
            </w:r>
            <w:r w:rsidR="009C71C9" w:rsidRPr="00490275">
              <w:rPr>
                <w:rFonts w:ascii="Times New Roman" w:hAnsi="Times New Roman" w:cs="Times New Roman"/>
                <w:lang w:val="en-US"/>
              </w:rPr>
              <w:instrText>ADDIN CSL_CITATION {"citationItems":[{"id":"ITEM-1","itemData":{"DOI":"10.1111/epi.12895","ISBN":"1528-1167 (Electronic)\\r0013-9580 (Linking)","ISSN":"15281167","PMID":"25684068","abstract":"SUMMARY The World Health Organization (WHO) International Classification of Diseases (ICD) has been used to classify causes of morbidity and mortality such as epi-lepsy for more than 50 years. The aims of this critical commentary are to do the following: (1) Introduce the ICD classification, summarize the ICD-9 and ICD-10 codes for epilepsy and seizures, and discuss the challenges of mapping epilepsy codes between these two versions; (2) discuss how the ICD-9 and ICD-10 relate to the revised International League Against Epilepsy (ILAE) terminology and con-cepts for classification of seizures and epilepsies; (3) discuss how ICD-coded data have been used for epilepsy care and research and briefly examine the potential impact of the international ICD-10 clinical modifications on research; (4) discuss the upcoming ICD-11 codes and the role of the epilepsy community in their development; and (5) discuss how the ICD-11 will conform more closely to the current ILAE terminology and classification of the epilepsies and seizures and its potential impact on clinical care, surveillance, and public health and research.","author":[{"dropping-particle":"","family":"Jette","given":"Nathalie","non-dropping-particle":"","parse-names":false,"suffix":""},{"dropping-particle":"","family":"Beghi","given":"Ettore","non-dropping-particle":"","parse-names":false,"suffix":""},{"dropping-particle":"","family":"Hesdorffer","given":"Dale","non-dropping-particle":"","parse-names":false,"suffix":""},{"dropping-particle":"","family":"Moshé","given":"Solomon L.","non-dropping-particle":"","parse-names":false,"suffix":""},{"dropping-particle":"","family":"Zuberi","given":"Sameer M.","non-dropping-particle":"","parse-names":false,"suffix":""},{"dropping-particle":"","family":"Medina","given":"Marco T.","non-dropping-particle":"","parse-names":false,"suffix":""},{"dropping-particle":"","family":"Bergen","given":"Donna","non-dropping-particle":"","parse-names":false,"suffix":""}],"container-title":"Epilepsia","id":"ITEM-1","issue":"3","issued":{"date-parts":[["2015"]]},"page":"348-355","title":"ICD coding for epilepsy: past, present, and future - a report by the International League Against Epilepsy Task Force on ICD codes in epilepsy","type":"article-journal","volume":"56"},"uris":["http://www.mendeley.com/documents/?uuid=361d1dd6-d9ca-4d71-aa2b-cd43e2f76d91"]}],"mendeley":{"formattedCitation":"(12)","plainTextFormattedCitation":"(12)","previouslyFormattedCitation":"(12)"},"properties":{"noteIndex":0},"schema":"https://github.com/citation-style-language/schema/raw/master/csl-citation.json"}</w:instrText>
            </w:r>
            <w:r w:rsidR="009C71C9" w:rsidRPr="00490275">
              <w:rPr>
                <w:rFonts w:ascii="Times New Roman" w:hAnsi="Times New Roman" w:cs="Times New Roman"/>
                <w:lang w:val="en-US"/>
              </w:rPr>
              <w:fldChar w:fldCharType="separate"/>
            </w:r>
            <w:r w:rsidR="009C71C9" w:rsidRPr="00490275">
              <w:rPr>
                <w:rFonts w:ascii="Times New Roman" w:hAnsi="Times New Roman" w:cs="Times New Roman"/>
                <w:noProof/>
                <w:lang w:val="en-US"/>
              </w:rPr>
              <w:t>(12)</w:t>
            </w:r>
            <w:r w:rsidR="009C71C9" w:rsidRPr="00490275">
              <w:rPr>
                <w:rFonts w:ascii="Times New Roman" w:hAnsi="Times New Roman" w:cs="Times New Roman"/>
                <w:lang w:val="en-US"/>
              </w:rPr>
              <w:fldChar w:fldCharType="end"/>
            </w:r>
            <w:r w:rsidR="0005619B" w:rsidRPr="00490275">
              <w:rPr>
                <w:rFonts w:ascii="Times New Roman" w:hAnsi="Times New Roman" w:cs="Times New Roman"/>
                <w:lang w:val="en-US"/>
              </w:rPr>
              <w:t xml:space="preserve"> </w:t>
            </w:r>
          </w:p>
        </w:tc>
      </w:tr>
      <w:tr w:rsidR="002D3ECA" w:rsidRPr="00AF2B46" w14:paraId="6ECC71C4" w14:textId="13F826E5" w:rsidTr="003D494A">
        <w:trPr>
          <w:trHeight w:val="101"/>
        </w:trPr>
        <w:tc>
          <w:tcPr>
            <w:tcW w:w="1774" w:type="dxa"/>
            <w:vMerge/>
          </w:tcPr>
          <w:p w14:paraId="3D65849E" w14:textId="77777777" w:rsidR="005707D0" w:rsidRPr="00AF2B46" w:rsidRDefault="005707D0" w:rsidP="00817C68">
            <w:pPr>
              <w:rPr>
                <w:rFonts w:ascii="Times New Roman" w:hAnsi="Times New Roman" w:cs="Times New Roman"/>
                <w:lang w:val="en-US"/>
              </w:rPr>
            </w:pPr>
          </w:p>
        </w:tc>
        <w:tc>
          <w:tcPr>
            <w:tcW w:w="1354" w:type="dxa"/>
            <w:vMerge/>
          </w:tcPr>
          <w:p w14:paraId="7A9D6E7F" w14:textId="77777777" w:rsidR="005707D0" w:rsidRPr="00AF2B46" w:rsidRDefault="005707D0" w:rsidP="00817C68">
            <w:pPr>
              <w:jc w:val="center"/>
              <w:rPr>
                <w:rFonts w:ascii="Times New Roman" w:hAnsi="Times New Roman" w:cs="Times New Roman"/>
                <w:lang w:val="en-US"/>
              </w:rPr>
            </w:pPr>
          </w:p>
        </w:tc>
        <w:tc>
          <w:tcPr>
            <w:tcW w:w="1221" w:type="dxa"/>
          </w:tcPr>
          <w:p w14:paraId="04A4FAD2" w14:textId="77777777" w:rsidR="005707D0" w:rsidRPr="00AF2B46" w:rsidRDefault="005707D0" w:rsidP="00817C68">
            <w:pPr>
              <w:jc w:val="center"/>
              <w:rPr>
                <w:rFonts w:ascii="Times New Roman" w:hAnsi="Times New Roman" w:cs="Times New Roman"/>
                <w:lang w:val="en-US"/>
              </w:rPr>
            </w:pPr>
            <w:r w:rsidRPr="00AF2B46">
              <w:rPr>
                <w:rFonts w:ascii="Times New Roman" w:hAnsi="Times New Roman" w:cs="Times New Roman"/>
                <w:lang w:val="en-US"/>
              </w:rPr>
              <w:t>ICD-10</w:t>
            </w:r>
          </w:p>
        </w:tc>
        <w:tc>
          <w:tcPr>
            <w:tcW w:w="3848" w:type="dxa"/>
          </w:tcPr>
          <w:p w14:paraId="4837075B" w14:textId="5B044DBF" w:rsidR="005707D0" w:rsidRPr="00AF2B46" w:rsidRDefault="005707D0" w:rsidP="00817C68">
            <w:pPr>
              <w:rPr>
                <w:rFonts w:ascii="Times New Roman" w:hAnsi="Times New Roman" w:cs="Times New Roman"/>
                <w:lang w:val="en-US"/>
              </w:rPr>
            </w:pPr>
            <w:r w:rsidRPr="00AF2B46">
              <w:rPr>
                <w:rFonts w:ascii="Times New Roman" w:hAnsi="Times New Roman" w:cs="Times New Roman"/>
                <w:lang w:val="en-US"/>
              </w:rPr>
              <w:t xml:space="preserve">G40, G41 </w:t>
            </w:r>
          </w:p>
        </w:tc>
        <w:tc>
          <w:tcPr>
            <w:tcW w:w="4753" w:type="dxa"/>
            <w:vMerge/>
          </w:tcPr>
          <w:p w14:paraId="02220953" w14:textId="77777777" w:rsidR="005707D0" w:rsidRPr="00AF2B46" w:rsidRDefault="005707D0" w:rsidP="00817C68">
            <w:pPr>
              <w:rPr>
                <w:rFonts w:ascii="Times New Roman" w:hAnsi="Times New Roman" w:cs="Times New Roman"/>
                <w:lang w:val="en-US"/>
              </w:rPr>
            </w:pPr>
          </w:p>
        </w:tc>
      </w:tr>
      <w:tr w:rsidR="002D3ECA" w:rsidRPr="00AF2B46" w14:paraId="5DFEEFAF" w14:textId="465A673F" w:rsidTr="003D494A">
        <w:trPr>
          <w:trHeight w:val="99"/>
        </w:trPr>
        <w:tc>
          <w:tcPr>
            <w:tcW w:w="1774" w:type="dxa"/>
            <w:vMerge/>
          </w:tcPr>
          <w:p w14:paraId="34356A63" w14:textId="77777777" w:rsidR="005707D0" w:rsidRPr="00AF2B46" w:rsidRDefault="005707D0" w:rsidP="00817C68">
            <w:pPr>
              <w:rPr>
                <w:rFonts w:ascii="Times New Roman" w:hAnsi="Times New Roman" w:cs="Times New Roman"/>
                <w:lang w:val="en-US"/>
              </w:rPr>
            </w:pPr>
          </w:p>
        </w:tc>
        <w:tc>
          <w:tcPr>
            <w:tcW w:w="1354" w:type="dxa"/>
          </w:tcPr>
          <w:p w14:paraId="003F1E07" w14:textId="29ED62F8" w:rsidR="005707D0" w:rsidRPr="00AF2B46" w:rsidRDefault="005707D0" w:rsidP="00817C68">
            <w:pPr>
              <w:jc w:val="center"/>
              <w:rPr>
                <w:rFonts w:ascii="Times New Roman" w:hAnsi="Times New Roman" w:cs="Times New Roman"/>
                <w:lang w:val="en-US"/>
              </w:rPr>
            </w:pPr>
            <w:r>
              <w:rPr>
                <w:rFonts w:ascii="Times New Roman" w:hAnsi="Times New Roman" w:cs="Times New Roman"/>
                <w:lang w:val="en-US"/>
              </w:rPr>
              <w:t>OHIP</w:t>
            </w:r>
          </w:p>
        </w:tc>
        <w:tc>
          <w:tcPr>
            <w:tcW w:w="1221" w:type="dxa"/>
          </w:tcPr>
          <w:p w14:paraId="106F9FA7" w14:textId="142886AD" w:rsidR="005707D0" w:rsidRPr="00AF2B46" w:rsidRDefault="005707D0" w:rsidP="00817C68">
            <w:pPr>
              <w:jc w:val="center"/>
              <w:rPr>
                <w:rFonts w:ascii="Times New Roman" w:hAnsi="Times New Roman" w:cs="Times New Roman"/>
                <w:lang w:val="en-US"/>
              </w:rPr>
            </w:pPr>
            <w:r w:rsidRPr="00AF2B46">
              <w:rPr>
                <w:rFonts w:ascii="Times New Roman" w:hAnsi="Times New Roman" w:cs="Times New Roman"/>
                <w:lang w:val="en-US"/>
              </w:rPr>
              <w:t>OHIP diagnostic code</w:t>
            </w:r>
          </w:p>
        </w:tc>
        <w:tc>
          <w:tcPr>
            <w:tcW w:w="3848" w:type="dxa"/>
          </w:tcPr>
          <w:p w14:paraId="254C8A7C" w14:textId="77777777" w:rsidR="005707D0" w:rsidRPr="00AF2B46" w:rsidRDefault="005707D0" w:rsidP="00817C68">
            <w:pPr>
              <w:rPr>
                <w:rFonts w:ascii="Times New Roman" w:hAnsi="Times New Roman" w:cs="Times New Roman"/>
                <w:lang w:val="en-US"/>
              </w:rPr>
            </w:pPr>
            <w:r w:rsidRPr="00AF2B46">
              <w:rPr>
                <w:rFonts w:ascii="Times New Roman" w:hAnsi="Times New Roman" w:cs="Times New Roman"/>
                <w:lang w:val="en-US"/>
              </w:rPr>
              <w:t>345</w:t>
            </w:r>
          </w:p>
        </w:tc>
        <w:tc>
          <w:tcPr>
            <w:tcW w:w="4753" w:type="dxa"/>
            <w:vMerge/>
          </w:tcPr>
          <w:p w14:paraId="04697D77" w14:textId="77777777" w:rsidR="005707D0" w:rsidRPr="00AF2B46" w:rsidRDefault="005707D0" w:rsidP="00817C68">
            <w:pPr>
              <w:rPr>
                <w:rFonts w:ascii="Times New Roman" w:hAnsi="Times New Roman" w:cs="Times New Roman"/>
                <w:lang w:val="en-US"/>
              </w:rPr>
            </w:pPr>
          </w:p>
        </w:tc>
      </w:tr>
      <w:tr w:rsidR="002D3ECA" w:rsidRPr="00AF2B46" w14:paraId="2960027F" w14:textId="59002BB9" w:rsidTr="003D494A">
        <w:trPr>
          <w:trHeight w:val="101"/>
        </w:trPr>
        <w:tc>
          <w:tcPr>
            <w:tcW w:w="1774" w:type="dxa"/>
            <w:vMerge w:val="restart"/>
          </w:tcPr>
          <w:p w14:paraId="0989E813" w14:textId="77777777" w:rsidR="005707D0" w:rsidRPr="008E71AE" w:rsidRDefault="005707D0" w:rsidP="00817C68">
            <w:pPr>
              <w:rPr>
                <w:rFonts w:ascii="Times New Roman" w:hAnsi="Times New Roman" w:cs="Times New Roman"/>
                <w:lang w:val="en-US"/>
              </w:rPr>
            </w:pPr>
            <w:r w:rsidRPr="008E71AE">
              <w:rPr>
                <w:rFonts w:ascii="Times New Roman" w:hAnsi="Times New Roman" w:cs="Times New Roman"/>
                <w:lang w:val="en-US"/>
              </w:rPr>
              <w:t xml:space="preserve">Brain Surgery </w:t>
            </w:r>
          </w:p>
        </w:tc>
        <w:tc>
          <w:tcPr>
            <w:tcW w:w="1354" w:type="dxa"/>
            <w:vMerge w:val="restart"/>
          </w:tcPr>
          <w:p w14:paraId="0A98DBCD" w14:textId="7E22183A" w:rsidR="005707D0" w:rsidRPr="008E71AE" w:rsidRDefault="005707D0" w:rsidP="00817C68">
            <w:pPr>
              <w:jc w:val="center"/>
              <w:rPr>
                <w:rFonts w:ascii="Times New Roman" w:hAnsi="Times New Roman" w:cs="Times New Roman"/>
                <w:lang w:val="en-US"/>
              </w:rPr>
            </w:pPr>
            <w:r w:rsidRPr="008E71AE">
              <w:rPr>
                <w:rFonts w:ascii="Times New Roman" w:hAnsi="Times New Roman" w:cs="Times New Roman"/>
                <w:lang w:val="en-US"/>
              </w:rPr>
              <w:t xml:space="preserve">DAD, </w:t>
            </w:r>
            <w:r w:rsidR="002D3ECA">
              <w:rPr>
                <w:rFonts w:ascii="Times New Roman" w:hAnsi="Times New Roman" w:cs="Times New Roman"/>
                <w:lang w:val="en-US"/>
              </w:rPr>
              <w:t>SDS</w:t>
            </w:r>
          </w:p>
        </w:tc>
        <w:tc>
          <w:tcPr>
            <w:tcW w:w="1221" w:type="dxa"/>
          </w:tcPr>
          <w:p w14:paraId="2534F21C" w14:textId="77777777" w:rsidR="005707D0" w:rsidRPr="008E71AE" w:rsidRDefault="005707D0" w:rsidP="00817C68">
            <w:pPr>
              <w:jc w:val="center"/>
              <w:rPr>
                <w:rFonts w:ascii="Times New Roman" w:hAnsi="Times New Roman" w:cs="Times New Roman"/>
                <w:lang w:val="en-US"/>
              </w:rPr>
            </w:pPr>
            <w:r w:rsidRPr="008E71AE">
              <w:rPr>
                <w:rFonts w:ascii="Times New Roman" w:hAnsi="Times New Roman" w:cs="Times New Roman"/>
                <w:lang w:val="en-US"/>
              </w:rPr>
              <w:t>CCP</w:t>
            </w:r>
            <w:r w:rsidRPr="002D3ECA">
              <w:rPr>
                <w:rFonts w:ascii="Times New Roman" w:hAnsi="Times New Roman" w:cs="Times New Roman"/>
                <w:lang w:val="en-US"/>
              </w:rPr>
              <w:t>*</w:t>
            </w:r>
          </w:p>
        </w:tc>
        <w:tc>
          <w:tcPr>
            <w:tcW w:w="3848" w:type="dxa"/>
          </w:tcPr>
          <w:p w14:paraId="7B38DD35" w14:textId="482F004F" w:rsidR="007054FF" w:rsidRPr="007054FF" w:rsidRDefault="008C3842" w:rsidP="00817C68">
            <w:pPr>
              <w:rPr>
                <w:rFonts w:ascii="Times New Roman" w:hAnsi="Times New Roman" w:cs="Times New Roman"/>
                <w:lang w:val="en-US"/>
              </w:rPr>
            </w:pPr>
            <w:r>
              <w:rPr>
                <w:rFonts w:ascii="Times New Roman" w:hAnsi="Times New Roman" w:cs="Times New Roman"/>
                <w:lang w:val="en-US"/>
              </w:rPr>
              <w:t>14.2</w:t>
            </w:r>
            <w:r w:rsidR="005B4E3A">
              <w:rPr>
                <w:rFonts w:ascii="Times New Roman" w:hAnsi="Times New Roman" w:cs="Times New Roman"/>
                <w:lang w:val="en-US"/>
              </w:rPr>
              <w:t>-</w:t>
            </w:r>
            <w:r>
              <w:rPr>
                <w:rFonts w:ascii="Times New Roman" w:hAnsi="Times New Roman" w:cs="Times New Roman"/>
                <w:lang w:val="en-US"/>
              </w:rPr>
              <w:t>14.</w:t>
            </w:r>
            <w:r w:rsidR="005B4E3A">
              <w:rPr>
                <w:rFonts w:ascii="Times New Roman" w:hAnsi="Times New Roman" w:cs="Times New Roman"/>
                <w:lang w:val="en-US"/>
              </w:rPr>
              <w:t xml:space="preserve">8, </w:t>
            </w:r>
            <w:r w:rsidR="00BB30AD">
              <w:rPr>
                <w:rFonts w:ascii="Times New Roman" w:hAnsi="Times New Roman" w:cs="Times New Roman"/>
                <w:lang w:val="en-US"/>
              </w:rPr>
              <w:t xml:space="preserve">15.02, 15.14, </w:t>
            </w:r>
            <w:r w:rsidR="008E591C">
              <w:rPr>
                <w:rFonts w:ascii="Times New Roman" w:hAnsi="Times New Roman" w:cs="Times New Roman"/>
                <w:lang w:val="en-US"/>
              </w:rPr>
              <w:t>15.2, 15.9</w:t>
            </w:r>
          </w:p>
        </w:tc>
        <w:tc>
          <w:tcPr>
            <w:tcW w:w="4753" w:type="dxa"/>
            <w:vMerge w:val="restart"/>
          </w:tcPr>
          <w:p w14:paraId="4F8B2D91" w14:textId="3A92F944" w:rsidR="005707D0" w:rsidRPr="008E71AE" w:rsidRDefault="005707D0" w:rsidP="00817C68">
            <w:pPr>
              <w:rPr>
                <w:rFonts w:ascii="Times New Roman" w:hAnsi="Times New Roman" w:cs="Times New Roman"/>
                <w:lang w:val="en-US"/>
              </w:rPr>
            </w:pPr>
            <w:r w:rsidRPr="008E71AE">
              <w:rPr>
                <w:rFonts w:ascii="Times New Roman" w:hAnsi="Times New Roman" w:cs="Times New Roman"/>
                <w:lang w:val="en-US"/>
              </w:rPr>
              <w:t>Detection of any code</w:t>
            </w:r>
            <w:r w:rsidR="00EF1881">
              <w:rPr>
                <w:rFonts w:ascii="Times New Roman" w:hAnsi="Times New Roman" w:cs="Times New Roman"/>
                <w:lang w:val="en-US"/>
              </w:rPr>
              <w:t xml:space="preserve"> in any diagnostic position</w:t>
            </w:r>
            <w:r w:rsidR="008E591C">
              <w:rPr>
                <w:rFonts w:ascii="Times New Roman" w:hAnsi="Times New Roman" w:cs="Times New Roman"/>
                <w:lang w:val="en-US"/>
              </w:rPr>
              <w:t xml:space="preserve"> – algorithm not validated</w:t>
            </w:r>
          </w:p>
        </w:tc>
      </w:tr>
      <w:tr w:rsidR="002D3ECA" w:rsidRPr="00AF2B46" w14:paraId="5B72A562" w14:textId="0DBD0F63" w:rsidTr="003D494A">
        <w:trPr>
          <w:trHeight w:val="99"/>
        </w:trPr>
        <w:tc>
          <w:tcPr>
            <w:tcW w:w="1774" w:type="dxa"/>
            <w:vMerge/>
          </w:tcPr>
          <w:p w14:paraId="634C8E69" w14:textId="77777777" w:rsidR="005707D0" w:rsidRPr="00AF2B46" w:rsidRDefault="005707D0" w:rsidP="00817C68">
            <w:pPr>
              <w:rPr>
                <w:rFonts w:ascii="Times New Roman" w:hAnsi="Times New Roman" w:cs="Times New Roman"/>
                <w:lang w:val="en-US"/>
              </w:rPr>
            </w:pPr>
          </w:p>
        </w:tc>
        <w:tc>
          <w:tcPr>
            <w:tcW w:w="1354" w:type="dxa"/>
            <w:vMerge/>
          </w:tcPr>
          <w:p w14:paraId="0B004EE7" w14:textId="77777777" w:rsidR="005707D0" w:rsidRPr="00AF2B46" w:rsidRDefault="005707D0" w:rsidP="00817C68">
            <w:pPr>
              <w:jc w:val="center"/>
              <w:rPr>
                <w:rFonts w:ascii="Times New Roman" w:hAnsi="Times New Roman" w:cs="Times New Roman"/>
                <w:lang w:val="en-US"/>
              </w:rPr>
            </w:pPr>
          </w:p>
        </w:tc>
        <w:tc>
          <w:tcPr>
            <w:tcW w:w="1221" w:type="dxa"/>
          </w:tcPr>
          <w:p w14:paraId="25DFB7F4" w14:textId="77777777" w:rsidR="005707D0" w:rsidRPr="00AF2B46" w:rsidRDefault="005707D0" w:rsidP="00817C68">
            <w:pPr>
              <w:jc w:val="center"/>
              <w:rPr>
                <w:rFonts w:ascii="Times New Roman" w:hAnsi="Times New Roman" w:cs="Times New Roman"/>
                <w:lang w:val="en-US"/>
              </w:rPr>
            </w:pPr>
            <w:r w:rsidRPr="008E71AE">
              <w:rPr>
                <w:rFonts w:ascii="Times New Roman" w:hAnsi="Times New Roman" w:cs="Times New Roman"/>
                <w:lang w:val="en-US"/>
              </w:rPr>
              <w:t>CCI*</w:t>
            </w:r>
          </w:p>
        </w:tc>
        <w:tc>
          <w:tcPr>
            <w:tcW w:w="3848" w:type="dxa"/>
          </w:tcPr>
          <w:p w14:paraId="12A0E2C9" w14:textId="227907B2" w:rsidR="008D1824" w:rsidRPr="00CF4D0B" w:rsidRDefault="002E6248" w:rsidP="00A3277A">
            <w:pPr>
              <w:rPr>
                <w:rFonts w:ascii="Times New Roman" w:hAnsi="Times New Roman" w:cs="Times New Roman"/>
                <w:lang w:val="en-US"/>
              </w:rPr>
            </w:pPr>
            <w:r>
              <w:rPr>
                <w:rFonts w:ascii="Times New Roman" w:hAnsi="Times New Roman" w:cs="Times New Roman"/>
                <w:lang w:val="en-US"/>
              </w:rPr>
              <w:t xml:space="preserve">1AA, </w:t>
            </w:r>
            <w:r w:rsidR="00042F61" w:rsidRPr="00042F61">
              <w:rPr>
                <w:rFonts w:ascii="Times New Roman" w:hAnsi="Times New Roman" w:cs="Times New Roman"/>
                <w:lang w:val="en-US"/>
              </w:rPr>
              <w:t>1AB52MESJ</w:t>
            </w:r>
            <w:r w:rsidR="00042F61">
              <w:rPr>
                <w:rFonts w:ascii="Times New Roman" w:hAnsi="Times New Roman" w:cs="Times New Roman"/>
                <w:lang w:val="en-US"/>
              </w:rPr>
              <w:t xml:space="preserve">, </w:t>
            </w:r>
            <w:r w:rsidR="00042F61" w:rsidRPr="00042F61">
              <w:rPr>
                <w:rFonts w:ascii="Times New Roman" w:hAnsi="Times New Roman" w:cs="Times New Roman"/>
                <w:lang w:val="en-US"/>
              </w:rPr>
              <w:t>1AB52MFSJ</w:t>
            </w:r>
            <w:r w:rsidR="00042F61">
              <w:rPr>
                <w:rFonts w:ascii="Times New Roman" w:hAnsi="Times New Roman" w:cs="Times New Roman"/>
                <w:lang w:val="en-US"/>
              </w:rPr>
              <w:t xml:space="preserve">, </w:t>
            </w:r>
            <w:r w:rsidR="00042F61" w:rsidRPr="00042F61">
              <w:rPr>
                <w:rFonts w:ascii="Times New Roman" w:hAnsi="Times New Roman" w:cs="Times New Roman"/>
                <w:lang w:val="en-US"/>
              </w:rPr>
              <w:t>1AB52MQSJ</w:t>
            </w:r>
            <w:r w:rsidR="00042F61">
              <w:rPr>
                <w:rFonts w:ascii="Times New Roman" w:hAnsi="Times New Roman" w:cs="Times New Roman"/>
                <w:lang w:val="en-US"/>
              </w:rPr>
              <w:t>, 1AC,</w:t>
            </w:r>
            <w:r w:rsidR="00E851CA">
              <w:rPr>
                <w:rFonts w:ascii="Times New Roman" w:hAnsi="Times New Roman" w:cs="Times New Roman"/>
                <w:lang w:val="en-US"/>
              </w:rPr>
              <w:t xml:space="preserve"> </w:t>
            </w:r>
            <w:r w:rsidR="00E851CA" w:rsidRPr="00E851CA">
              <w:rPr>
                <w:rFonts w:ascii="Times New Roman" w:hAnsi="Times New Roman" w:cs="Times New Roman"/>
                <w:lang w:val="en-US"/>
              </w:rPr>
              <w:t>1AF27JA</w:t>
            </w:r>
            <w:r w:rsidR="00E851CA">
              <w:rPr>
                <w:rFonts w:ascii="Times New Roman" w:hAnsi="Times New Roman" w:cs="Times New Roman"/>
                <w:lang w:val="en-US"/>
              </w:rPr>
              <w:t xml:space="preserve">, </w:t>
            </w:r>
            <w:r w:rsidR="005B3227" w:rsidRPr="005B3227">
              <w:rPr>
                <w:rFonts w:ascii="Times New Roman" w:hAnsi="Times New Roman" w:cs="Times New Roman"/>
                <w:lang w:val="en-US"/>
              </w:rPr>
              <w:t>1AF27JX</w:t>
            </w:r>
            <w:r w:rsidR="005B3227">
              <w:rPr>
                <w:rFonts w:ascii="Times New Roman" w:hAnsi="Times New Roman" w:cs="Times New Roman"/>
                <w:lang w:val="en-US"/>
              </w:rPr>
              <w:t xml:space="preserve">, </w:t>
            </w:r>
            <w:r w:rsidR="005B3227" w:rsidRPr="005B3227">
              <w:rPr>
                <w:rFonts w:ascii="Times New Roman" w:hAnsi="Times New Roman" w:cs="Times New Roman"/>
                <w:lang w:val="en-US"/>
              </w:rPr>
              <w:t>1AF52SZ</w:t>
            </w:r>
            <w:r w:rsidR="00B710D1">
              <w:rPr>
                <w:rFonts w:ascii="Times New Roman" w:hAnsi="Times New Roman" w:cs="Times New Roman"/>
                <w:lang w:val="en-US"/>
              </w:rPr>
              <w:t xml:space="preserve">, </w:t>
            </w:r>
            <w:r w:rsidR="00B710D1" w:rsidRPr="00B710D1">
              <w:rPr>
                <w:rFonts w:ascii="Times New Roman" w:hAnsi="Times New Roman" w:cs="Times New Roman"/>
                <w:lang w:val="en-US"/>
              </w:rPr>
              <w:t>1AF53SEQS</w:t>
            </w:r>
            <w:r w:rsidR="00B710D1">
              <w:rPr>
                <w:rFonts w:ascii="Times New Roman" w:hAnsi="Times New Roman" w:cs="Times New Roman"/>
                <w:lang w:val="en-US"/>
              </w:rPr>
              <w:t xml:space="preserve">, </w:t>
            </w:r>
            <w:r w:rsidR="00EB503B" w:rsidRPr="00EB503B">
              <w:rPr>
                <w:rFonts w:ascii="Times New Roman" w:hAnsi="Times New Roman" w:cs="Times New Roman"/>
                <w:lang w:val="en-US"/>
              </w:rPr>
              <w:t>1AF54HAQS</w:t>
            </w:r>
            <w:r w:rsidR="00EB503B">
              <w:rPr>
                <w:rFonts w:ascii="Times New Roman" w:hAnsi="Times New Roman" w:cs="Times New Roman"/>
                <w:lang w:val="en-US"/>
              </w:rPr>
              <w:t xml:space="preserve">, </w:t>
            </w:r>
            <w:r w:rsidR="00EB503B" w:rsidRPr="00EB503B">
              <w:rPr>
                <w:rFonts w:ascii="Times New Roman" w:hAnsi="Times New Roman" w:cs="Times New Roman"/>
                <w:lang w:val="en-US"/>
              </w:rPr>
              <w:t>1AF54SEQS</w:t>
            </w:r>
            <w:r w:rsidR="00EB503B">
              <w:rPr>
                <w:rFonts w:ascii="Times New Roman" w:hAnsi="Times New Roman" w:cs="Times New Roman"/>
                <w:lang w:val="en-US"/>
              </w:rPr>
              <w:t xml:space="preserve">, </w:t>
            </w:r>
            <w:r w:rsidR="00EB503B" w:rsidRPr="00EB503B">
              <w:rPr>
                <w:rFonts w:ascii="Times New Roman" w:hAnsi="Times New Roman" w:cs="Times New Roman"/>
                <w:lang w:val="en-US"/>
              </w:rPr>
              <w:t>1AF59SZAD</w:t>
            </w:r>
            <w:r w:rsidR="00EB503B">
              <w:rPr>
                <w:rFonts w:ascii="Times New Roman" w:hAnsi="Times New Roman" w:cs="Times New Roman"/>
                <w:lang w:val="en-US"/>
              </w:rPr>
              <w:t xml:space="preserve">, </w:t>
            </w:r>
            <w:r w:rsidR="00EB503B" w:rsidRPr="00EB503B">
              <w:rPr>
                <w:rFonts w:ascii="Times New Roman" w:hAnsi="Times New Roman" w:cs="Times New Roman"/>
                <w:lang w:val="en-US"/>
              </w:rPr>
              <w:t>1AF59SZAW</w:t>
            </w:r>
            <w:r w:rsidR="0009197C">
              <w:rPr>
                <w:rFonts w:ascii="Times New Roman" w:hAnsi="Times New Roman" w:cs="Times New Roman"/>
                <w:lang w:val="en-US"/>
              </w:rPr>
              <w:t xml:space="preserve">, </w:t>
            </w:r>
            <w:r w:rsidR="00EB503B" w:rsidRPr="00EB503B">
              <w:rPr>
                <w:rFonts w:ascii="Times New Roman" w:hAnsi="Times New Roman" w:cs="Times New Roman"/>
                <w:lang w:val="en-US"/>
              </w:rPr>
              <w:t>1AF59SZGX</w:t>
            </w:r>
            <w:r w:rsidR="0009197C">
              <w:rPr>
                <w:rFonts w:ascii="Times New Roman" w:hAnsi="Times New Roman" w:cs="Times New Roman"/>
                <w:lang w:val="en-US"/>
              </w:rPr>
              <w:t xml:space="preserve">, </w:t>
            </w:r>
            <w:r w:rsidR="00EB503B" w:rsidRPr="00EB503B">
              <w:rPr>
                <w:rFonts w:ascii="Times New Roman" w:hAnsi="Times New Roman" w:cs="Times New Roman"/>
                <w:lang w:val="en-US"/>
              </w:rPr>
              <w:t>1AF59SZX7</w:t>
            </w:r>
            <w:r w:rsidR="0009197C">
              <w:rPr>
                <w:rFonts w:ascii="Times New Roman" w:hAnsi="Times New Roman" w:cs="Times New Roman"/>
                <w:lang w:val="en-US"/>
              </w:rPr>
              <w:t xml:space="preserve">, </w:t>
            </w:r>
            <w:r w:rsidR="0009197C" w:rsidRPr="0009197C">
              <w:rPr>
                <w:rFonts w:ascii="Times New Roman" w:hAnsi="Times New Roman" w:cs="Times New Roman"/>
                <w:lang w:val="en-US"/>
              </w:rPr>
              <w:t>1AF87DAAG</w:t>
            </w:r>
            <w:r w:rsidR="0009197C">
              <w:rPr>
                <w:rFonts w:ascii="Times New Roman" w:hAnsi="Times New Roman" w:cs="Times New Roman"/>
                <w:lang w:val="en-US"/>
              </w:rPr>
              <w:t xml:space="preserve">, </w:t>
            </w:r>
            <w:r w:rsidR="0009197C" w:rsidRPr="0009197C">
              <w:rPr>
                <w:rFonts w:ascii="Times New Roman" w:hAnsi="Times New Roman" w:cs="Times New Roman"/>
                <w:lang w:val="en-US"/>
              </w:rPr>
              <w:t>1AF87DAAZ</w:t>
            </w:r>
            <w:r w:rsidR="0009197C">
              <w:rPr>
                <w:rFonts w:ascii="Times New Roman" w:hAnsi="Times New Roman" w:cs="Times New Roman"/>
                <w:lang w:val="en-US"/>
              </w:rPr>
              <w:t xml:space="preserve">, </w:t>
            </w:r>
            <w:r w:rsidR="0009197C" w:rsidRPr="0009197C">
              <w:rPr>
                <w:rFonts w:ascii="Times New Roman" w:hAnsi="Times New Roman" w:cs="Times New Roman"/>
                <w:lang w:val="en-US"/>
              </w:rPr>
              <w:t>1AF87DAGX</w:t>
            </w:r>
            <w:r w:rsidR="0009197C">
              <w:rPr>
                <w:rFonts w:ascii="Times New Roman" w:hAnsi="Times New Roman" w:cs="Times New Roman"/>
                <w:lang w:val="en-US"/>
              </w:rPr>
              <w:t xml:space="preserve">, </w:t>
            </w:r>
            <w:r w:rsidR="0009197C" w:rsidRPr="0009197C">
              <w:rPr>
                <w:rFonts w:ascii="Times New Roman" w:hAnsi="Times New Roman" w:cs="Times New Roman"/>
                <w:lang w:val="en-US"/>
              </w:rPr>
              <w:t>1AF87LUAG</w:t>
            </w:r>
            <w:r w:rsidR="0009197C">
              <w:rPr>
                <w:rFonts w:ascii="Times New Roman" w:hAnsi="Times New Roman" w:cs="Times New Roman"/>
                <w:lang w:val="en-US"/>
              </w:rPr>
              <w:t xml:space="preserve">, </w:t>
            </w:r>
            <w:r w:rsidR="0009197C" w:rsidRPr="0009197C">
              <w:rPr>
                <w:rFonts w:ascii="Times New Roman" w:hAnsi="Times New Roman" w:cs="Times New Roman"/>
                <w:lang w:val="en-US"/>
              </w:rPr>
              <w:t>1AF87LUAZ</w:t>
            </w:r>
            <w:r w:rsidR="0009197C">
              <w:rPr>
                <w:rFonts w:ascii="Times New Roman" w:hAnsi="Times New Roman" w:cs="Times New Roman"/>
                <w:lang w:val="en-US"/>
              </w:rPr>
              <w:t>,</w:t>
            </w:r>
            <w:r w:rsidR="007C745C">
              <w:rPr>
                <w:rFonts w:ascii="Times New Roman" w:hAnsi="Times New Roman" w:cs="Times New Roman"/>
                <w:lang w:val="en-US"/>
              </w:rPr>
              <w:t xml:space="preserve"> </w:t>
            </w:r>
            <w:r w:rsidR="0009197C" w:rsidRPr="0009197C">
              <w:rPr>
                <w:rFonts w:ascii="Times New Roman" w:hAnsi="Times New Roman" w:cs="Times New Roman"/>
                <w:lang w:val="en-US"/>
              </w:rPr>
              <w:t>1AF87LUGX</w:t>
            </w:r>
            <w:r w:rsidR="007C745C">
              <w:rPr>
                <w:rFonts w:ascii="Times New Roman" w:hAnsi="Times New Roman" w:cs="Times New Roman"/>
                <w:lang w:val="en-US"/>
              </w:rPr>
              <w:t xml:space="preserve">, </w:t>
            </w:r>
            <w:r w:rsidR="0009197C" w:rsidRPr="0009197C">
              <w:rPr>
                <w:rFonts w:ascii="Times New Roman" w:hAnsi="Times New Roman" w:cs="Times New Roman"/>
                <w:lang w:val="en-US"/>
              </w:rPr>
              <w:t>1AF87PRAG</w:t>
            </w:r>
            <w:r w:rsidR="007C745C">
              <w:rPr>
                <w:rFonts w:ascii="Times New Roman" w:hAnsi="Times New Roman" w:cs="Times New Roman"/>
                <w:lang w:val="en-US"/>
              </w:rPr>
              <w:t xml:space="preserve">, </w:t>
            </w:r>
            <w:r w:rsidR="0009197C" w:rsidRPr="0009197C">
              <w:rPr>
                <w:rFonts w:ascii="Times New Roman" w:hAnsi="Times New Roman" w:cs="Times New Roman"/>
                <w:lang w:val="en-US"/>
              </w:rPr>
              <w:t>1AF87PRAZ</w:t>
            </w:r>
            <w:r w:rsidR="007C745C">
              <w:rPr>
                <w:rFonts w:ascii="Times New Roman" w:hAnsi="Times New Roman" w:cs="Times New Roman"/>
                <w:lang w:val="en-US"/>
              </w:rPr>
              <w:t xml:space="preserve">, </w:t>
            </w:r>
            <w:r w:rsidR="0009197C" w:rsidRPr="0009197C">
              <w:rPr>
                <w:rFonts w:ascii="Times New Roman" w:hAnsi="Times New Roman" w:cs="Times New Roman"/>
                <w:lang w:val="en-US"/>
              </w:rPr>
              <w:t>1AF87PRGX</w:t>
            </w:r>
            <w:r w:rsidR="007C745C">
              <w:rPr>
                <w:rFonts w:ascii="Times New Roman" w:hAnsi="Times New Roman" w:cs="Times New Roman"/>
                <w:lang w:val="en-US"/>
              </w:rPr>
              <w:t xml:space="preserve">, </w:t>
            </w:r>
            <w:r w:rsidR="0009197C" w:rsidRPr="0009197C">
              <w:rPr>
                <w:rFonts w:ascii="Times New Roman" w:hAnsi="Times New Roman" w:cs="Times New Roman"/>
                <w:lang w:val="en-US"/>
              </w:rPr>
              <w:t>1AF87SZAG</w:t>
            </w:r>
            <w:r w:rsidR="007C745C">
              <w:rPr>
                <w:rFonts w:ascii="Times New Roman" w:hAnsi="Times New Roman" w:cs="Times New Roman"/>
                <w:lang w:val="en-US"/>
              </w:rPr>
              <w:t xml:space="preserve">, </w:t>
            </w:r>
            <w:r w:rsidR="0009197C" w:rsidRPr="0009197C">
              <w:rPr>
                <w:rFonts w:ascii="Times New Roman" w:hAnsi="Times New Roman" w:cs="Times New Roman"/>
                <w:lang w:val="en-US"/>
              </w:rPr>
              <w:lastRenderedPageBreak/>
              <w:t>1AF87SZAZ</w:t>
            </w:r>
            <w:r w:rsidR="007C745C">
              <w:rPr>
                <w:rFonts w:ascii="Times New Roman" w:hAnsi="Times New Roman" w:cs="Times New Roman"/>
                <w:lang w:val="en-US"/>
              </w:rPr>
              <w:t xml:space="preserve">, </w:t>
            </w:r>
            <w:r w:rsidR="0009197C" w:rsidRPr="0009197C">
              <w:rPr>
                <w:rFonts w:ascii="Times New Roman" w:hAnsi="Times New Roman" w:cs="Times New Roman"/>
                <w:lang w:val="en-US"/>
              </w:rPr>
              <w:t>1AF87SZGX</w:t>
            </w:r>
            <w:r w:rsidR="00FF75D7">
              <w:rPr>
                <w:rFonts w:ascii="Times New Roman" w:hAnsi="Times New Roman" w:cs="Times New Roman"/>
                <w:lang w:val="en-US"/>
              </w:rPr>
              <w:t xml:space="preserve">, </w:t>
            </w:r>
            <w:r w:rsidR="00FF75D7" w:rsidRPr="00FF75D7">
              <w:rPr>
                <w:rFonts w:ascii="Times New Roman" w:hAnsi="Times New Roman" w:cs="Times New Roman"/>
                <w:lang w:val="en-US"/>
              </w:rPr>
              <w:t>1AG</w:t>
            </w:r>
            <w:r w:rsidR="00E91B33">
              <w:rPr>
                <w:rFonts w:ascii="Times New Roman" w:hAnsi="Times New Roman" w:cs="Times New Roman"/>
                <w:lang w:val="en-US"/>
              </w:rPr>
              <w:t xml:space="preserve">, </w:t>
            </w:r>
            <w:r w:rsidR="00FF75D7" w:rsidRPr="00FF75D7">
              <w:rPr>
                <w:rFonts w:ascii="Times New Roman" w:hAnsi="Times New Roman" w:cs="Times New Roman"/>
                <w:lang w:val="en-US"/>
              </w:rPr>
              <w:t>1AJ</w:t>
            </w:r>
            <w:r w:rsidR="00E91B33">
              <w:rPr>
                <w:rFonts w:ascii="Times New Roman" w:hAnsi="Times New Roman" w:cs="Times New Roman"/>
                <w:lang w:val="en-US"/>
              </w:rPr>
              <w:t xml:space="preserve">, </w:t>
            </w:r>
            <w:r w:rsidR="00FF75D7" w:rsidRPr="00FF75D7">
              <w:rPr>
                <w:rFonts w:ascii="Times New Roman" w:hAnsi="Times New Roman" w:cs="Times New Roman"/>
                <w:lang w:val="en-US"/>
              </w:rPr>
              <w:t>1AK</w:t>
            </w:r>
            <w:r w:rsidR="00E91B33">
              <w:rPr>
                <w:rFonts w:ascii="Times New Roman" w:hAnsi="Times New Roman" w:cs="Times New Roman"/>
                <w:lang w:val="en-US"/>
              </w:rPr>
              <w:t xml:space="preserve">, </w:t>
            </w:r>
            <w:r w:rsidR="00FF75D7" w:rsidRPr="00FF75D7">
              <w:rPr>
                <w:rFonts w:ascii="Times New Roman" w:hAnsi="Times New Roman" w:cs="Times New Roman"/>
                <w:lang w:val="en-US"/>
              </w:rPr>
              <w:t>1AN</w:t>
            </w:r>
            <w:r w:rsidR="00E91B33">
              <w:rPr>
                <w:rFonts w:ascii="Times New Roman" w:hAnsi="Times New Roman" w:cs="Times New Roman"/>
                <w:lang w:val="en-US"/>
              </w:rPr>
              <w:t xml:space="preserve">, </w:t>
            </w:r>
            <w:r w:rsidR="00FF75D7" w:rsidRPr="00FF75D7">
              <w:rPr>
                <w:rFonts w:ascii="Times New Roman" w:hAnsi="Times New Roman" w:cs="Times New Roman"/>
                <w:lang w:val="en-US"/>
              </w:rPr>
              <w:t>1AP</w:t>
            </w:r>
            <w:r w:rsidR="00E91B33">
              <w:rPr>
                <w:rFonts w:ascii="Times New Roman" w:hAnsi="Times New Roman" w:cs="Times New Roman"/>
                <w:lang w:val="en-US"/>
              </w:rPr>
              <w:t xml:space="preserve">, </w:t>
            </w:r>
            <w:r w:rsidR="00FF75D7" w:rsidRPr="00FF75D7">
              <w:rPr>
                <w:rFonts w:ascii="Times New Roman" w:hAnsi="Times New Roman" w:cs="Times New Roman"/>
                <w:lang w:val="en-US"/>
              </w:rPr>
              <w:t>1DL</w:t>
            </w:r>
            <w:r w:rsidR="00E91B33">
              <w:rPr>
                <w:rFonts w:ascii="Times New Roman" w:hAnsi="Times New Roman" w:cs="Times New Roman"/>
                <w:lang w:val="en-US"/>
              </w:rPr>
              <w:t xml:space="preserve">, </w:t>
            </w:r>
            <w:r w:rsidR="00FF75D7" w:rsidRPr="00FF75D7">
              <w:rPr>
                <w:rFonts w:ascii="Times New Roman" w:hAnsi="Times New Roman" w:cs="Times New Roman"/>
                <w:lang w:val="en-US"/>
              </w:rPr>
              <w:t>1JW</w:t>
            </w:r>
            <w:r w:rsidR="00E91B33">
              <w:rPr>
                <w:rFonts w:ascii="Times New Roman" w:hAnsi="Times New Roman" w:cs="Times New Roman"/>
                <w:lang w:val="en-US"/>
              </w:rPr>
              <w:t xml:space="preserve">, </w:t>
            </w:r>
            <w:r w:rsidR="00FF75D7" w:rsidRPr="00FF75D7">
              <w:rPr>
                <w:rFonts w:ascii="Times New Roman" w:hAnsi="Times New Roman" w:cs="Times New Roman"/>
                <w:lang w:val="en-US"/>
              </w:rPr>
              <w:t>1JX</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2AA</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2AC</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2AE</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2AF</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2AG</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2AJ</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2AK</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2AN</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2AP</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2BA</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2EA</w:t>
            </w:r>
            <w:r w:rsidR="00E91B33">
              <w:rPr>
                <w:rFonts w:ascii="Times New Roman" w:hAnsi="Times New Roman" w:cs="Times New Roman"/>
                <w:lang w:val="en-US"/>
              </w:rPr>
              <w:t xml:space="preserve">, </w:t>
            </w:r>
            <w:r w:rsidR="00FF75D7" w:rsidRPr="00FF75D7">
              <w:rPr>
                <w:rFonts w:ascii="Times New Roman" w:hAnsi="Times New Roman" w:cs="Times New Roman"/>
                <w:lang w:val="en-US"/>
              </w:rPr>
              <w:t>2JW</w:t>
            </w:r>
          </w:p>
        </w:tc>
        <w:tc>
          <w:tcPr>
            <w:tcW w:w="4753" w:type="dxa"/>
            <w:vMerge/>
          </w:tcPr>
          <w:p w14:paraId="4128F603" w14:textId="77777777" w:rsidR="005707D0" w:rsidRPr="00AF2B46" w:rsidRDefault="005707D0" w:rsidP="00817C68">
            <w:pPr>
              <w:rPr>
                <w:rFonts w:ascii="Times New Roman" w:hAnsi="Times New Roman" w:cs="Times New Roman"/>
                <w:lang w:val="en-US"/>
              </w:rPr>
            </w:pPr>
          </w:p>
        </w:tc>
      </w:tr>
      <w:tr w:rsidR="002D3ECA" w:rsidRPr="00AF2B46" w14:paraId="268D8E0F" w14:textId="0DBF18B4" w:rsidTr="003D494A">
        <w:trPr>
          <w:trHeight w:val="99"/>
        </w:trPr>
        <w:tc>
          <w:tcPr>
            <w:tcW w:w="1774" w:type="dxa"/>
            <w:vMerge/>
          </w:tcPr>
          <w:p w14:paraId="583F87B4" w14:textId="77777777" w:rsidR="005707D0" w:rsidRPr="00AF2B46" w:rsidRDefault="005707D0" w:rsidP="00817C68">
            <w:pPr>
              <w:rPr>
                <w:rFonts w:ascii="Times New Roman" w:hAnsi="Times New Roman" w:cs="Times New Roman"/>
                <w:lang w:val="en-US"/>
              </w:rPr>
            </w:pPr>
          </w:p>
        </w:tc>
        <w:tc>
          <w:tcPr>
            <w:tcW w:w="1354" w:type="dxa"/>
          </w:tcPr>
          <w:p w14:paraId="1845DBD6" w14:textId="3BCF58A4" w:rsidR="005707D0" w:rsidRPr="009B59D1" w:rsidRDefault="005707D0" w:rsidP="00817C68">
            <w:pPr>
              <w:jc w:val="center"/>
              <w:rPr>
                <w:rFonts w:ascii="Times New Roman" w:hAnsi="Times New Roman" w:cs="Times New Roman"/>
                <w:lang w:val="en-US"/>
              </w:rPr>
            </w:pPr>
            <w:r w:rsidRPr="009B59D1">
              <w:rPr>
                <w:rFonts w:ascii="Times New Roman" w:hAnsi="Times New Roman" w:cs="Times New Roman"/>
                <w:lang w:val="en-US"/>
              </w:rPr>
              <w:t>OHIP</w:t>
            </w:r>
          </w:p>
        </w:tc>
        <w:tc>
          <w:tcPr>
            <w:tcW w:w="1221" w:type="dxa"/>
          </w:tcPr>
          <w:p w14:paraId="4B0F533E" w14:textId="77777777" w:rsidR="005707D0" w:rsidRPr="009B59D1" w:rsidRDefault="005707D0" w:rsidP="00817C68">
            <w:pPr>
              <w:jc w:val="center"/>
              <w:rPr>
                <w:rFonts w:ascii="Times New Roman" w:hAnsi="Times New Roman" w:cs="Times New Roman"/>
                <w:lang w:val="en-US"/>
              </w:rPr>
            </w:pPr>
            <w:r w:rsidRPr="009B59D1">
              <w:rPr>
                <w:rFonts w:ascii="Times New Roman" w:hAnsi="Times New Roman" w:cs="Times New Roman"/>
                <w:lang w:val="en-US"/>
              </w:rPr>
              <w:t>OHIP fee code</w:t>
            </w:r>
          </w:p>
        </w:tc>
        <w:tc>
          <w:tcPr>
            <w:tcW w:w="3848" w:type="dxa"/>
          </w:tcPr>
          <w:p w14:paraId="25F95BB3" w14:textId="1828F9E8" w:rsidR="009B59D1" w:rsidRPr="009679F5" w:rsidRDefault="000150B9" w:rsidP="00817C68">
            <w:pPr>
              <w:rPr>
                <w:rFonts w:ascii="Times New Roman" w:hAnsi="Times New Roman" w:cs="Times New Roman"/>
                <w:lang w:val="en-US"/>
              </w:rPr>
            </w:pPr>
            <w:r w:rsidRPr="000150B9">
              <w:rPr>
                <w:rFonts w:ascii="Times New Roman" w:hAnsi="Times New Roman" w:cs="Times New Roman"/>
                <w:lang w:val="en-US"/>
              </w:rPr>
              <w:t>E887</w:t>
            </w:r>
            <w:r w:rsidR="001F7060">
              <w:rPr>
                <w:rFonts w:ascii="Times New Roman" w:hAnsi="Times New Roman" w:cs="Times New Roman"/>
                <w:lang w:val="en-US"/>
              </w:rPr>
              <w:t xml:space="preserve">, </w:t>
            </w:r>
            <w:r w:rsidRPr="000150B9">
              <w:rPr>
                <w:rFonts w:ascii="Times New Roman" w:hAnsi="Times New Roman" w:cs="Times New Roman"/>
                <w:lang w:val="en-US"/>
              </w:rPr>
              <w:t>E888</w:t>
            </w:r>
            <w:r w:rsidR="001F7060">
              <w:rPr>
                <w:rFonts w:ascii="Times New Roman" w:hAnsi="Times New Roman" w:cs="Times New Roman"/>
                <w:lang w:val="en-US"/>
              </w:rPr>
              <w:t xml:space="preserve">, </w:t>
            </w:r>
            <w:r w:rsidRPr="000150B9">
              <w:rPr>
                <w:rFonts w:ascii="Times New Roman" w:hAnsi="Times New Roman" w:cs="Times New Roman"/>
                <w:lang w:val="en-US"/>
              </w:rPr>
              <w:t>E891</w:t>
            </w:r>
            <w:r w:rsidR="001F7060">
              <w:rPr>
                <w:rFonts w:ascii="Times New Roman" w:hAnsi="Times New Roman" w:cs="Times New Roman"/>
                <w:lang w:val="en-US"/>
              </w:rPr>
              <w:t xml:space="preserve">, </w:t>
            </w:r>
            <w:r w:rsidRPr="000150B9">
              <w:rPr>
                <w:rFonts w:ascii="Times New Roman" w:hAnsi="Times New Roman" w:cs="Times New Roman"/>
                <w:lang w:val="en-US"/>
              </w:rPr>
              <w:t>E894</w:t>
            </w:r>
            <w:r>
              <w:rPr>
                <w:rFonts w:ascii="Times New Roman" w:hAnsi="Times New Roman" w:cs="Times New Roman"/>
                <w:lang w:val="en-US"/>
              </w:rPr>
              <w:t>-</w:t>
            </w:r>
            <w:r w:rsidRPr="000150B9">
              <w:rPr>
                <w:rFonts w:ascii="Times New Roman" w:hAnsi="Times New Roman" w:cs="Times New Roman"/>
                <w:lang w:val="en-US"/>
              </w:rPr>
              <w:t>E896</w:t>
            </w:r>
            <w:r w:rsidR="001F7060">
              <w:rPr>
                <w:rFonts w:ascii="Times New Roman" w:hAnsi="Times New Roman" w:cs="Times New Roman"/>
                <w:lang w:val="en-US"/>
              </w:rPr>
              <w:t xml:space="preserve">, </w:t>
            </w:r>
            <w:r w:rsidRPr="000150B9">
              <w:rPr>
                <w:rFonts w:ascii="Times New Roman" w:hAnsi="Times New Roman" w:cs="Times New Roman"/>
                <w:lang w:val="en-US"/>
              </w:rPr>
              <w:t>E898</w:t>
            </w:r>
            <w:r w:rsidR="001F7060">
              <w:rPr>
                <w:rFonts w:ascii="Times New Roman" w:hAnsi="Times New Roman" w:cs="Times New Roman"/>
                <w:lang w:val="en-US"/>
              </w:rPr>
              <w:t xml:space="preserve">, </w:t>
            </w:r>
            <w:r w:rsidRPr="000150B9">
              <w:rPr>
                <w:rFonts w:ascii="Times New Roman" w:hAnsi="Times New Roman" w:cs="Times New Roman"/>
                <w:lang w:val="en-US"/>
              </w:rPr>
              <w:t>E899</w:t>
            </w:r>
            <w:r w:rsidR="001F7060">
              <w:rPr>
                <w:rFonts w:ascii="Times New Roman" w:hAnsi="Times New Roman" w:cs="Times New Roman"/>
                <w:lang w:val="en-US"/>
              </w:rPr>
              <w:t xml:space="preserve">, </w:t>
            </w:r>
            <w:r w:rsidR="00666F85" w:rsidRPr="00666F85">
              <w:rPr>
                <w:rFonts w:ascii="Times New Roman" w:hAnsi="Times New Roman" w:cs="Times New Roman"/>
                <w:lang w:val="en-US"/>
              </w:rPr>
              <w:t>E901</w:t>
            </w:r>
            <w:r w:rsidR="00666F85">
              <w:rPr>
                <w:rFonts w:ascii="Times New Roman" w:hAnsi="Times New Roman" w:cs="Times New Roman"/>
                <w:lang w:val="en-US"/>
              </w:rPr>
              <w:t>-</w:t>
            </w:r>
            <w:r w:rsidR="00666F85" w:rsidRPr="00666F85">
              <w:rPr>
                <w:rFonts w:ascii="Times New Roman" w:hAnsi="Times New Roman" w:cs="Times New Roman"/>
                <w:lang w:val="en-US"/>
              </w:rPr>
              <w:t>E905</w:t>
            </w:r>
            <w:r w:rsidR="001F7060">
              <w:rPr>
                <w:rFonts w:ascii="Times New Roman" w:hAnsi="Times New Roman" w:cs="Times New Roman"/>
                <w:lang w:val="en-US"/>
              </w:rPr>
              <w:t xml:space="preserve">, </w:t>
            </w:r>
            <w:r w:rsidR="00EC6CB6" w:rsidRPr="00EC6CB6">
              <w:rPr>
                <w:rFonts w:ascii="Times New Roman" w:hAnsi="Times New Roman" w:cs="Times New Roman"/>
                <w:lang w:val="en-US"/>
              </w:rPr>
              <w:t>E908</w:t>
            </w:r>
            <w:r w:rsidR="001F7060">
              <w:rPr>
                <w:rFonts w:ascii="Times New Roman" w:hAnsi="Times New Roman" w:cs="Times New Roman"/>
                <w:lang w:val="en-US"/>
              </w:rPr>
              <w:t xml:space="preserve">, </w:t>
            </w:r>
            <w:r w:rsidR="00EC6CB6" w:rsidRPr="00EC6CB6">
              <w:rPr>
                <w:rFonts w:ascii="Times New Roman" w:hAnsi="Times New Roman" w:cs="Times New Roman"/>
                <w:lang w:val="en-US"/>
              </w:rPr>
              <w:t>E911</w:t>
            </w:r>
            <w:r w:rsidR="001F7060">
              <w:rPr>
                <w:rFonts w:ascii="Times New Roman" w:hAnsi="Times New Roman" w:cs="Times New Roman"/>
                <w:lang w:val="en-US"/>
              </w:rPr>
              <w:t xml:space="preserve">, </w:t>
            </w:r>
            <w:r w:rsidR="00EC6CB6" w:rsidRPr="00EC6CB6">
              <w:rPr>
                <w:rFonts w:ascii="Times New Roman" w:hAnsi="Times New Roman" w:cs="Times New Roman"/>
                <w:lang w:val="en-US"/>
              </w:rPr>
              <w:t>E912</w:t>
            </w:r>
            <w:r w:rsidR="001F7060">
              <w:rPr>
                <w:rFonts w:ascii="Times New Roman" w:hAnsi="Times New Roman" w:cs="Times New Roman"/>
                <w:lang w:val="en-US"/>
              </w:rPr>
              <w:t xml:space="preserve">, </w:t>
            </w:r>
            <w:r w:rsidR="00EC6CB6" w:rsidRPr="00EC6CB6">
              <w:rPr>
                <w:rFonts w:ascii="Times New Roman" w:hAnsi="Times New Roman" w:cs="Times New Roman"/>
                <w:lang w:val="en-US"/>
              </w:rPr>
              <w:t>E916</w:t>
            </w:r>
            <w:r w:rsidR="00EC6CB6">
              <w:rPr>
                <w:rFonts w:ascii="Times New Roman" w:hAnsi="Times New Roman" w:cs="Times New Roman"/>
                <w:lang w:val="en-US"/>
              </w:rPr>
              <w:t>-</w:t>
            </w:r>
            <w:r w:rsidR="00EC6CB6" w:rsidRPr="00EC6CB6">
              <w:rPr>
                <w:rFonts w:ascii="Times New Roman" w:hAnsi="Times New Roman" w:cs="Times New Roman"/>
                <w:lang w:val="en-US"/>
              </w:rPr>
              <w:t>E918</w:t>
            </w:r>
            <w:r w:rsidR="001F7060">
              <w:rPr>
                <w:rFonts w:ascii="Times New Roman" w:hAnsi="Times New Roman" w:cs="Times New Roman"/>
                <w:lang w:val="en-US"/>
              </w:rPr>
              <w:t xml:space="preserve">, </w:t>
            </w:r>
            <w:r w:rsidR="00EC6CB6" w:rsidRPr="00EC6CB6">
              <w:rPr>
                <w:rFonts w:ascii="Times New Roman" w:hAnsi="Times New Roman" w:cs="Times New Roman"/>
                <w:lang w:val="en-US"/>
              </w:rPr>
              <w:t>E921</w:t>
            </w:r>
            <w:r w:rsidR="001F7060">
              <w:rPr>
                <w:rFonts w:ascii="Times New Roman" w:hAnsi="Times New Roman" w:cs="Times New Roman"/>
                <w:lang w:val="en-US"/>
              </w:rPr>
              <w:t xml:space="preserve">, </w:t>
            </w:r>
            <w:r w:rsidR="00283840" w:rsidRPr="00283840">
              <w:rPr>
                <w:rFonts w:ascii="Times New Roman" w:hAnsi="Times New Roman" w:cs="Times New Roman"/>
                <w:lang w:val="en-US"/>
              </w:rPr>
              <w:t>E922</w:t>
            </w:r>
            <w:r w:rsidR="001F7060">
              <w:rPr>
                <w:rFonts w:ascii="Times New Roman" w:hAnsi="Times New Roman" w:cs="Times New Roman"/>
                <w:lang w:val="en-US"/>
              </w:rPr>
              <w:t xml:space="preserve">, </w:t>
            </w:r>
            <w:r w:rsidR="006F2995" w:rsidRPr="006F2995">
              <w:rPr>
                <w:rFonts w:ascii="Times New Roman" w:hAnsi="Times New Roman" w:cs="Times New Roman"/>
                <w:lang w:val="en-US"/>
              </w:rPr>
              <w:t>E979</w:t>
            </w:r>
            <w:r w:rsidR="001F7060">
              <w:rPr>
                <w:rFonts w:ascii="Times New Roman" w:hAnsi="Times New Roman" w:cs="Times New Roman"/>
                <w:lang w:val="en-US"/>
              </w:rPr>
              <w:t xml:space="preserve">, </w:t>
            </w:r>
            <w:r w:rsidR="006F2995" w:rsidRPr="006F2995">
              <w:rPr>
                <w:rFonts w:ascii="Times New Roman" w:hAnsi="Times New Roman" w:cs="Times New Roman"/>
                <w:lang w:val="en-US"/>
              </w:rPr>
              <w:t>G790</w:t>
            </w:r>
            <w:r w:rsidR="006F2995">
              <w:rPr>
                <w:rFonts w:ascii="Times New Roman" w:hAnsi="Times New Roman" w:cs="Times New Roman"/>
                <w:lang w:val="en-US"/>
              </w:rPr>
              <w:t>-</w:t>
            </w:r>
            <w:r w:rsidR="006F2995" w:rsidRPr="006F2995">
              <w:rPr>
                <w:rFonts w:ascii="Times New Roman" w:hAnsi="Times New Roman" w:cs="Times New Roman"/>
                <w:lang w:val="en-US"/>
              </w:rPr>
              <w:t>G792</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N102</w:t>
            </w:r>
            <w:r w:rsidR="006E39C1">
              <w:rPr>
                <w:rFonts w:ascii="Times New Roman" w:hAnsi="Times New Roman" w:cs="Times New Roman"/>
                <w:lang w:val="en-US"/>
              </w:rPr>
              <w:t>-</w:t>
            </w:r>
            <w:r w:rsidR="006F2995" w:rsidRPr="006F2995">
              <w:rPr>
                <w:rFonts w:ascii="Times New Roman" w:hAnsi="Times New Roman" w:cs="Times New Roman"/>
                <w:lang w:val="en-US"/>
              </w:rPr>
              <w:t>N113</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N115</w:t>
            </w:r>
            <w:r w:rsidR="006E39C1">
              <w:rPr>
                <w:rFonts w:ascii="Times New Roman" w:hAnsi="Times New Roman" w:cs="Times New Roman"/>
                <w:lang w:val="en-US"/>
              </w:rPr>
              <w:t>-</w:t>
            </w:r>
            <w:r w:rsidR="006F2995" w:rsidRPr="006F2995">
              <w:rPr>
                <w:rFonts w:ascii="Times New Roman" w:hAnsi="Times New Roman" w:cs="Times New Roman"/>
                <w:lang w:val="en-US"/>
              </w:rPr>
              <w:t>N120</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N123</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N124</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N126</w:t>
            </w:r>
            <w:r w:rsidR="006E39C1">
              <w:rPr>
                <w:rFonts w:ascii="Times New Roman" w:hAnsi="Times New Roman" w:cs="Times New Roman"/>
                <w:lang w:val="en-US"/>
              </w:rPr>
              <w:t>-</w:t>
            </w:r>
            <w:r w:rsidR="006F2995" w:rsidRPr="006F2995">
              <w:rPr>
                <w:rFonts w:ascii="Times New Roman" w:hAnsi="Times New Roman" w:cs="Times New Roman"/>
                <w:lang w:val="en-US"/>
              </w:rPr>
              <w:t>N130</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N139</w:t>
            </w:r>
            <w:r w:rsidR="001F61F5">
              <w:rPr>
                <w:rFonts w:ascii="Times New Roman" w:hAnsi="Times New Roman" w:cs="Times New Roman"/>
                <w:lang w:val="en-US"/>
              </w:rPr>
              <w:t>-</w:t>
            </w:r>
            <w:r w:rsidR="006F2995" w:rsidRPr="006F2995">
              <w:rPr>
                <w:rFonts w:ascii="Times New Roman" w:hAnsi="Times New Roman" w:cs="Times New Roman"/>
                <w:lang w:val="en-US"/>
              </w:rPr>
              <w:t>N160</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N177</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N200</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N211</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N212</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N218</w:t>
            </w:r>
            <w:r w:rsidR="001F7060">
              <w:rPr>
                <w:rFonts w:ascii="Times New Roman" w:hAnsi="Times New Roman" w:cs="Times New Roman"/>
                <w:lang w:val="en-US"/>
              </w:rPr>
              <w:t xml:space="preserve">, </w:t>
            </w:r>
            <w:r w:rsidR="006F2995" w:rsidRPr="006F2995">
              <w:rPr>
                <w:rFonts w:ascii="Times New Roman" w:hAnsi="Times New Roman" w:cs="Times New Roman"/>
                <w:lang w:val="en-US"/>
              </w:rPr>
              <w:t>N223</w:t>
            </w:r>
            <w:r w:rsidR="002566DE">
              <w:rPr>
                <w:rFonts w:ascii="Times New Roman" w:hAnsi="Times New Roman" w:cs="Times New Roman"/>
                <w:lang w:val="en-US"/>
              </w:rPr>
              <w:t>-</w:t>
            </w:r>
            <w:r w:rsidR="006F2995" w:rsidRPr="006F2995">
              <w:rPr>
                <w:rFonts w:ascii="Times New Roman" w:hAnsi="Times New Roman" w:cs="Times New Roman"/>
                <w:lang w:val="en-US"/>
              </w:rPr>
              <w:t>N249</w:t>
            </w:r>
            <w:r w:rsidR="001F7060">
              <w:rPr>
                <w:rFonts w:ascii="Times New Roman" w:hAnsi="Times New Roman" w:cs="Times New Roman"/>
                <w:lang w:val="en-US"/>
              </w:rPr>
              <w:t xml:space="preserve">, </w:t>
            </w:r>
            <w:r w:rsidR="006F2995" w:rsidRPr="006F2995">
              <w:rPr>
                <w:rFonts w:ascii="Times New Roman" w:hAnsi="Times New Roman" w:cs="Times New Roman"/>
                <w:lang w:val="en-US"/>
              </w:rPr>
              <w:t>Z803</w:t>
            </w:r>
            <w:r w:rsidR="001F7060">
              <w:rPr>
                <w:rFonts w:ascii="Times New Roman" w:hAnsi="Times New Roman" w:cs="Times New Roman"/>
                <w:lang w:val="en-US"/>
              </w:rPr>
              <w:t xml:space="preserve">, </w:t>
            </w:r>
            <w:r w:rsidR="006F2995" w:rsidRPr="006F2995">
              <w:rPr>
                <w:rFonts w:ascii="Times New Roman" w:hAnsi="Times New Roman" w:cs="Times New Roman"/>
                <w:lang w:val="en-US"/>
              </w:rPr>
              <w:t>Z813</w:t>
            </w:r>
            <w:r w:rsidR="001F7060">
              <w:rPr>
                <w:rFonts w:ascii="Times New Roman" w:hAnsi="Times New Roman" w:cs="Times New Roman"/>
                <w:lang w:val="en-US"/>
              </w:rPr>
              <w:t xml:space="preserve">, </w:t>
            </w:r>
            <w:r w:rsidR="006F2995" w:rsidRPr="006F2995">
              <w:rPr>
                <w:rFonts w:ascii="Times New Roman" w:hAnsi="Times New Roman" w:cs="Times New Roman"/>
                <w:lang w:val="en-US"/>
              </w:rPr>
              <w:t>Z816</w:t>
            </w:r>
            <w:r w:rsidR="001F7060">
              <w:rPr>
                <w:rFonts w:ascii="Times New Roman" w:hAnsi="Times New Roman" w:cs="Times New Roman"/>
                <w:lang w:val="en-US"/>
              </w:rPr>
              <w:t xml:space="preserve">, </w:t>
            </w:r>
            <w:r w:rsidR="006F2995" w:rsidRPr="006F2995">
              <w:rPr>
                <w:rFonts w:ascii="Times New Roman" w:hAnsi="Times New Roman" w:cs="Times New Roman"/>
                <w:lang w:val="en-US"/>
              </w:rPr>
              <w:t>Z818</w:t>
            </w:r>
            <w:r w:rsidR="001F7060">
              <w:rPr>
                <w:rFonts w:ascii="Times New Roman" w:hAnsi="Times New Roman" w:cs="Times New Roman"/>
                <w:lang w:val="en-US"/>
              </w:rPr>
              <w:t xml:space="preserve">, </w:t>
            </w:r>
            <w:r w:rsidR="006F2995" w:rsidRPr="006F2995">
              <w:rPr>
                <w:rFonts w:ascii="Times New Roman" w:hAnsi="Times New Roman" w:cs="Times New Roman"/>
                <w:lang w:val="en-US"/>
              </w:rPr>
              <w:t>Z823</w:t>
            </w:r>
            <w:r w:rsidR="001F7060">
              <w:rPr>
                <w:rFonts w:ascii="Times New Roman" w:hAnsi="Times New Roman" w:cs="Times New Roman"/>
                <w:lang w:val="en-US"/>
              </w:rPr>
              <w:t>-</w:t>
            </w:r>
            <w:r w:rsidR="006F2995" w:rsidRPr="006F2995">
              <w:rPr>
                <w:rFonts w:ascii="Times New Roman" w:hAnsi="Times New Roman" w:cs="Times New Roman"/>
                <w:lang w:val="en-US"/>
              </w:rPr>
              <w:t>Z825</w:t>
            </w:r>
            <w:r w:rsidR="001F7060">
              <w:rPr>
                <w:rFonts w:ascii="Times New Roman" w:hAnsi="Times New Roman" w:cs="Times New Roman"/>
                <w:lang w:val="en-US"/>
              </w:rPr>
              <w:t xml:space="preserve"> </w:t>
            </w:r>
          </w:p>
        </w:tc>
        <w:tc>
          <w:tcPr>
            <w:tcW w:w="4753" w:type="dxa"/>
            <w:vMerge/>
          </w:tcPr>
          <w:p w14:paraId="6A3FA443" w14:textId="77777777" w:rsidR="005707D0" w:rsidRPr="00AF2B46" w:rsidRDefault="005707D0" w:rsidP="00817C68">
            <w:pPr>
              <w:rPr>
                <w:rFonts w:ascii="Times New Roman" w:hAnsi="Times New Roman" w:cs="Times New Roman"/>
                <w:lang w:val="en-US"/>
              </w:rPr>
            </w:pPr>
          </w:p>
        </w:tc>
      </w:tr>
      <w:tr w:rsidR="002D3ECA" w:rsidRPr="00AF2B46" w14:paraId="2FFF2CA0" w14:textId="77777777" w:rsidTr="003D494A">
        <w:trPr>
          <w:trHeight w:val="99"/>
        </w:trPr>
        <w:tc>
          <w:tcPr>
            <w:tcW w:w="1774" w:type="dxa"/>
            <w:vMerge w:val="restart"/>
          </w:tcPr>
          <w:p w14:paraId="5CA392DD" w14:textId="5623B73F" w:rsidR="008E71AE" w:rsidRPr="00AF2B46" w:rsidRDefault="008E71AE" w:rsidP="009D0D98">
            <w:pPr>
              <w:rPr>
                <w:rFonts w:ascii="Times New Roman" w:hAnsi="Times New Roman" w:cs="Times New Roman"/>
                <w:lang w:val="en-US"/>
              </w:rPr>
            </w:pPr>
            <w:r w:rsidRPr="00AF2B46">
              <w:rPr>
                <w:rFonts w:ascii="Times New Roman" w:hAnsi="Times New Roman" w:cs="Times New Roman"/>
                <w:lang w:val="en-US"/>
              </w:rPr>
              <w:t xml:space="preserve">Brain </w:t>
            </w:r>
            <w:proofErr w:type="spellStart"/>
            <w:r w:rsidRPr="00AF2B46">
              <w:rPr>
                <w:rFonts w:ascii="Times New Roman" w:hAnsi="Times New Roman" w:cs="Times New Roman"/>
                <w:lang w:val="en-US"/>
              </w:rPr>
              <w:t>Tumour</w:t>
            </w:r>
            <w:proofErr w:type="spellEnd"/>
          </w:p>
        </w:tc>
        <w:tc>
          <w:tcPr>
            <w:tcW w:w="1354" w:type="dxa"/>
            <w:vMerge w:val="restart"/>
          </w:tcPr>
          <w:p w14:paraId="0A46111D" w14:textId="216798A6" w:rsidR="008E71AE" w:rsidRPr="009D0D98" w:rsidRDefault="008E71AE" w:rsidP="009D0D98">
            <w:pPr>
              <w:jc w:val="center"/>
              <w:rPr>
                <w:rFonts w:ascii="Times New Roman" w:hAnsi="Times New Roman" w:cs="Times New Roman"/>
                <w:highlight w:val="yellow"/>
                <w:lang w:val="en-US"/>
              </w:rPr>
            </w:pPr>
            <w:r>
              <w:rPr>
                <w:rFonts w:ascii="Times New Roman" w:hAnsi="Times New Roman" w:cs="Times New Roman"/>
                <w:lang w:val="en-US"/>
              </w:rPr>
              <w:t xml:space="preserve">DAD, </w:t>
            </w:r>
            <w:r w:rsidR="009E1544">
              <w:rPr>
                <w:rFonts w:ascii="Times New Roman" w:hAnsi="Times New Roman" w:cs="Times New Roman"/>
                <w:lang w:val="en-US"/>
              </w:rPr>
              <w:t xml:space="preserve">SDS, </w:t>
            </w:r>
            <w:r>
              <w:rPr>
                <w:rFonts w:ascii="Times New Roman" w:hAnsi="Times New Roman" w:cs="Times New Roman"/>
                <w:lang w:val="en-US"/>
              </w:rPr>
              <w:t>NACRS</w:t>
            </w:r>
          </w:p>
        </w:tc>
        <w:tc>
          <w:tcPr>
            <w:tcW w:w="1221" w:type="dxa"/>
          </w:tcPr>
          <w:p w14:paraId="3D0B3D6F" w14:textId="4B4937E5" w:rsidR="008E71AE" w:rsidRPr="009D0D98" w:rsidRDefault="008E71AE" w:rsidP="009D0D98">
            <w:pPr>
              <w:jc w:val="center"/>
              <w:rPr>
                <w:rFonts w:ascii="Times New Roman" w:hAnsi="Times New Roman" w:cs="Times New Roman"/>
                <w:highlight w:val="yellow"/>
                <w:lang w:val="en-US"/>
              </w:rPr>
            </w:pPr>
            <w:r w:rsidRPr="00AF2B46">
              <w:rPr>
                <w:rFonts w:ascii="Times New Roman" w:hAnsi="Times New Roman" w:cs="Times New Roman"/>
                <w:lang w:val="en-US"/>
              </w:rPr>
              <w:t>ICD-9</w:t>
            </w:r>
          </w:p>
        </w:tc>
        <w:tc>
          <w:tcPr>
            <w:tcW w:w="3848" w:type="dxa"/>
          </w:tcPr>
          <w:p w14:paraId="73409221" w14:textId="72BEDD06" w:rsidR="008E71AE" w:rsidRPr="009D0D98" w:rsidRDefault="008E71AE" w:rsidP="009D0D98">
            <w:pPr>
              <w:rPr>
                <w:rFonts w:ascii="Times New Roman" w:hAnsi="Times New Roman" w:cs="Times New Roman"/>
                <w:highlight w:val="yellow"/>
                <w:lang w:val="en-US"/>
              </w:rPr>
            </w:pPr>
            <w:r w:rsidRPr="00AF2B46">
              <w:rPr>
                <w:rFonts w:ascii="Times New Roman" w:hAnsi="Times New Roman" w:cs="Times New Roman"/>
                <w:lang w:val="en-US"/>
              </w:rPr>
              <w:t>191, 1920, 1921, 1928, 1929, 1943, 1944, 1983, 2250, 2252, 2258, 2259, 2370, 2371, 2375, 2377, 2379, 2396</w:t>
            </w:r>
          </w:p>
        </w:tc>
        <w:tc>
          <w:tcPr>
            <w:tcW w:w="4753" w:type="dxa"/>
            <w:vMerge w:val="restart"/>
          </w:tcPr>
          <w:p w14:paraId="0F32EEC8" w14:textId="148448B0" w:rsidR="008E71AE" w:rsidRPr="00AF2B46" w:rsidRDefault="008E71AE" w:rsidP="009D0D98">
            <w:pPr>
              <w:rPr>
                <w:rFonts w:ascii="Times New Roman" w:hAnsi="Times New Roman" w:cs="Times New Roman"/>
                <w:lang w:val="en-US"/>
              </w:rPr>
            </w:pPr>
            <w:r w:rsidRPr="00AF2B46">
              <w:rPr>
                <w:rFonts w:ascii="Times New Roman" w:hAnsi="Times New Roman" w:cs="Times New Roman"/>
                <w:lang w:val="en-US"/>
              </w:rPr>
              <w:t>Detection of any code</w:t>
            </w:r>
            <w:r>
              <w:rPr>
                <w:rFonts w:ascii="Times New Roman" w:hAnsi="Times New Roman" w:cs="Times New Roman"/>
                <w:lang w:val="en-US"/>
              </w:rPr>
              <w:t xml:space="preserve"> in any diagnostic position</w:t>
            </w:r>
            <w:r w:rsidR="00AD6FDB">
              <w:rPr>
                <w:rFonts w:ascii="Times New Roman" w:hAnsi="Times New Roman" w:cs="Times New Roman"/>
                <w:lang w:val="en-US"/>
              </w:rPr>
              <w:t xml:space="preserve"> – algorithm not validated</w:t>
            </w:r>
          </w:p>
        </w:tc>
      </w:tr>
      <w:tr w:rsidR="002D3ECA" w:rsidRPr="00AF2B46" w14:paraId="771EC981" w14:textId="77777777" w:rsidTr="003D494A">
        <w:trPr>
          <w:trHeight w:val="99"/>
        </w:trPr>
        <w:tc>
          <w:tcPr>
            <w:tcW w:w="1774" w:type="dxa"/>
            <w:vMerge/>
          </w:tcPr>
          <w:p w14:paraId="169CA4CD" w14:textId="77777777" w:rsidR="008E71AE" w:rsidRPr="00AF2B46" w:rsidRDefault="008E71AE" w:rsidP="009D0D98">
            <w:pPr>
              <w:rPr>
                <w:rFonts w:ascii="Times New Roman" w:hAnsi="Times New Roman" w:cs="Times New Roman"/>
                <w:lang w:val="en-US"/>
              </w:rPr>
            </w:pPr>
          </w:p>
        </w:tc>
        <w:tc>
          <w:tcPr>
            <w:tcW w:w="1354" w:type="dxa"/>
            <w:vMerge/>
          </w:tcPr>
          <w:p w14:paraId="126B1B73" w14:textId="77777777" w:rsidR="008E71AE" w:rsidRDefault="008E71AE" w:rsidP="009D0D98">
            <w:pPr>
              <w:jc w:val="center"/>
              <w:rPr>
                <w:rFonts w:ascii="Times New Roman" w:hAnsi="Times New Roman" w:cs="Times New Roman"/>
                <w:lang w:val="en-US"/>
              </w:rPr>
            </w:pPr>
          </w:p>
        </w:tc>
        <w:tc>
          <w:tcPr>
            <w:tcW w:w="1221" w:type="dxa"/>
          </w:tcPr>
          <w:p w14:paraId="3208CF7D" w14:textId="3EACAA80" w:rsidR="008E71AE" w:rsidRPr="00AF2B46" w:rsidRDefault="008E71AE" w:rsidP="009D0D98">
            <w:pPr>
              <w:jc w:val="center"/>
              <w:rPr>
                <w:rFonts w:ascii="Times New Roman" w:hAnsi="Times New Roman" w:cs="Times New Roman"/>
                <w:lang w:val="en-US"/>
              </w:rPr>
            </w:pPr>
            <w:r w:rsidRPr="00AF2B46">
              <w:rPr>
                <w:rFonts w:ascii="Times New Roman" w:hAnsi="Times New Roman" w:cs="Times New Roman"/>
                <w:lang w:val="en-US"/>
              </w:rPr>
              <w:t>ICD-10</w:t>
            </w:r>
          </w:p>
        </w:tc>
        <w:tc>
          <w:tcPr>
            <w:tcW w:w="3848" w:type="dxa"/>
          </w:tcPr>
          <w:p w14:paraId="170CB78B" w14:textId="09DF4656" w:rsidR="00420A5F" w:rsidRPr="00AF2B46" w:rsidRDefault="00244E23" w:rsidP="00420A5F">
            <w:pPr>
              <w:rPr>
                <w:rFonts w:ascii="Times New Roman" w:hAnsi="Times New Roman" w:cs="Times New Roman"/>
                <w:lang w:val="en-US"/>
              </w:rPr>
            </w:pPr>
            <w:r w:rsidRPr="00244E23">
              <w:rPr>
                <w:rFonts w:ascii="Times New Roman" w:hAnsi="Times New Roman" w:cs="Times New Roman"/>
                <w:lang w:val="en-US"/>
              </w:rPr>
              <w:t>C700</w:t>
            </w:r>
            <w:r w:rsidR="001200BB">
              <w:rPr>
                <w:rFonts w:ascii="Times New Roman" w:hAnsi="Times New Roman" w:cs="Times New Roman"/>
                <w:lang w:val="en-US"/>
              </w:rPr>
              <w:t xml:space="preserve">, </w:t>
            </w:r>
            <w:r w:rsidRPr="00244E23">
              <w:rPr>
                <w:rFonts w:ascii="Times New Roman" w:hAnsi="Times New Roman" w:cs="Times New Roman"/>
                <w:lang w:val="en-US"/>
              </w:rPr>
              <w:t>C709</w:t>
            </w:r>
            <w:r w:rsidR="006C1D68">
              <w:rPr>
                <w:rFonts w:ascii="Times New Roman" w:hAnsi="Times New Roman" w:cs="Times New Roman"/>
                <w:lang w:val="en-US"/>
              </w:rPr>
              <w:t>-</w:t>
            </w:r>
            <w:r w:rsidRPr="00244E23">
              <w:rPr>
                <w:rFonts w:ascii="Times New Roman" w:hAnsi="Times New Roman" w:cs="Times New Roman"/>
                <w:lang w:val="en-US"/>
              </w:rPr>
              <w:t>C715</w:t>
            </w:r>
            <w:r w:rsidR="001200BB">
              <w:rPr>
                <w:rFonts w:ascii="Times New Roman" w:hAnsi="Times New Roman" w:cs="Times New Roman"/>
                <w:lang w:val="en-US"/>
              </w:rPr>
              <w:t xml:space="preserve">, </w:t>
            </w:r>
            <w:r w:rsidRPr="00244E23">
              <w:rPr>
                <w:rFonts w:ascii="Times New Roman" w:hAnsi="Times New Roman" w:cs="Times New Roman"/>
                <w:lang w:val="en-US"/>
              </w:rPr>
              <w:t>C718</w:t>
            </w:r>
            <w:r w:rsidR="001200BB">
              <w:rPr>
                <w:rFonts w:ascii="Times New Roman" w:hAnsi="Times New Roman" w:cs="Times New Roman"/>
                <w:lang w:val="en-US"/>
              </w:rPr>
              <w:t xml:space="preserve">, </w:t>
            </w:r>
            <w:r w:rsidRPr="00244E23">
              <w:rPr>
                <w:rFonts w:ascii="Times New Roman" w:hAnsi="Times New Roman" w:cs="Times New Roman"/>
                <w:lang w:val="en-US"/>
              </w:rPr>
              <w:t>C719</w:t>
            </w:r>
            <w:r w:rsidR="001200BB">
              <w:rPr>
                <w:rFonts w:ascii="Times New Roman" w:hAnsi="Times New Roman" w:cs="Times New Roman"/>
                <w:lang w:val="en-US"/>
              </w:rPr>
              <w:t xml:space="preserve">, </w:t>
            </w:r>
            <w:r>
              <w:rPr>
                <w:rFonts w:ascii="Times New Roman" w:hAnsi="Times New Roman" w:cs="Times New Roman"/>
                <w:lang w:val="en-US"/>
              </w:rPr>
              <w:t>C72</w:t>
            </w:r>
            <w:r w:rsidR="001200BB">
              <w:rPr>
                <w:rFonts w:ascii="Times New Roman" w:hAnsi="Times New Roman" w:cs="Times New Roman"/>
                <w:lang w:val="en-US"/>
              </w:rPr>
              <w:t xml:space="preserve">, </w:t>
            </w:r>
            <w:r w:rsidR="00913797" w:rsidRPr="00913797">
              <w:rPr>
                <w:rFonts w:ascii="Times New Roman" w:hAnsi="Times New Roman" w:cs="Times New Roman"/>
                <w:lang w:val="en-US"/>
              </w:rPr>
              <w:t>D320</w:t>
            </w:r>
            <w:r w:rsidR="001200BB">
              <w:rPr>
                <w:rFonts w:ascii="Times New Roman" w:hAnsi="Times New Roman" w:cs="Times New Roman"/>
                <w:lang w:val="en-US"/>
              </w:rPr>
              <w:t xml:space="preserve">, </w:t>
            </w:r>
            <w:r w:rsidR="00913797" w:rsidRPr="00913797">
              <w:rPr>
                <w:rFonts w:ascii="Times New Roman" w:hAnsi="Times New Roman" w:cs="Times New Roman"/>
                <w:lang w:val="en-US"/>
              </w:rPr>
              <w:t>D330</w:t>
            </w:r>
            <w:r w:rsidR="005E22AD">
              <w:rPr>
                <w:rFonts w:ascii="Times New Roman" w:hAnsi="Times New Roman" w:cs="Times New Roman"/>
                <w:lang w:val="en-US"/>
              </w:rPr>
              <w:t>-</w:t>
            </w:r>
            <w:r w:rsidR="00913797" w:rsidRPr="00913797">
              <w:rPr>
                <w:rFonts w:ascii="Times New Roman" w:hAnsi="Times New Roman" w:cs="Times New Roman"/>
                <w:lang w:val="en-US"/>
              </w:rPr>
              <w:t>D333</w:t>
            </w:r>
            <w:r w:rsidR="001200BB">
              <w:rPr>
                <w:rFonts w:ascii="Times New Roman" w:hAnsi="Times New Roman" w:cs="Times New Roman"/>
                <w:lang w:val="en-US"/>
              </w:rPr>
              <w:t xml:space="preserve">, </w:t>
            </w:r>
            <w:r w:rsidR="00913797" w:rsidRPr="00913797">
              <w:rPr>
                <w:rFonts w:ascii="Times New Roman" w:hAnsi="Times New Roman" w:cs="Times New Roman"/>
                <w:lang w:val="en-US"/>
              </w:rPr>
              <w:t>D337</w:t>
            </w:r>
            <w:r w:rsidR="001200BB">
              <w:rPr>
                <w:rFonts w:ascii="Times New Roman" w:hAnsi="Times New Roman" w:cs="Times New Roman"/>
                <w:lang w:val="en-US"/>
              </w:rPr>
              <w:t xml:space="preserve">, </w:t>
            </w:r>
            <w:r w:rsidR="00913797" w:rsidRPr="00913797">
              <w:rPr>
                <w:rFonts w:ascii="Times New Roman" w:hAnsi="Times New Roman" w:cs="Times New Roman"/>
                <w:lang w:val="en-US"/>
              </w:rPr>
              <w:t>D420</w:t>
            </w:r>
            <w:r w:rsidR="001200BB">
              <w:rPr>
                <w:rFonts w:ascii="Times New Roman" w:hAnsi="Times New Roman" w:cs="Times New Roman"/>
                <w:lang w:val="en-US"/>
              </w:rPr>
              <w:t xml:space="preserve">, </w:t>
            </w:r>
            <w:r w:rsidR="00913797" w:rsidRPr="00913797">
              <w:rPr>
                <w:rFonts w:ascii="Times New Roman" w:hAnsi="Times New Roman" w:cs="Times New Roman"/>
                <w:lang w:val="en-US"/>
              </w:rPr>
              <w:t>D430</w:t>
            </w:r>
            <w:r w:rsidR="0071324F">
              <w:rPr>
                <w:rFonts w:ascii="Times New Roman" w:hAnsi="Times New Roman" w:cs="Times New Roman"/>
                <w:lang w:val="en-US"/>
              </w:rPr>
              <w:t>-</w:t>
            </w:r>
            <w:r w:rsidR="00913797" w:rsidRPr="00913797">
              <w:rPr>
                <w:rFonts w:ascii="Times New Roman" w:hAnsi="Times New Roman" w:cs="Times New Roman"/>
                <w:lang w:val="en-US"/>
              </w:rPr>
              <w:t>D433</w:t>
            </w:r>
            <w:r w:rsidR="001200BB">
              <w:rPr>
                <w:rFonts w:ascii="Times New Roman" w:hAnsi="Times New Roman" w:cs="Times New Roman"/>
                <w:lang w:val="en-US"/>
              </w:rPr>
              <w:t xml:space="preserve">, </w:t>
            </w:r>
            <w:r w:rsidR="00913797" w:rsidRPr="00913797">
              <w:rPr>
                <w:rFonts w:ascii="Times New Roman" w:hAnsi="Times New Roman" w:cs="Times New Roman"/>
                <w:lang w:val="en-US"/>
              </w:rPr>
              <w:t>D437</w:t>
            </w:r>
            <w:r w:rsidR="001200BB">
              <w:rPr>
                <w:rFonts w:ascii="Times New Roman" w:hAnsi="Times New Roman" w:cs="Times New Roman"/>
                <w:lang w:val="en-US"/>
              </w:rPr>
              <w:t xml:space="preserve">, </w:t>
            </w:r>
            <w:r w:rsidR="00913797" w:rsidRPr="00913797">
              <w:rPr>
                <w:rFonts w:ascii="Times New Roman" w:hAnsi="Times New Roman" w:cs="Times New Roman"/>
                <w:lang w:val="en-US"/>
              </w:rPr>
              <w:t>D439</w:t>
            </w:r>
            <w:r w:rsidR="001200BB">
              <w:rPr>
                <w:rFonts w:ascii="Times New Roman" w:hAnsi="Times New Roman" w:cs="Times New Roman"/>
                <w:lang w:val="en-US"/>
              </w:rPr>
              <w:t xml:space="preserve">, </w:t>
            </w:r>
            <w:r w:rsidR="00913797">
              <w:rPr>
                <w:rFonts w:ascii="Times New Roman" w:hAnsi="Times New Roman" w:cs="Times New Roman"/>
                <w:lang w:val="en-US"/>
              </w:rPr>
              <w:t>938</w:t>
            </w:r>
            <w:r w:rsidR="001200BB">
              <w:rPr>
                <w:rFonts w:ascii="Times New Roman" w:hAnsi="Times New Roman" w:cs="Times New Roman"/>
                <w:lang w:val="en-US"/>
              </w:rPr>
              <w:t xml:space="preserve">, </w:t>
            </w:r>
            <w:r w:rsidR="00420A5F" w:rsidRPr="00420A5F">
              <w:rPr>
                <w:rFonts w:ascii="Times New Roman" w:hAnsi="Times New Roman" w:cs="Times New Roman"/>
                <w:lang w:val="en-US"/>
              </w:rPr>
              <w:t>93900</w:t>
            </w:r>
            <w:r w:rsidR="001200BB">
              <w:rPr>
                <w:rFonts w:ascii="Times New Roman" w:hAnsi="Times New Roman" w:cs="Times New Roman"/>
                <w:lang w:val="en-US"/>
              </w:rPr>
              <w:t xml:space="preserve">, </w:t>
            </w:r>
            <w:r w:rsidR="00420A5F" w:rsidRPr="00420A5F">
              <w:rPr>
                <w:rFonts w:ascii="Times New Roman" w:hAnsi="Times New Roman" w:cs="Times New Roman"/>
                <w:lang w:val="en-US"/>
              </w:rPr>
              <w:t>93903</w:t>
            </w:r>
            <w:r w:rsidR="001200BB">
              <w:rPr>
                <w:rFonts w:ascii="Times New Roman" w:hAnsi="Times New Roman" w:cs="Times New Roman"/>
                <w:lang w:val="en-US"/>
              </w:rPr>
              <w:t xml:space="preserve">, </w:t>
            </w:r>
            <w:r w:rsidR="0011647D">
              <w:rPr>
                <w:rFonts w:ascii="Times New Roman" w:hAnsi="Times New Roman" w:cs="Times New Roman"/>
                <w:lang w:val="en-US"/>
              </w:rPr>
              <w:t>9</w:t>
            </w:r>
            <w:r w:rsidR="00B32168">
              <w:rPr>
                <w:rFonts w:ascii="Times New Roman" w:hAnsi="Times New Roman" w:cs="Times New Roman"/>
                <w:lang w:val="en-US"/>
              </w:rPr>
              <w:t>40-957</w:t>
            </w:r>
          </w:p>
        </w:tc>
        <w:tc>
          <w:tcPr>
            <w:tcW w:w="4753" w:type="dxa"/>
            <w:vMerge/>
          </w:tcPr>
          <w:p w14:paraId="5DEA0DC3" w14:textId="77777777" w:rsidR="008E71AE" w:rsidRPr="00AF2B46" w:rsidRDefault="008E71AE" w:rsidP="009D0D98">
            <w:pPr>
              <w:rPr>
                <w:rFonts w:ascii="Times New Roman" w:hAnsi="Times New Roman" w:cs="Times New Roman"/>
                <w:lang w:val="en-US"/>
              </w:rPr>
            </w:pPr>
          </w:p>
        </w:tc>
      </w:tr>
      <w:tr w:rsidR="002D3ECA" w:rsidRPr="00AF2B46" w14:paraId="5CDA51D7" w14:textId="3BBFB910" w:rsidTr="003D494A">
        <w:trPr>
          <w:trHeight w:val="299"/>
        </w:trPr>
        <w:tc>
          <w:tcPr>
            <w:tcW w:w="1774" w:type="dxa"/>
            <w:vMerge w:val="restart"/>
          </w:tcPr>
          <w:p w14:paraId="1F8FA89F" w14:textId="77777777" w:rsidR="009D0D98" w:rsidRPr="009679F5" w:rsidRDefault="009D0D98" w:rsidP="009D0D98">
            <w:pPr>
              <w:rPr>
                <w:rFonts w:ascii="Times New Roman" w:hAnsi="Times New Roman" w:cs="Times New Roman"/>
                <w:highlight w:val="yellow"/>
                <w:lang w:val="en-US"/>
              </w:rPr>
            </w:pPr>
            <w:r w:rsidRPr="007C6932">
              <w:rPr>
                <w:rFonts w:ascii="Times New Roman" w:hAnsi="Times New Roman" w:cs="Times New Roman"/>
                <w:lang w:val="en-US"/>
              </w:rPr>
              <w:t>Central Nervous System Infection</w:t>
            </w:r>
          </w:p>
        </w:tc>
        <w:tc>
          <w:tcPr>
            <w:tcW w:w="1354" w:type="dxa"/>
            <w:vMerge w:val="restart"/>
          </w:tcPr>
          <w:p w14:paraId="6544A710" w14:textId="77AB0DEC" w:rsidR="009D0D98" w:rsidRPr="009679F5" w:rsidRDefault="009D0D98" w:rsidP="009D0D98">
            <w:pPr>
              <w:jc w:val="center"/>
              <w:rPr>
                <w:rFonts w:ascii="Times New Roman" w:hAnsi="Times New Roman" w:cs="Times New Roman"/>
                <w:highlight w:val="yellow"/>
                <w:lang w:val="en-US"/>
              </w:rPr>
            </w:pPr>
            <w:r w:rsidRPr="008E48EF">
              <w:rPr>
                <w:rFonts w:ascii="Times New Roman" w:hAnsi="Times New Roman" w:cs="Times New Roman"/>
                <w:lang w:val="en-US"/>
              </w:rPr>
              <w:t xml:space="preserve">DAD, </w:t>
            </w:r>
            <w:r w:rsidR="001932D0" w:rsidRPr="009679F5">
              <w:rPr>
                <w:rFonts w:ascii="Times New Roman" w:hAnsi="Times New Roman" w:cs="Times New Roman"/>
                <w:lang w:val="en-US"/>
              </w:rPr>
              <w:t xml:space="preserve">SDS, </w:t>
            </w:r>
            <w:r w:rsidRPr="008E48EF">
              <w:rPr>
                <w:rFonts w:ascii="Times New Roman" w:hAnsi="Times New Roman" w:cs="Times New Roman"/>
                <w:lang w:val="en-US"/>
              </w:rPr>
              <w:t>NACRS</w:t>
            </w:r>
          </w:p>
        </w:tc>
        <w:tc>
          <w:tcPr>
            <w:tcW w:w="1221" w:type="dxa"/>
          </w:tcPr>
          <w:p w14:paraId="15C9FFB6" w14:textId="77777777" w:rsidR="009D0D98" w:rsidRPr="009679F5" w:rsidRDefault="009D0D98" w:rsidP="009D0D98">
            <w:pPr>
              <w:jc w:val="center"/>
              <w:rPr>
                <w:rFonts w:ascii="Times New Roman" w:hAnsi="Times New Roman" w:cs="Times New Roman"/>
                <w:highlight w:val="yellow"/>
                <w:lang w:val="en-US"/>
              </w:rPr>
            </w:pPr>
            <w:r w:rsidRPr="008E48EF">
              <w:rPr>
                <w:rFonts w:ascii="Times New Roman" w:hAnsi="Times New Roman" w:cs="Times New Roman"/>
                <w:lang w:val="en-US"/>
              </w:rPr>
              <w:t>ICD-9</w:t>
            </w:r>
          </w:p>
        </w:tc>
        <w:tc>
          <w:tcPr>
            <w:tcW w:w="3848" w:type="dxa"/>
          </w:tcPr>
          <w:p w14:paraId="01639601" w14:textId="5C2637AF" w:rsidR="009D0D98" w:rsidRPr="00490275" w:rsidRDefault="00122DD5" w:rsidP="009D0D98">
            <w:pPr>
              <w:rPr>
                <w:rFonts w:ascii="Times New Roman" w:hAnsi="Times New Roman" w:cs="Times New Roman"/>
                <w:lang w:val="en-US"/>
              </w:rPr>
            </w:pPr>
            <w:r w:rsidRPr="00941FA9">
              <w:rPr>
                <w:rFonts w:ascii="Times New Roman" w:hAnsi="Times New Roman" w:cs="Times New Roman"/>
                <w:lang w:val="en-US"/>
              </w:rPr>
              <w:t>0065, 036, 0130</w:t>
            </w:r>
            <w:r w:rsidR="0061447F">
              <w:rPr>
                <w:rFonts w:ascii="Times New Roman" w:hAnsi="Times New Roman" w:cs="Times New Roman"/>
                <w:lang w:val="en-US"/>
              </w:rPr>
              <w:t>-</w:t>
            </w:r>
            <w:r w:rsidRPr="006032FB">
              <w:rPr>
                <w:rFonts w:ascii="Times New Roman" w:hAnsi="Times New Roman" w:cs="Times New Roman"/>
                <w:lang w:val="en-US"/>
              </w:rPr>
              <w:t>0133</w:t>
            </w:r>
            <w:r w:rsidR="009E6489" w:rsidRPr="00027E2F">
              <w:rPr>
                <w:rFonts w:ascii="Times New Roman" w:hAnsi="Times New Roman" w:cs="Times New Roman"/>
                <w:lang w:val="en-US"/>
              </w:rPr>
              <w:t xml:space="preserve">, </w:t>
            </w:r>
            <w:r w:rsidRPr="00027E2F">
              <w:rPr>
                <w:rFonts w:ascii="Times New Roman" w:hAnsi="Times New Roman" w:cs="Times New Roman"/>
                <w:lang w:val="en-US"/>
              </w:rPr>
              <w:t>0136</w:t>
            </w:r>
            <w:r w:rsidR="009E6489" w:rsidRPr="00027631">
              <w:rPr>
                <w:rFonts w:ascii="Times New Roman" w:hAnsi="Times New Roman" w:cs="Times New Roman"/>
                <w:lang w:val="en-US"/>
              </w:rPr>
              <w:t xml:space="preserve">, </w:t>
            </w:r>
            <w:r w:rsidRPr="00490275">
              <w:rPr>
                <w:rFonts w:ascii="Times New Roman" w:hAnsi="Times New Roman" w:cs="Times New Roman"/>
                <w:lang w:val="en-US"/>
              </w:rPr>
              <w:t>0138</w:t>
            </w:r>
            <w:r w:rsidR="009E6489" w:rsidRPr="00490275">
              <w:rPr>
                <w:rFonts w:ascii="Times New Roman" w:hAnsi="Times New Roman" w:cs="Times New Roman"/>
                <w:lang w:val="en-US"/>
              </w:rPr>
              <w:t xml:space="preserve">, </w:t>
            </w:r>
            <w:r w:rsidRPr="00490275">
              <w:rPr>
                <w:rFonts w:ascii="Times New Roman" w:hAnsi="Times New Roman" w:cs="Times New Roman"/>
                <w:lang w:val="en-US"/>
              </w:rPr>
              <w:t>0139</w:t>
            </w:r>
            <w:r w:rsidR="009E6489" w:rsidRPr="00490275">
              <w:rPr>
                <w:rFonts w:ascii="Times New Roman" w:hAnsi="Times New Roman" w:cs="Times New Roman"/>
                <w:lang w:val="en-US"/>
              </w:rPr>
              <w:t xml:space="preserve">, </w:t>
            </w:r>
            <w:r w:rsidR="00345202" w:rsidRPr="00490275">
              <w:rPr>
                <w:rFonts w:ascii="Times New Roman" w:hAnsi="Times New Roman" w:cs="Times New Roman"/>
                <w:lang w:val="en-US"/>
              </w:rPr>
              <w:t>045-049</w:t>
            </w:r>
            <w:r w:rsidR="009E6489" w:rsidRPr="00490275">
              <w:rPr>
                <w:rFonts w:ascii="Times New Roman" w:hAnsi="Times New Roman" w:cs="Times New Roman"/>
                <w:lang w:val="en-US"/>
              </w:rPr>
              <w:t xml:space="preserve">, </w:t>
            </w:r>
            <w:r w:rsidR="00E74D2B" w:rsidRPr="00490275">
              <w:rPr>
                <w:rFonts w:ascii="Times New Roman" w:hAnsi="Times New Roman" w:cs="Times New Roman"/>
                <w:lang w:val="en-US"/>
              </w:rPr>
              <w:t>0520</w:t>
            </w:r>
            <w:r w:rsidR="009E6489" w:rsidRPr="00490275">
              <w:rPr>
                <w:rFonts w:ascii="Times New Roman" w:hAnsi="Times New Roman" w:cs="Times New Roman"/>
                <w:lang w:val="en-US"/>
              </w:rPr>
              <w:t xml:space="preserve">, </w:t>
            </w:r>
            <w:r w:rsidR="00E74D2B" w:rsidRPr="00490275">
              <w:rPr>
                <w:rFonts w:ascii="Times New Roman" w:hAnsi="Times New Roman" w:cs="Times New Roman"/>
                <w:lang w:val="en-US"/>
              </w:rPr>
              <w:t>0521</w:t>
            </w:r>
            <w:r w:rsidR="009E6489" w:rsidRPr="00490275">
              <w:rPr>
                <w:rFonts w:ascii="Times New Roman" w:hAnsi="Times New Roman" w:cs="Times New Roman"/>
                <w:lang w:val="en-US"/>
              </w:rPr>
              <w:t xml:space="preserve">, </w:t>
            </w:r>
            <w:r w:rsidR="00E74D2B" w:rsidRPr="00490275">
              <w:rPr>
                <w:rFonts w:ascii="Times New Roman" w:hAnsi="Times New Roman" w:cs="Times New Roman"/>
                <w:lang w:val="en-US"/>
              </w:rPr>
              <w:t>0530</w:t>
            </w:r>
            <w:r w:rsidR="00D91906" w:rsidRPr="00490275">
              <w:rPr>
                <w:rFonts w:ascii="Times New Roman" w:hAnsi="Times New Roman" w:cs="Times New Roman"/>
                <w:lang w:val="en-US"/>
              </w:rPr>
              <w:t>,</w:t>
            </w:r>
            <w:r w:rsidR="00E74D2B" w:rsidRPr="00490275">
              <w:rPr>
                <w:rFonts w:ascii="Times New Roman" w:hAnsi="Times New Roman" w:cs="Times New Roman"/>
                <w:lang w:val="en-US"/>
              </w:rPr>
              <w:t xml:space="preserve"> 0531</w:t>
            </w:r>
            <w:r w:rsidR="009E6489" w:rsidRPr="00490275">
              <w:rPr>
                <w:rFonts w:ascii="Times New Roman" w:hAnsi="Times New Roman" w:cs="Times New Roman"/>
                <w:lang w:val="en-US"/>
              </w:rPr>
              <w:t xml:space="preserve">, </w:t>
            </w:r>
            <w:r w:rsidR="00E74D2B" w:rsidRPr="00490275">
              <w:rPr>
                <w:rFonts w:ascii="Times New Roman" w:hAnsi="Times New Roman" w:cs="Times New Roman"/>
                <w:lang w:val="en-US"/>
              </w:rPr>
              <w:t>0543</w:t>
            </w:r>
            <w:r w:rsidR="009E6489" w:rsidRPr="00490275">
              <w:rPr>
                <w:rFonts w:ascii="Times New Roman" w:hAnsi="Times New Roman" w:cs="Times New Roman"/>
                <w:lang w:val="en-US"/>
              </w:rPr>
              <w:t xml:space="preserve">, </w:t>
            </w:r>
            <w:r w:rsidR="00E74D2B" w:rsidRPr="00490275">
              <w:rPr>
                <w:rFonts w:ascii="Times New Roman" w:hAnsi="Times New Roman" w:cs="Times New Roman"/>
                <w:lang w:val="en-US"/>
              </w:rPr>
              <w:t>0550</w:t>
            </w:r>
            <w:r w:rsidR="009E6489" w:rsidRPr="00490275">
              <w:rPr>
                <w:rFonts w:ascii="Times New Roman" w:hAnsi="Times New Roman" w:cs="Times New Roman"/>
                <w:lang w:val="en-US"/>
              </w:rPr>
              <w:t xml:space="preserve">, </w:t>
            </w:r>
            <w:r w:rsidR="00E74D2B" w:rsidRPr="00490275">
              <w:rPr>
                <w:rFonts w:ascii="Times New Roman" w:hAnsi="Times New Roman" w:cs="Times New Roman"/>
                <w:lang w:val="en-US"/>
              </w:rPr>
              <w:t>062-064</w:t>
            </w:r>
            <w:r w:rsidR="009E6489" w:rsidRPr="00490275">
              <w:rPr>
                <w:rFonts w:ascii="Times New Roman" w:hAnsi="Times New Roman" w:cs="Times New Roman"/>
                <w:lang w:val="en-US"/>
              </w:rPr>
              <w:t xml:space="preserve">, </w:t>
            </w:r>
            <w:r w:rsidR="00E74D2B" w:rsidRPr="00490275">
              <w:rPr>
                <w:rFonts w:ascii="Times New Roman" w:hAnsi="Times New Roman" w:cs="Times New Roman"/>
                <w:lang w:val="en-US"/>
              </w:rPr>
              <w:t>0662</w:t>
            </w:r>
            <w:r w:rsidR="009E6489" w:rsidRPr="00490275">
              <w:rPr>
                <w:rFonts w:ascii="Times New Roman" w:hAnsi="Times New Roman" w:cs="Times New Roman"/>
                <w:lang w:val="en-US"/>
              </w:rPr>
              <w:t xml:space="preserve">, </w:t>
            </w:r>
            <w:r w:rsidR="00304589" w:rsidRPr="00490275">
              <w:rPr>
                <w:rFonts w:ascii="Times New Roman" w:hAnsi="Times New Roman" w:cs="Times New Roman"/>
                <w:lang w:val="en-US"/>
              </w:rPr>
              <w:t>0721</w:t>
            </w:r>
            <w:r w:rsidR="009E6489" w:rsidRPr="00490275">
              <w:rPr>
                <w:rFonts w:ascii="Times New Roman" w:hAnsi="Times New Roman" w:cs="Times New Roman"/>
                <w:lang w:val="en-US"/>
              </w:rPr>
              <w:t xml:space="preserve">, </w:t>
            </w:r>
            <w:r w:rsidR="00304589" w:rsidRPr="00490275">
              <w:rPr>
                <w:rFonts w:ascii="Times New Roman" w:hAnsi="Times New Roman" w:cs="Times New Roman"/>
                <w:lang w:val="en-US"/>
              </w:rPr>
              <w:t>0722</w:t>
            </w:r>
            <w:r w:rsidR="009E6489" w:rsidRPr="00490275">
              <w:rPr>
                <w:rFonts w:ascii="Times New Roman" w:hAnsi="Times New Roman" w:cs="Times New Roman"/>
                <w:lang w:val="en-US"/>
              </w:rPr>
              <w:t xml:space="preserve">, </w:t>
            </w:r>
            <w:r w:rsidR="00304589" w:rsidRPr="00490275">
              <w:rPr>
                <w:rFonts w:ascii="Times New Roman" w:hAnsi="Times New Roman" w:cs="Times New Roman"/>
                <w:lang w:val="en-US"/>
              </w:rPr>
              <w:t>094</w:t>
            </w:r>
            <w:r w:rsidR="009E6489" w:rsidRPr="00490275">
              <w:rPr>
                <w:rFonts w:ascii="Times New Roman" w:hAnsi="Times New Roman" w:cs="Times New Roman"/>
                <w:lang w:val="en-US"/>
              </w:rPr>
              <w:t xml:space="preserve">, </w:t>
            </w:r>
            <w:r w:rsidR="00304589" w:rsidRPr="00490275">
              <w:rPr>
                <w:rFonts w:ascii="Times New Roman" w:hAnsi="Times New Roman" w:cs="Times New Roman"/>
                <w:lang w:val="en-US"/>
              </w:rPr>
              <w:t>1142</w:t>
            </w:r>
            <w:r w:rsidR="009E6489" w:rsidRPr="00490275">
              <w:rPr>
                <w:rFonts w:ascii="Times New Roman" w:hAnsi="Times New Roman" w:cs="Times New Roman"/>
                <w:lang w:val="en-US"/>
              </w:rPr>
              <w:t xml:space="preserve">, </w:t>
            </w:r>
            <w:r w:rsidR="00304589" w:rsidRPr="00490275">
              <w:rPr>
                <w:rFonts w:ascii="Times New Roman" w:hAnsi="Times New Roman" w:cs="Times New Roman"/>
                <w:lang w:val="en-US"/>
              </w:rPr>
              <w:t>1008</w:t>
            </w:r>
            <w:r w:rsidR="009E6489" w:rsidRPr="00490275">
              <w:rPr>
                <w:rFonts w:ascii="Times New Roman" w:hAnsi="Times New Roman" w:cs="Times New Roman"/>
                <w:lang w:val="en-US"/>
              </w:rPr>
              <w:t xml:space="preserve">, </w:t>
            </w:r>
            <w:r w:rsidR="00304589" w:rsidRPr="00490275">
              <w:rPr>
                <w:rFonts w:ascii="Times New Roman" w:hAnsi="Times New Roman" w:cs="Times New Roman"/>
                <w:lang w:val="en-US"/>
              </w:rPr>
              <w:t>320-</w:t>
            </w:r>
            <w:r w:rsidR="009E6489" w:rsidRPr="00490275">
              <w:rPr>
                <w:rFonts w:ascii="Times New Roman" w:hAnsi="Times New Roman" w:cs="Times New Roman"/>
                <w:lang w:val="en-US"/>
              </w:rPr>
              <w:t>323, 3240, 3249, 325</w:t>
            </w:r>
          </w:p>
        </w:tc>
        <w:tc>
          <w:tcPr>
            <w:tcW w:w="4753" w:type="dxa"/>
            <w:vMerge w:val="restart"/>
            <w:shd w:val="clear" w:color="auto" w:fill="auto"/>
          </w:tcPr>
          <w:p w14:paraId="7CFC5F38" w14:textId="77777777" w:rsidR="002F77B7" w:rsidRPr="006032FB" w:rsidRDefault="009D0D98" w:rsidP="009D0D98">
            <w:pPr>
              <w:rPr>
                <w:rFonts w:ascii="Times New Roman" w:hAnsi="Times New Roman" w:cs="Times New Roman"/>
                <w:lang w:val="en-US"/>
              </w:rPr>
            </w:pPr>
            <w:r w:rsidRPr="00941FA9">
              <w:rPr>
                <w:rFonts w:ascii="Times New Roman" w:hAnsi="Times New Roman" w:cs="Times New Roman"/>
                <w:lang w:val="en-US"/>
              </w:rPr>
              <w:t>Detection of any code in any diagnostic position</w:t>
            </w:r>
            <w:r w:rsidRPr="00602C68">
              <w:rPr>
                <w:rFonts w:ascii="Times New Roman" w:hAnsi="Times New Roman" w:cs="Times New Roman"/>
                <w:lang w:val="en-US"/>
              </w:rPr>
              <w:t xml:space="preserve"> – algorithm not validated</w:t>
            </w:r>
          </w:p>
          <w:p w14:paraId="2E74AC60" w14:textId="5028200C" w:rsidR="00941FA9" w:rsidRPr="00941FA9" w:rsidRDefault="009D0D98" w:rsidP="002F77B7">
            <w:pPr>
              <w:pStyle w:val="ListParagraph"/>
              <w:numPr>
                <w:ilvl w:val="0"/>
                <w:numId w:val="4"/>
              </w:numPr>
              <w:rPr>
                <w:rFonts w:ascii="Times New Roman" w:hAnsi="Times New Roman" w:cs="Times New Roman"/>
                <w:lang w:val="en-US"/>
              </w:rPr>
            </w:pPr>
            <w:r w:rsidRPr="00490275">
              <w:rPr>
                <w:rFonts w:ascii="Times New Roman" w:hAnsi="Times New Roman" w:cs="Times New Roman"/>
                <w:lang w:val="en-US"/>
              </w:rPr>
              <w:t>ICD-9</w:t>
            </w:r>
            <w:r w:rsidR="002D26BF" w:rsidRPr="00490275">
              <w:rPr>
                <w:rFonts w:ascii="Times New Roman" w:hAnsi="Times New Roman" w:cs="Times New Roman"/>
                <w:lang w:val="en-US"/>
              </w:rPr>
              <w:t xml:space="preserve"> </w:t>
            </w:r>
            <w:r w:rsidR="003D484B" w:rsidRPr="00490275">
              <w:rPr>
                <w:rFonts w:ascii="Times New Roman" w:hAnsi="Times New Roman" w:cs="Times New Roman"/>
                <w:lang w:val="en-US"/>
              </w:rPr>
              <w:t xml:space="preserve">list based on </w:t>
            </w:r>
            <w:r w:rsidR="002D26BF" w:rsidRPr="00490275">
              <w:rPr>
                <w:rFonts w:ascii="Times New Roman" w:hAnsi="Times New Roman" w:cs="Times New Roman"/>
                <w:lang w:val="en-US"/>
              </w:rPr>
              <w:t xml:space="preserve">codes used by </w:t>
            </w:r>
            <w:proofErr w:type="spellStart"/>
            <w:r w:rsidR="002D26BF" w:rsidRPr="00490275">
              <w:rPr>
                <w:rFonts w:ascii="Times New Roman" w:hAnsi="Times New Roman" w:cs="Times New Roman"/>
                <w:lang w:val="en-US"/>
              </w:rPr>
              <w:t>Hasbun</w:t>
            </w:r>
            <w:proofErr w:type="spellEnd"/>
            <w:r w:rsidR="002D26BF" w:rsidRPr="00490275">
              <w:rPr>
                <w:rFonts w:ascii="Times New Roman" w:hAnsi="Times New Roman" w:cs="Times New Roman"/>
                <w:lang w:val="en-US"/>
              </w:rPr>
              <w:t xml:space="preserve"> et al.</w:t>
            </w:r>
            <w:r w:rsidR="002D26BF" w:rsidRPr="00490275">
              <w:rPr>
                <w:rFonts w:ascii="Times New Roman" w:hAnsi="Times New Roman" w:cs="Times New Roman"/>
                <w:lang w:val="en-US"/>
              </w:rPr>
              <w:fldChar w:fldCharType="begin" w:fldLock="1"/>
            </w:r>
            <w:r w:rsidR="00F32543" w:rsidRPr="00490275">
              <w:rPr>
                <w:rFonts w:ascii="Times New Roman" w:hAnsi="Times New Roman" w:cs="Times New Roman"/>
                <w:lang w:val="en-US"/>
              </w:rPr>
              <w:instrText>ADDIN CSL_CITATION {"citationItems":[{"id":"ITEM-1","itemData":{"DOI":"10.1093/cid/cix319","ISBN":"1537-6591 (Electronic) 1058-4838 (Linking)","ISSN":"15376591","PMID":"28419350","abstract":"Background. Large epidemiological studies evaluating the etiologies, management decisions, and outcomes of adults with meningitis or encephalitis in the United States (US) are lacking. Methods. Adult patients (≥18 years) with meningitis or encephalitis by International Classification of Diseases, Ninth Revision codes available in the Premier Healthcare Database during 2011-2014 were analyzed. Results. A total of 26429 patients with meningitis or encephalitis were identified. The median age was 43 years; 53% were female. The most common etiology was enterovirus (13463 [51.6%]), followed by unknown (4944 [21.4%]), bacterial meningitis (3692 [14.1%]), herpes simplex virus (2184 [8.3%]), noninfectious (921 [3.5%]), fungal (720 [2.7%]), arboviruses (291 [1.1%]), and other viruses (214 [0.8%]). Empiric antibiotics, antivirals, and antifungals were administered in 85.8%, 53.4%, and 7.8%, respectively, and varied by etiologies. Adjunctive steroids were utilized in 15.9% of all patients and in 39.3% of patients with pneumococcal meningitis, with an associated decrease in mortality (6.67% vs 12.5%, P =.0245). The median length of stay was 4 days, with the longest duration in those with fungal (13), arboviral (10), and bacterial meningitis (7). Overall inpatient mortality was 2.9% and was higher in those with bacterial (8.2%), fungal (8.2%), or arboviral (8.9%) disease. Overall readmission rate at 30 days was 3.2%; patients with arboviral (12.7%), bacterial (6.7%), and fungal (5.4%) etiologies had higher rates. Conclusions. Viruses are the most common cause of meningitis and encephalitis in the United States and are treated with antibiotic therapy in the majority of cases. Adjunctive steroid treatment is underutilized in pneumococcal meningitis, where it has shown to decrease mortality.","author":[{"dropping-particle":"","family":"Hasbun","given":"Rodrigo","non-dropping-particle":"","parse-names":false,"suffix":""},{"dropping-particle":"","family":"Rosenthal","given":"Ning","non-dropping-particle":"","parse-names":false,"suffix":""},{"dropping-particle":"","family":"Balada-Llasat","given":"J. M.","non-dropping-particle":"","parse-names":false,"suffix":""},{"dropping-particle":"","family":"Chung","given":"Jessica","non-dropping-particle":"","parse-names":false,"suffix":""},{"dropping-particle":"","family":"Duff","given":"Steve","non-dropping-particle":"","parse-names":false,"suffix":""},{"dropping-particle":"","family":"Bozzette","given":"Samuel","non-dropping-particle":"","parse-names":false,"suffix":""},{"dropping-particle":"","family":"Zimmer","given":"Louise","non-dropping-particle":"","parse-names":false,"suffix":""},{"dropping-particle":"","family":"Ginocchio","given":"Christine C.","non-dropping-particle":"","parse-names":false,"suffix":""}],"container-title":"Clinical Infectious Diseases","id":"ITEM-1","issue":"3","issued":{"date-parts":[["2017"]]},"page":"359-363","title":"Epidemiology of meningitis and encephalitis in the United States, 2011-2014","type":"article-journal","volume":"65"},"uris":["http://www.mendeley.com/documents/?uuid=4d0b1645-64d7-4ae1-8ad1-0b79094f0819"]}],"mendeley":{"formattedCitation":"(13)","plainTextFormattedCitation":"(13)","previouslyFormattedCitation":"(13)"},"properties":{"noteIndex":0},"schema":"https://github.com/citation-style-language/schema/raw/master/csl-citation.json"}</w:instrText>
            </w:r>
            <w:r w:rsidR="002D26BF" w:rsidRPr="00490275">
              <w:rPr>
                <w:rFonts w:ascii="Times New Roman" w:hAnsi="Times New Roman" w:cs="Times New Roman"/>
                <w:lang w:val="en-US"/>
              </w:rPr>
              <w:fldChar w:fldCharType="separate"/>
            </w:r>
            <w:r w:rsidR="002D26BF" w:rsidRPr="00490275">
              <w:rPr>
                <w:rFonts w:ascii="Times New Roman" w:hAnsi="Times New Roman" w:cs="Times New Roman"/>
                <w:noProof/>
                <w:lang w:val="en-US"/>
              </w:rPr>
              <w:t>(13)</w:t>
            </w:r>
            <w:r w:rsidR="002D26BF" w:rsidRPr="00490275">
              <w:rPr>
                <w:rFonts w:ascii="Times New Roman" w:hAnsi="Times New Roman" w:cs="Times New Roman"/>
                <w:lang w:val="en-US"/>
              </w:rPr>
              <w:fldChar w:fldCharType="end"/>
            </w:r>
            <w:r w:rsidR="002D26BF" w:rsidRPr="00490275">
              <w:rPr>
                <w:rFonts w:ascii="Times New Roman" w:hAnsi="Times New Roman" w:cs="Times New Roman"/>
                <w:lang w:val="en-US"/>
              </w:rPr>
              <w:t xml:space="preserve"> and </w:t>
            </w:r>
            <w:proofErr w:type="spellStart"/>
            <w:r w:rsidR="002D26BF" w:rsidRPr="00490275">
              <w:rPr>
                <w:rFonts w:ascii="Times New Roman" w:hAnsi="Times New Roman" w:cs="Times New Roman"/>
                <w:lang w:val="en-US"/>
              </w:rPr>
              <w:t>Gedeborg</w:t>
            </w:r>
            <w:proofErr w:type="spellEnd"/>
            <w:r w:rsidR="002D26BF" w:rsidRPr="00490275">
              <w:rPr>
                <w:rFonts w:ascii="Times New Roman" w:hAnsi="Times New Roman" w:cs="Times New Roman"/>
                <w:lang w:val="en-US"/>
              </w:rPr>
              <w:t xml:space="preserve"> et al.</w:t>
            </w:r>
            <w:r w:rsidR="0092301A" w:rsidRPr="00490275">
              <w:rPr>
                <w:rFonts w:ascii="Times New Roman" w:hAnsi="Times New Roman" w:cs="Times New Roman"/>
                <w:lang w:val="en-US"/>
              </w:rPr>
              <w:fldChar w:fldCharType="begin" w:fldLock="1"/>
            </w:r>
            <w:r w:rsidR="009801EE" w:rsidRPr="00490275">
              <w:rPr>
                <w:rFonts w:ascii="Times New Roman" w:hAnsi="Times New Roman" w:cs="Times New Roman"/>
                <w:lang w:val="en-US"/>
              </w:rPr>
              <w:instrText>ADDIN CSL_CITATION {"citationItems":[{"id":"ITEM-1","itemData":{"DOI":"10.1016/j.jclinepi.2006.05.013","ISBN":"4618559357","ISSN":"08954356","PMID":"17208121","abstract":"Objective: To determine the accuracy of hospital discharge diagnoses in identifying severe infections among intensive care unit (ICU) patients, and estimate the impact of misclassification on incidence and 1-year mortality. Study Design and Setting: Sepsis, pneumonia, and central nervous system (CNS) infections among 7,615 ICU admissions were identified using ICD-9 and ICD-10 diagnoses from the Swedish hospital discharge register (HDR). Sensitivity, specificity, and likelihood ratios were calculated using ICU database diagnoses as reference standard, with inclusion in sepsis trials (IST) as secondary reference for sepsis. Results: CNS infections were accurately captured (sensitivity 95.4% [confidence interval (CI) = 86.8-100] and specificity 99.6% [CI = 99.4-99.8]). Community-acquired sepsis (sensitivity 51.1% [CI = 41.0-61.2] and specificity 99.4% [CI = 99.2-99.6]) and primary pneumonia (sensitivity 38.2% [CI = 31.2-45.2] and specificity 98.6% [CI = 98.2-99.0]) were more accurately detected than sepsis and pneumonia in general. One-year mortality was accurately estimated for primary pneumonia but underestimated for community-acquired sepsis. However, there were only small differences in sensitivity and specificity between HDR and ICU data in the ability to identify IST. ICD-9 appeared more accurate for sepsis, whereas ICD-10 was more accurate for pneumonia. Conclusion: Accuracy of hospital discharge diagnoses varied depending on diagnosis and case definition. The pattern of misclassification makes estimates of relative risk more accurate than estimates of absolute risk. © 2007 Elsevier Inc. All rights reserved.","author":[{"dropping-particle":"","family":"Gedeborg","given":"R.","non-dropping-particle":"","parse-names":false,"suffix":""},{"dropping-particle":"","family":"Furebring","given":"M.","non-dropping-particle":"","parse-names":false,"suffix":""},{"dropping-particle":"","family":"Michaëlsson","given":"K.","non-dropping-particle":"","parse-names":false,"suffix":""}],"container-title":"Journal of Clinical Epidemiology","id":"ITEM-1","issue":"2","issued":{"date-parts":[["2007"]]},"page":"155-162","title":"Diagnosis-dependent misclassification of infections using administrative data variably affected incidence and mortality estimates in ICU patients","type":"article-journal","volume":"60"},"uris":["http://www.mendeley.com/documents/?uuid=f74dcb93-ff5f-4b8b-bf1b-80473cb4158a"]}],"mendeley":{"formattedCitation":"(14)","plainTextFormattedCitation":"(14)","previouslyFormattedCitation":"(14)"},"properties":{"noteIndex":0},"schema":"https://github.com/citation-style-language/schema/raw/master/csl-citation.json"}</w:instrText>
            </w:r>
            <w:r w:rsidR="0092301A" w:rsidRPr="00490275">
              <w:rPr>
                <w:rFonts w:ascii="Times New Roman" w:hAnsi="Times New Roman" w:cs="Times New Roman"/>
                <w:lang w:val="en-US"/>
              </w:rPr>
              <w:fldChar w:fldCharType="separate"/>
            </w:r>
            <w:r w:rsidR="0092301A" w:rsidRPr="00490275">
              <w:rPr>
                <w:rFonts w:ascii="Times New Roman" w:hAnsi="Times New Roman" w:cs="Times New Roman"/>
                <w:noProof/>
                <w:lang w:val="en-US"/>
              </w:rPr>
              <w:t>(14)</w:t>
            </w:r>
            <w:r w:rsidR="0092301A" w:rsidRPr="00490275">
              <w:rPr>
                <w:rFonts w:ascii="Times New Roman" w:hAnsi="Times New Roman" w:cs="Times New Roman"/>
                <w:lang w:val="en-US"/>
              </w:rPr>
              <w:fldChar w:fldCharType="end"/>
            </w:r>
            <w:r w:rsidR="0092301A" w:rsidRPr="00490275">
              <w:rPr>
                <w:rFonts w:ascii="Times New Roman" w:hAnsi="Times New Roman" w:cs="Times New Roman"/>
                <w:lang w:val="en-US"/>
              </w:rPr>
              <w:t xml:space="preserve"> </w:t>
            </w:r>
          </w:p>
          <w:p w14:paraId="647E5045" w14:textId="250BAD30" w:rsidR="009D0D98" w:rsidRPr="00490275" w:rsidRDefault="009D0D98" w:rsidP="00490275">
            <w:pPr>
              <w:pStyle w:val="ListParagraph"/>
              <w:numPr>
                <w:ilvl w:val="0"/>
                <w:numId w:val="4"/>
              </w:numPr>
              <w:rPr>
                <w:rFonts w:ascii="Times New Roman" w:hAnsi="Times New Roman" w:cs="Times New Roman"/>
                <w:lang w:val="en-US"/>
              </w:rPr>
            </w:pPr>
            <w:r w:rsidRPr="00490275">
              <w:rPr>
                <w:rFonts w:ascii="Times New Roman" w:hAnsi="Times New Roman" w:cs="Times New Roman"/>
                <w:lang w:val="en-US"/>
              </w:rPr>
              <w:t>ICD-10</w:t>
            </w:r>
            <w:r w:rsidR="0026764D" w:rsidRPr="00490275">
              <w:rPr>
                <w:rFonts w:ascii="Times New Roman" w:hAnsi="Times New Roman" w:cs="Times New Roman"/>
                <w:lang w:val="en-US"/>
              </w:rPr>
              <w:t xml:space="preserve"> list based on codes used by </w:t>
            </w:r>
            <w:proofErr w:type="spellStart"/>
            <w:r w:rsidR="0026764D" w:rsidRPr="00490275">
              <w:rPr>
                <w:rFonts w:ascii="Times New Roman" w:hAnsi="Times New Roman" w:cs="Times New Roman"/>
                <w:lang w:val="en-US"/>
              </w:rPr>
              <w:t>Gedeborg</w:t>
            </w:r>
            <w:proofErr w:type="spellEnd"/>
            <w:r w:rsidR="0026764D" w:rsidRPr="00490275">
              <w:rPr>
                <w:rFonts w:ascii="Times New Roman" w:hAnsi="Times New Roman" w:cs="Times New Roman"/>
                <w:lang w:val="en-US"/>
              </w:rPr>
              <w:t xml:space="preserve"> et al.</w:t>
            </w:r>
            <w:r w:rsidR="00A00FF3" w:rsidRPr="00490275">
              <w:rPr>
                <w:rFonts w:ascii="Times New Roman" w:hAnsi="Times New Roman" w:cs="Times New Roman"/>
                <w:lang w:val="en-US"/>
              </w:rPr>
              <w:fldChar w:fldCharType="begin" w:fldLock="1"/>
            </w:r>
            <w:r w:rsidR="00A00FF3" w:rsidRPr="00490275">
              <w:rPr>
                <w:rFonts w:ascii="Times New Roman" w:hAnsi="Times New Roman" w:cs="Times New Roman"/>
                <w:lang w:val="en-US"/>
              </w:rPr>
              <w:instrText>ADDIN CSL_CITATION {"citationItems":[{"id":"ITEM-1","itemData":{"DOI":"10.1016/j.jclinepi.2006.05.013","ISBN":"4618559357","ISSN":"08954356","PMID":"17208121","abstract":"Objective: To determine the accuracy of hospital discharge diagnoses in identifying severe infections among intensive care unit (ICU) patients, and estimate the impact of misclassification on incidence and 1-year mortality. Study Design and Setting: Sepsis, pneumonia, and central nervous system (CNS) infections among 7,615 ICU admissions were identified using ICD-9 and ICD-10 diagnoses from the Swedish hospital discharge register (HDR). Sensitivity, specificity, and likelihood ratios were calculated using ICU database diagnoses as reference standard, with inclusion in sepsis trials (IST) as secondary reference for sepsis. Results: CNS infections were accurately captured (sensitivity 95.4% [confidence interval (CI) = 86.8-100] and specificity 99.6% [CI = 99.4-99.8]). Community-acquired sepsis (sensitivity 51.1% [CI = 41.0-61.2] and specificity 99.4% [CI = 99.2-99.6]) and primary pneumonia (sensitivity 38.2% [CI = 31.2-45.2] and specificity 98.6% [CI = 98.2-99.0]) were more accurately detected than sepsis and pneumonia in general. One-year mortality was accurately estimated for primary pneumonia but underestimated for community-acquired sepsis. However, there were only small differences in sensitivity and specificity between HDR and ICU data in the ability to identify IST. ICD-9 appeared more accurate for sepsis, whereas ICD-10 was more accurate for pneumonia. Conclusion: Accuracy of hospital discharge diagnoses varied depending on diagnosis and case definition. The pattern of misclassification makes estimates of relative risk more accurate than estimates of absolute risk. © 2007 Elsevier Inc. All rights reserved.","author":[{"dropping-particle":"","family":"Gedeborg","given":"R.","non-dropping-particle":"","parse-names":false,"suffix":""},{"dropping-particle":"","family":"Furebring","given":"M.","non-dropping-particle":"","parse-names":false,"suffix":""},{"dropping-particle":"","family":"Michaëlsson","given":"K.","non-dropping-particle":"","parse-names":false,"suffix":""}],"container-title":"Journal of Clinical Epidemiology","id":"ITEM-1","issue":"2","issued":{"date-parts":[["2007"]]},"page":"155-162","title":"Diagnosis-dependent misclassification of infections using administrative data variably affected incidence and mortality estimates in ICU patients","type":"article-journal","volume":"60"},"uris":["http://www.mendeley.com/documents/?uuid=f74dcb93-ff5f-4b8b-bf1b-80473cb4158a"]}],"mendeley":{"formattedCitation":"(14)","plainTextFormattedCitation":"(14)","previouslyFormattedCitation":"(14)"},"properties":{"noteIndex":0},"schema":"https://github.com/citation-style-language/schema/raw/master/csl-citation.json"}</w:instrText>
            </w:r>
            <w:r w:rsidR="00A00FF3" w:rsidRPr="00490275">
              <w:rPr>
                <w:rFonts w:ascii="Times New Roman" w:hAnsi="Times New Roman" w:cs="Times New Roman"/>
                <w:lang w:val="en-US"/>
              </w:rPr>
              <w:fldChar w:fldCharType="separate"/>
            </w:r>
            <w:r w:rsidR="00A00FF3" w:rsidRPr="00490275">
              <w:rPr>
                <w:rFonts w:ascii="Times New Roman" w:hAnsi="Times New Roman" w:cs="Times New Roman"/>
                <w:noProof/>
                <w:lang w:val="en-US"/>
              </w:rPr>
              <w:t>(14)</w:t>
            </w:r>
            <w:r w:rsidR="00A00FF3" w:rsidRPr="00490275">
              <w:rPr>
                <w:rFonts w:ascii="Times New Roman" w:hAnsi="Times New Roman" w:cs="Times New Roman"/>
                <w:lang w:val="en-US"/>
              </w:rPr>
              <w:fldChar w:fldCharType="end"/>
            </w:r>
            <w:r w:rsidR="00A00FF3" w:rsidRPr="00490275">
              <w:rPr>
                <w:rFonts w:ascii="Times New Roman" w:hAnsi="Times New Roman" w:cs="Times New Roman"/>
                <w:lang w:val="en-US"/>
              </w:rPr>
              <w:t xml:space="preserve"> and </w:t>
            </w:r>
            <w:proofErr w:type="spellStart"/>
            <w:r w:rsidR="00A00FF3" w:rsidRPr="00490275">
              <w:rPr>
                <w:rFonts w:ascii="Times New Roman" w:hAnsi="Times New Roman" w:cs="Times New Roman"/>
                <w:lang w:val="en-US"/>
              </w:rPr>
              <w:t>Ahlers</w:t>
            </w:r>
            <w:proofErr w:type="spellEnd"/>
            <w:r w:rsidR="00A00FF3" w:rsidRPr="00490275">
              <w:rPr>
                <w:rFonts w:ascii="Times New Roman" w:hAnsi="Times New Roman" w:cs="Times New Roman"/>
                <w:lang w:val="en-US"/>
              </w:rPr>
              <w:t xml:space="preserve"> et al.</w:t>
            </w:r>
            <w:r w:rsidRPr="00490275">
              <w:rPr>
                <w:rFonts w:ascii="Times New Roman" w:hAnsi="Times New Roman" w:cs="Times New Roman"/>
                <w:lang w:val="en-US"/>
              </w:rPr>
              <w:fldChar w:fldCharType="begin" w:fldLock="1"/>
            </w:r>
            <w:r w:rsidR="006C288F" w:rsidRPr="00490275">
              <w:rPr>
                <w:rFonts w:ascii="Times New Roman" w:hAnsi="Times New Roman" w:cs="Times New Roman"/>
                <w:lang w:val="en-US"/>
              </w:rPr>
              <w:instrText>ADDIN CSL_CITATION {"citationItems":[{"id":"ITEM-1","itemData":{"DOI":"10.1111/epi.14626","author":[{"dropping-particle":"","family":"Ahlers","given":"Frederik S","non-dropping-particle":"","parse-names":false,"suffix":""},{"dropping-particle":"","family":"Benros","given":"Michael E","non-dropping-particle":"","parse-names":false,"suffix":""},{"dropping-particle":"","family":"Dreier","given":"Julie W","non-dropping-particle":"","parse-names":false,"suffix":""},{"dropping-particle":"","family":"Christensen","given":"Jakob","non-dropping-particle":"","parse-names":false,"suffix":""}],"id":"ITEM-1","issue":"November","issued":{"date-parts":[["2018"]]},"page":"1-9","title":"Infections and risk of epilepsy in children and young adults: a nationwide study","type":"article-journal"},"uris":["http://www.mendeley.com/documents/?uuid=ca3d2450-de19-4902-b00e-20f71b064aa7"]}],"mendeley":{"formattedCitation":"(15)","plainTextFormattedCitation":"(15)","previouslyFormattedCitation":"(15)"},"properties":{"noteIndex":0},"schema":"https://github.com/citation-style-language/schema/raw/master/csl-citation.json"}</w:instrText>
            </w:r>
            <w:r w:rsidRPr="00490275">
              <w:rPr>
                <w:rFonts w:ascii="Times New Roman" w:hAnsi="Times New Roman" w:cs="Times New Roman"/>
                <w:lang w:val="en-US"/>
              </w:rPr>
              <w:fldChar w:fldCharType="separate"/>
            </w:r>
            <w:r w:rsidR="00A00FF3" w:rsidRPr="00490275">
              <w:rPr>
                <w:rFonts w:ascii="Times New Roman" w:hAnsi="Times New Roman" w:cs="Times New Roman"/>
                <w:noProof/>
                <w:lang w:val="en-US"/>
              </w:rPr>
              <w:t>(15)</w:t>
            </w:r>
            <w:r w:rsidRPr="00490275">
              <w:rPr>
                <w:rFonts w:ascii="Times New Roman" w:hAnsi="Times New Roman" w:cs="Times New Roman"/>
                <w:lang w:val="en-US"/>
              </w:rPr>
              <w:fldChar w:fldCharType="end"/>
            </w:r>
          </w:p>
        </w:tc>
      </w:tr>
      <w:tr w:rsidR="002D3ECA" w:rsidRPr="00AF2B46" w14:paraId="17D77E7F" w14:textId="619B8FE0" w:rsidTr="003D494A">
        <w:trPr>
          <w:trHeight w:val="299"/>
        </w:trPr>
        <w:tc>
          <w:tcPr>
            <w:tcW w:w="1774" w:type="dxa"/>
            <w:vMerge/>
          </w:tcPr>
          <w:p w14:paraId="3E828431" w14:textId="77777777" w:rsidR="009D0D98" w:rsidRPr="00490275" w:rsidRDefault="009D0D98" w:rsidP="009D0D98">
            <w:pPr>
              <w:rPr>
                <w:rFonts w:ascii="Times New Roman" w:hAnsi="Times New Roman" w:cs="Times New Roman"/>
                <w:highlight w:val="yellow"/>
                <w:lang w:val="en-US"/>
              </w:rPr>
            </w:pPr>
          </w:p>
        </w:tc>
        <w:tc>
          <w:tcPr>
            <w:tcW w:w="1354" w:type="dxa"/>
            <w:vMerge/>
          </w:tcPr>
          <w:p w14:paraId="30161289" w14:textId="77777777" w:rsidR="009D0D98" w:rsidRPr="00490275" w:rsidRDefault="009D0D98" w:rsidP="009D0D98">
            <w:pPr>
              <w:jc w:val="center"/>
              <w:rPr>
                <w:rFonts w:ascii="Times New Roman" w:hAnsi="Times New Roman" w:cs="Times New Roman"/>
                <w:highlight w:val="yellow"/>
                <w:lang w:val="en-US"/>
              </w:rPr>
            </w:pPr>
          </w:p>
        </w:tc>
        <w:tc>
          <w:tcPr>
            <w:tcW w:w="1221" w:type="dxa"/>
          </w:tcPr>
          <w:p w14:paraId="59D1D73A" w14:textId="77777777" w:rsidR="009D0D98" w:rsidRPr="009679F5" w:rsidRDefault="009D0D98" w:rsidP="009D0D98">
            <w:pPr>
              <w:jc w:val="center"/>
              <w:rPr>
                <w:rFonts w:ascii="Times New Roman" w:hAnsi="Times New Roman" w:cs="Times New Roman"/>
                <w:highlight w:val="yellow"/>
                <w:lang w:val="en-US"/>
              </w:rPr>
            </w:pPr>
            <w:r w:rsidRPr="007C6932">
              <w:rPr>
                <w:rFonts w:ascii="Times New Roman" w:hAnsi="Times New Roman" w:cs="Times New Roman"/>
                <w:lang w:val="en-US"/>
              </w:rPr>
              <w:t>ICD-10</w:t>
            </w:r>
          </w:p>
        </w:tc>
        <w:tc>
          <w:tcPr>
            <w:tcW w:w="3848" w:type="dxa"/>
          </w:tcPr>
          <w:p w14:paraId="623AB485" w14:textId="2265CA06" w:rsidR="009D0D98" w:rsidRPr="007C6932" w:rsidRDefault="00A6416A" w:rsidP="009D0D98">
            <w:pPr>
              <w:rPr>
                <w:rFonts w:ascii="Times New Roman" w:hAnsi="Times New Roman" w:cs="Times New Roman"/>
                <w:lang w:val="en-US"/>
              </w:rPr>
            </w:pPr>
            <w:r w:rsidRPr="007C6932">
              <w:rPr>
                <w:rFonts w:ascii="Times New Roman" w:hAnsi="Times New Roman" w:cs="Times New Roman"/>
                <w:lang w:val="en-US"/>
              </w:rPr>
              <w:t xml:space="preserve">A066, A17, </w:t>
            </w:r>
            <w:r w:rsidR="007C646B" w:rsidRPr="001B0EC2">
              <w:rPr>
                <w:rFonts w:ascii="Times New Roman" w:hAnsi="Times New Roman" w:cs="Times New Roman"/>
                <w:lang w:val="en-US"/>
              </w:rPr>
              <w:t>A321</w:t>
            </w:r>
            <w:r w:rsidR="007C6932">
              <w:rPr>
                <w:rFonts w:ascii="Times New Roman" w:hAnsi="Times New Roman" w:cs="Times New Roman"/>
                <w:lang w:val="en-US"/>
              </w:rPr>
              <w:t xml:space="preserve">, </w:t>
            </w:r>
            <w:r w:rsidR="007C646B" w:rsidRPr="007C6932">
              <w:rPr>
                <w:rFonts w:ascii="Times New Roman" w:hAnsi="Times New Roman" w:cs="Times New Roman"/>
                <w:lang w:val="en-US"/>
              </w:rPr>
              <w:t>A390</w:t>
            </w:r>
            <w:r w:rsidR="007C6932">
              <w:rPr>
                <w:rFonts w:ascii="Times New Roman" w:hAnsi="Times New Roman" w:cs="Times New Roman"/>
                <w:lang w:val="en-US"/>
              </w:rPr>
              <w:t xml:space="preserve">, </w:t>
            </w:r>
            <w:r w:rsidR="007C646B" w:rsidRPr="007C6932">
              <w:rPr>
                <w:rFonts w:ascii="Times New Roman" w:hAnsi="Times New Roman" w:cs="Times New Roman"/>
                <w:lang w:val="en-US"/>
              </w:rPr>
              <w:t>A394</w:t>
            </w:r>
            <w:r w:rsidR="007C6932">
              <w:rPr>
                <w:rFonts w:ascii="Times New Roman" w:hAnsi="Times New Roman" w:cs="Times New Roman"/>
                <w:lang w:val="en-US"/>
              </w:rPr>
              <w:t xml:space="preserve">, </w:t>
            </w:r>
            <w:r w:rsidR="007C646B" w:rsidRPr="007C6932">
              <w:rPr>
                <w:rFonts w:ascii="Times New Roman" w:hAnsi="Times New Roman" w:cs="Times New Roman"/>
                <w:lang w:val="en-US"/>
              </w:rPr>
              <w:t>A399</w:t>
            </w:r>
            <w:r w:rsidR="007C6932">
              <w:rPr>
                <w:rFonts w:ascii="Times New Roman" w:hAnsi="Times New Roman" w:cs="Times New Roman"/>
                <w:lang w:val="en-US"/>
              </w:rPr>
              <w:t xml:space="preserve">, </w:t>
            </w:r>
            <w:r w:rsidR="007C646B" w:rsidRPr="007C6932">
              <w:rPr>
                <w:rFonts w:ascii="Times New Roman" w:hAnsi="Times New Roman" w:cs="Times New Roman"/>
                <w:lang w:val="en-US"/>
              </w:rPr>
              <w:t>A504</w:t>
            </w:r>
            <w:r w:rsidR="007C6932">
              <w:rPr>
                <w:rFonts w:ascii="Times New Roman" w:hAnsi="Times New Roman" w:cs="Times New Roman"/>
                <w:lang w:val="en-US"/>
              </w:rPr>
              <w:t xml:space="preserve">, </w:t>
            </w:r>
            <w:r w:rsidR="007C646B" w:rsidRPr="007C6932">
              <w:rPr>
                <w:rFonts w:ascii="Times New Roman" w:hAnsi="Times New Roman" w:cs="Times New Roman"/>
                <w:lang w:val="en-US"/>
              </w:rPr>
              <w:t>A521</w:t>
            </w:r>
            <w:r w:rsidR="007C6932">
              <w:rPr>
                <w:rFonts w:ascii="Times New Roman" w:hAnsi="Times New Roman" w:cs="Times New Roman"/>
                <w:lang w:val="en-US"/>
              </w:rPr>
              <w:t xml:space="preserve">, </w:t>
            </w:r>
            <w:r w:rsidR="007C646B" w:rsidRPr="007C6932">
              <w:rPr>
                <w:rFonts w:ascii="Times New Roman" w:hAnsi="Times New Roman" w:cs="Times New Roman"/>
                <w:lang w:val="en-US"/>
              </w:rPr>
              <w:t>A522</w:t>
            </w:r>
            <w:r w:rsidR="007C6932">
              <w:rPr>
                <w:rFonts w:ascii="Times New Roman" w:hAnsi="Times New Roman" w:cs="Times New Roman"/>
                <w:lang w:val="en-US"/>
              </w:rPr>
              <w:t xml:space="preserve">, </w:t>
            </w:r>
            <w:r w:rsidR="007C646B" w:rsidRPr="009679F5">
              <w:rPr>
                <w:rFonts w:ascii="Times New Roman" w:hAnsi="Times New Roman" w:cs="Times New Roman"/>
                <w:lang w:val="en-US"/>
              </w:rPr>
              <w:t>A80-</w:t>
            </w:r>
            <w:r w:rsidR="00CB5859" w:rsidRPr="009679F5">
              <w:rPr>
                <w:rFonts w:ascii="Times New Roman" w:hAnsi="Times New Roman" w:cs="Times New Roman"/>
                <w:lang w:val="en-US"/>
              </w:rPr>
              <w:t>A89</w:t>
            </w:r>
            <w:r w:rsidR="007C6932">
              <w:rPr>
                <w:rFonts w:ascii="Times New Roman" w:hAnsi="Times New Roman" w:cs="Times New Roman"/>
                <w:lang w:val="en-US"/>
              </w:rPr>
              <w:t xml:space="preserve">, </w:t>
            </w:r>
            <w:r w:rsidR="00CB5859" w:rsidRPr="007C6932">
              <w:rPr>
                <w:rFonts w:ascii="Times New Roman" w:hAnsi="Times New Roman" w:cs="Times New Roman"/>
                <w:lang w:val="en-US"/>
              </w:rPr>
              <w:t>A922</w:t>
            </w:r>
            <w:r w:rsidR="007C6932">
              <w:rPr>
                <w:rFonts w:ascii="Times New Roman" w:hAnsi="Times New Roman" w:cs="Times New Roman"/>
                <w:lang w:val="en-US"/>
              </w:rPr>
              <w:t xml:space="preserve">, </w:t>
            </w:r>
            <w:r w:rsidR="00CB5859" w:rsidRPr="007C6932">
              <w:rPr>
                <w:rFonts w:ascii="Times New Roman" w:hAnsi="Times New Roman" w:cs="Times New Roman"/>
                <w:lang w:val="en-US"/>
              </w:rPr>
              <w:t>A923</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B003</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B004</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B010</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B011</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B020</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B021</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B050</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B051</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B060</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B261</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B262</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B375</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B384</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B451</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B574</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B582</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B602</w:t>
            </w:r>
            <w:r w:rsidR="007C6932">
              <w:rPr>
                <w:rFonts w:ascii="Times New Roman" w:hAnsi="Times New Roman" w:cs="Times New Roman"/>
                <w:lang w:val="en-US"/>
              </w:rPr>
              <w:t xml:space="preserve">, </w:t>
            </w:r>
            <w:r w:rsidR="004E0A45" w:rsidRPr="007C6932">
              <w:rPr>
                <w:rFonts w:ascii="Times New Roman" w:hAnsi="Times New Roman" w:cs="Times New Roman"/>
                <w:lang w:val="en-US"/>
              </w:rPr>
              <w:t>B941</w:t>
            </w:r>
            <w:r w:rsidR="007C6932">
              <w:rPr>
                <w:rFonts w:ascii="Times New Roman" w:hAnsi="Times New Roman" w:cs="Times New Roman"/>
                <w:lang w:val="en-US"/>
              </w:rPr>
              <w:t xml:space="preserve">, </w:t>
            </w:r>
            <w:r w:rsidR="004E0A45" w:rsidRPr="007C6932">
              <w:rPr>
                <w:rFonts w:ascii="Times New Roman" w:hAnsi="Times New Roman" w:cs="Times New Roman"/>
                <w:lang w:val="en-US"/>
              </w:rPr>
              <w:t>G01</w:t>
            </w:r>
            <w:r w:rsidR="001B0EC2">
              <w:rPr>
                <w:rFonts w:ascii="Times New Roman" w:hAnsi="Times New Roman" w:cs="Times New Roman"/>
                <w:lang w:val="en-US"/>
              </w:rPr>
              <w:t>-</w:t>
            </w:r>
            <w:r w:rsidR="004E0A45" w:rsidRPr="007C6932">
              <w:rPr>
                <w:rFonts w:ascii="Times New Roman" w:hAnsi="Times New Roman" w:cs="Times New Roman"/>
                <w:lang w:val="en-US"/>
              </w:rPr>
              <w:t>G07</w:t>
            </w:r>
            <w:r w:rsidR="007C6932">
              <w:rPr>
                <w:rFonts w:ascii="Times New Roman" w:hAnsi="Times New Roman" w:cs="Times New Roman"/>
                <w:lang w:val="en-US"/>
              </w:rPr>
              <w:t xml:space="preserve">, </w:t>
            </w:r>
            <w:r w:rsidR="004E0A45" w:rsidRPr="007C6932">
              <w:rPr>
                <w:rFonts w:ascii="Times New Roman" w:hAnsi="Times New Roman" w:cs="Times New Roman"/>
                <w:lang w:val="en-US"/>
              </w:rPr>
              <w:t>G36</w:t>
            </w:r>
          </w:p>
        </w:tc>
        <w:tc>
          <w:tcPr>
            <w:tcW w:w="4753" w:type="dxa"/>
            <w:vMerge/>
            <w:shd w:val="clear" w:color="auto" w:fill="auto"/>
          </w:tcPr>
          <w:p w14:paraId="012C341A" w14:textId="77777777" w:rsidR="009D0D98" w:rsidRPr="00490275" w:rsidRDefault="009D0D98" w:rsidP="009D0D98">
            <w:pPr>
              <w:rPr>
                <w:rFonts w:ascii="Times New Roman" w:hAnsi="Times New Roman" w:cs="Times New Roman"/>
                <w:highlight w:val="yellow"/>
                <w:lang w:val="en-US"/>
              </w:rPr>
            </w:pPr>
          </w:p>
        </w:tc>
      </w:tr>
      <w:tr w:rsidR="002D3ECA" w:rsidRPr="00AF2B46" w14:paraId="5E364587" w14:textId="59051468" w:rsidTr="003D494A">
        <w:trPr>
          <w:trHeight w:val="150"/>
        </w:trPr>
        <w:tc>
          <w:tcPr>
            <w:tcW w:w="1774" w:type="dxa"/>
            <w:vMerge w:val="restart"/>
          </w:tcPr>
          <w:p w14:paraId="411C98B1" w14:textId="77777777" w:rsidR="009D0D98" w:rsidRPr="009679F5" w:rsidRDefault="009D0D98" w:rsidP="009D0D98">
            <w:pPr>
              <w:rPr>
                <w:rFonts w:ascii="Times New Roman" w:hAnsi="Times New Roman" w:cs="Times New Roman"/>
                <w:highlight w:val="yellow"/>
                <w:lang w:val="en-US"/>
              </w:rPr>
            </w:pPr>
            <w:r w:rsidRPr="00490275">
              <w:rPr>
                <w:rFonts w:ascii="Times New Roman" w:hAnsi="Times New Roman" w:cs="Times New Roman"/>
                <w:lang w:val="en-US"/>
              </w:rPr>
              <w:t xml:space="preserve">Traumatic Brain Injury </w:t>
            </w:r>
          </w:p>
        </w:tc>
        <w:tc>
          <w:tcPr>
            <w:tcW w:w="1354" w:type="dxa"/>
            <w:vMerge w:val="restart"/>
          </w:tcPr>
          <w:p w14:paraId="011A9961" w14:textId="5E7E5593" w:rsidR="009D0D98" w:rsidRPr="00B63DC7" w:rsidRDefault="009D0D98" w:rsidP="009D0D98">
            <w:pPr>
              <w:jc w:val="center"/>
              <w:rPr>
                <w:rFonts w:ascii="Times New Roman" w:hAnsi="Times New Roman" w:cs="Times New Roman"/>
                <w:lang w:val="en-US"/>
              </w:rPr>
            </w:pPr>
            <w:r w:rsidRPr="00B63DC7">
              <w:rPr>
                <w:rFonts w:ascii="Times New Roman" w:hAnsi="Times New Roman" w:cs="Times New Roman"/>
                <w:lang w:val="en-US"/>
              </w:rPr>
              <w:t>DAD, NACRS</w:t>
            </w:r>
          </w:p>
        </w:tc>
        <w:tc>
          <w:tcPr>
            <w:tcW w:w="1221" w:type="dxa"/>
          </w:tcPr>
          <w:p w14:paraId="747ADC93" w14:textId="77777777" w:rsidR="009D0D98" w:rsidRPr="00B63DC7" w:rsidRDefault="009D0D98" w:rsidP="009D0D98">
            <w:pPr>
              <w:jc w:val="center"/>
              <w:rPr>
                <w:rFonts w:ascii="Times New Roman" w:hAnsi="Times New Roman" w:cs="Times New Roman"/>
                <w:lang w:val="en-US"/>
              </w:rPr>
            </w:pPr>
            <w:r w:rsidRPr="00B63DC7">
              <w:rPr>
                <w:rFonts w:ascii="Times New Roman" w:hAnsi="Times New Roman" w:cs="Times New Roman"/>
                <w:lang w:val="en-US"/>
              </w:rPr>
              <w:t>ICD-9</w:t>
            </w:r>
          </w:p>
        </w:tc>
        <w:tc>
          <w:tcPr>
            <w:tcW w:w="3848" w:type="dxa"/>
          </w:tcPr>
          <w:p w14:paraId="286CF867" w14:textId="4A07D3BB" w:rsidR="007173EE" w:rsidRPr="00490275" w:rsidRDefault="007173EE" w:rsidP="009D0D98">
            <w:pPr>
              <w:rPr>
                <w:rFonts w:ascii="Times New Roman" w:hAnsi="Times New Roman" w:cs="Times New Roman"/>
                <w:lang w:val="en-US"/>
              </w:rPr>
            </w:pPr>
            <w:r w:rsidRPr="00490275">
              <w:rPr>
                <w:rFonts w:ascii="Times New Roman" w:hAnsi="Times New Roman" w:cs="Times New Roman"/>
                <w:lang w:val="en-US"/>
              </w:rPr>
              <w:t xml:space="preserve">800, 801, 803, </w:t>
            </w:r>
            <w:r w:rsidR="00340E7C" w:rsidRPr="00490275">
              <w:rPr>
                <w:rFonts w:ascii="Times New Roman" w:hAnsi="Times New Roman" w:cs="Times New Roman"/>
                <w:lang w:val="en-US"/>
              </w:rPr>
              <w:t xml:space="preserve">804, </w:t>
            </w:r>
            <w:r w:rsidR="00526AC2" w:rsidRPr="00490275">
              <w:rPr>
                <w:rFonts w:ascii="Times New Roman" w:hAnsi="Times New Roman" w:cs="Times New Roman"/>
                <w:lang w:val="en-US"/>
              </w:rPr>
              <w:t>850</w:t>
            </w:r>
            <w:r w:rsidR="009E0878" w:rsidRPr="00490275">
              <w:rPr>
                <w:rFonts w:ascii="Times New Roman" w:hAnsi="Times New Roman" w:cs="Times New Roman"/>
                <w:lang w:val="en-US"/>
              </w:rPr>
              <w:t>-</w:t>
            </w:r>
            <w:r w:rsidR="00DD5E62" w:rsidRPr="00490275">
              <w:rPr>
                <w:rFonts w:ascii="Times New Roman" w:hAnsi="Times New Roman" w:cs="Times New Roman"/>
                <w:lang w:val="en-US"/>
              </w:rPr>
              <w:t>854</w:t>
            </w:r>
            <w:r w:rsidR="009E6F5C" w:rsidRPr="00490275">
              <w:rPr>
                <w:rFonts w:ascii="Times New Roman" w:hAnsi="Times New Roman" w:cs="Times New Roman"/>
                <w:lang w:val="en-US"/>
              </w:rPr>
              <w:t>, 9590</w:t>
            </w:r>
          </w:p>
        </w:tc>
        <w:tc>
          <w:tcPr>
            <w:tcW w:w="4753" w:type="dxa"/>
            <w:vMerge w:val="restart"/>
          </w:tcPr>
          <w:p w14:paraId="1768E434" w14:textId="77777777" w:rsidR="006032FB" w:rsidRPr="00490275" w:rsidRDefault="009D0D98" w:rsidP="009D0D98">
            <w:pPr>
              <w:rPr>
                <w:rFonts w:ascii="Times New Roman" w:hAnsi="Times New Roman" w:cs="Times New Roman"/>
                <w:lang w:val="en-US"/>
              </w:rPr>
            </w:pPr>
            <w:r w:rsidRPr="00490275">
              <w:rPr>
                <w:rFonts w:ascii="Times New Roman" w:hAnsi="Times New Roman" w:cs="Times New Roman"/>
                <w:lang w:val="en-US"/>
              </w:rPr>
              <w:t xml:space="preserve">Detection of any code in any diagnostic position – algorithm not validated </w:t>
            </w:r>
          </w:p>
          <w:p w14:paraId="3E9F2407" w14:textId="4DE16BDA" w:rsidR="00027E2F" w:rsidRPr="00027E2F" w:rsidRDefault="009D0D98" w:rsidP="006032FB">
            <w:pPr>
              <w:pStyle w:val="ListParagraph"/>
              <w:numPr>
                <w:ilvl w:val="0"/>
                <w:numId w:val="6"/>
              </w:numPr>
              <w:rPr>
                <w:rFonts w:ascii="Times New Roman" w:hAnsi="Times New Roman" w:cs="Times New Roman"/>
                <w:lang w:val="en-US"/>
              </w:rPr>
            </w:pPr>
            <w:r w:rsidRPr="00490275">
              <w:rPr>
                <w:rFonts w:ascii="Times New Roman" w:hAnsi="Times New Roman" w:cs="Times New Roman"/>
                <w:lang w:val="en-US"/>
              </w:rPr>
              <w:t>ICD-9</w:t>
            </w:r>
            <w:r w:rsidR="007A46E9" w:rsidRPr="00490275">
              <w:rPr>
                <w:rFonts w:ascii="Times New Roman" w:hAnsi="Times New Roman" w:cs="Times New Roman"/>
                <w:lang w:val="en-US"/>
              </w:rPr>
              <w:t xml:space="preserve"> </w:t>
            </w:r>
            <w:r w:rsidR="00940587" w:rsidRPr="00490275">
              <w:rPr>
                <w:rFonts w:ascii="Times New Roman" w:hAnsi="Times New Roman" w:cs="Times New Roman"/>
                <w:lang w:val="en-US"/>
              </w:rPr>
              <w:t>list</w:t>
            </w:r>
            <w:r w:rsidR="007A46E9" w:rsidRPr="00490275">
              <w:rPr>
                <w:rFonts w:ascii="Times New Roman" w:hAnsi="Times New Roman" w:cs="Times New Roman"/>
                <w:lang w:val="en-US"/>
              </w:rPr>
              <w:t xml:space="preserve"> based on </w:t>
            </w:r>
            <w:r w:rsidR="006C288F" w:rsidRPr="00490275">
              <w:rPr>
                <w:rFonts w:ascii="Times New Roman" w:hAnsi="Times New Roman" w:cs="Times New Roman"/>
                <w:lang w:val="en-US"/>
              </w:rPr>
              <w:t xml:space="preserve">codes </w:t>
            </w:r>
            <w:r w:rsidR="00F667E3" w:rsidRPr="00490275">
              <w:rPr>
                <w:rFonts w:ascii="Times New Roman" w:hAnsi="Times New Roman" w:cs="Times New Roman"/>
                <w:lang w:val="en-US"/>
              </w:rPr>
              <w:t>used by</w:t>
            </w:r>
            <w:r w:rsidR="006C288F" w:rsidRPr="00490275">
              <w:rPr>
                <w:rFonts w:ascii="Times New Roman" w:hAnsi="Times New Roman" w:cs="Times New Roman"/>
                <w:lang w:val="en-US"/>
              </w:rPr>
              <w:t xml:space="preserve"> </w:t>
            </w:r>
            <w:proofErr w:type="spellStart"/>
            <w:r w:rsidR="006C288F" w:rsidRPr="00490275">
              <w:rPr>
                <w:rFonts w:ascii="Times New Roman" w:hAnsi="Times New Roman" w:cs="Times New Roman"/>
                <w:lang w:val="en-US"/>
              </w:rPr>
              <w:t>Bazarian</w:t>
            </w:r>
            <w:proofErr w:type="spellEnd"/>
            <w:r w:rsidR="006C288F" w:rsidRPr="00490275">
              <w:rPr>
                <w:rFonts w:ascii="Times New Roman" w:hAnsi="Times New Roman" w:cs="Times New Roman"/>
                <w:lang w:val="en-US"/>
              </w:rPr>
              <w:t xml:space="preserve"> et al.</w:t>
            </w:r>
            <w:r w:rsidR="006C288F" w:rsidRPr="00490275">
              <w:rPr>
                <w:rFonts w:ascii="Times New Roman" w:hAnsi="Times New Roman" w:cs="Times New Roman"/>
                <w:lang w:val="en-US"/>
              </w:rPr>
              <w:fldChar w:fldCharType="begin" w:fldLock="1"/>
            </w:r>
            <w:r w:rsidR="005069B9" w:rsidRPr="00490275">
              <w:rPr>
                <w:rFonts w:ascii="Times New Roman" w:hAnsi="Times New Roman" w:cs="Times New Roman"/>
                <w:lang w:val="en-US"/>
              </w:rPr>
              <w:instrText>ADDIN CSL_CITATION {"citationItems":[{"id":"ITEM-1","itemData":{"DOI":"10.1197/j.aem.2005.07.038","ISBN":"1553-2712 (Electronic)\\r1069-6563 (Linking)","ISSN":"10696563","PMID":"16365331","abstract":"Objectives: To determine the accuracy of mild traumatic brain injury (TBI) case ascertainment using International Classification of Diseases, 9th Revision, Clinical Modification (ICD-9-CM) codes proposed by the Centers for Disease Control and Prevention (CDC) in a 2003 Report to Congress. Methods: This was a prospective cohort study of all patients presenting to an urban academic emergency department (ED) over six months in 2003. A real-time clinical assessment of mild TBI was compared with the ICD-9 codes assigned after ED or hospital discharge for a determination of sensitivity and specificity. Results: Of the 35,096 patients presenting to the ED, 516 had clinically defined mild TBI and 1,000 were assigned one or more of the mild TBI ICD-9 codes proposed by the CDC. The sensitivity of these codes was 45.9% (95% confidence interval [95% CI] = 41.3% to 50.2%) with a specificity of 97.8% (95% CI = 97.6% to 97.9%). Conclusions: The identification of mild TBI patients using retrospectively assigned ICD-9 codes appears to be inaccurate. These codes are associated with a significant number of false-positive and false-negative code assignments. Mild TBI incidence and prevalence estimates using these codes should be interpreted with caution. ICD-9 codes should not replace a clinical assessment for mild TBI when accurate case ascertainment is required. © 2006 by the Society for Academic Emergency Medicine.","author":[{"dropping-particle":"","family":"Bazarian","given":"Jeffrey J.","non-dropping-particle":"","parse-names":false,"suffix":""},{"dropping-particle":"","family":"Veazie","given":"Peter","non-dropping-particle":"","parse-names":false,"suffix":""},{"dropping-particle":"","family":"Mookerjee","given":"Sohug","non-dropping-particle":"","parse-names":false,"suffix":""},{"dropping-particle":"","family":"Lerner","given":"E. Brooke","non-dropping-particle":"","parse-names":false,"suffix":""}],"container-title":"Academic Emergency Medicine","id":"ITEM-1","issue":"1","issued":{"date-parts":[["2006"]]},"page":"31-38","title":"Accuracy of mild traumatic brain injury case ascertainment using ICD-9 codes","type":"article-journal","volume":"13"},"uris":["http://www.mendeley.com/documents/?uuid=cf5c7918-b638-443d-9d5f-8a4670b24587"]}],"mendeley":{"formattedCitation":"(16)","plainTextFormattedCitation":"(16)","previouslyFormattedCitation":"(16)"},"properties":{"noteIndex":0},"schema":"https://github.com/citation-style-language/schema/raw/master/csl-citation.json"}</w:instrText>
            </w:r>
            <w:r w:rsidR="006C288F" w:rsidRPr="00490275">
              <w:rPr>
                <w:rFonts w:ascii="Times New Roman" w:hAnsi="Times New Roman" w:cs="Times New Roman"/>
                <w:lang w:val="en-US"/>
              </w:rPr>
              <w:fldChar w:fldCharType="separate"/>
            </w:r>
            <w:r w:rsidR="006C288F" w:rsidRPr="00490275">
              <w:rPr>
                <w:rFonts w:ascii="Times New Roman" w:hAnsi="Times New Roman" w:cs="Times New Roman"/>
                <w:noProof/>
                <w:lang w:val="en-US"/>
              </w:rPr>
              <w:t>(16)</w:t>
            </w:r>
            <w:r w:rsidR="006C288F" w:rsidRPr="00490275">
              <w:rPr>
                <w:rFonts w:ascii="Times New Roman" w:hAnsi="Times New Roman" w:cs="Times New Roman"/>
                <w:lang w:val="en-US"/>
              </w:rPr>
              <w:fldChar w:fldCharType="end"/>
            </w:r>
            <w:r w:rsidR="006C288F" w:rsidRPr="00490275">
              <w:rPr>
                <w:rFonts w:ascii="Times New Roman" w:hAnsi="Times New Roman" w:cs="Times New Roman"/>
                <w:lang w:val="en-US"/>
              </w:rPr>
              <w:t xml:space="preserve"> and </w:t>
            </w:r>
            <w:r w:rsidR="005069B9" w:rsidRPr="00490275">
              <w:rPr>
                <w:rFonts w:ascii="Times New Roman" w:hAnsi="Times New Roman" w:cs="Times New Roman"/>
                <w:lang w:val="en-US"/>
              </w:rPr>
              <w:t>McGarry et al.</w:t>
            </w:r>
            <w:r w:rsidR="005069B9" w:rsidRPr="00490275">
              <w:rPr>
                <w:rFonts w:ascii="Times New Roman" w:hAnsi="Times New Roman" w:cs="Times New Roman"/>
                <w:lang w:val="en-US"/>
              </w:rPr>
              <w:fldChar w:fldCharType="begin" w:fldLock="1"/>
            </w:r>
            <w:r w:rsidR="009F288A" w:rsidRPr="00490275">
              <w:rPr>
                <w:rFonts w:ascii="Times New Roman" w:hAnsi="Times New Roman" w:cs="Times New Roman"/>
                <w:lang w:val="en-US"/>
              </w:rPr>
              <w:instrText>ADDIN CSL_CITATION {"citationItems":[{"id":"ITEM-1","itemData":{"DOI":"10.1097/01.TA.0000025801.33552.71","ISBN":"ISBN: 978 92 890 5068 5","ISSN":"0022-5282","PMID":"12478043","abstract":"Nutritional surveillance in school-aged children, using measured weight and height, is not common in the WHO European Region. At the first consultation with Member States in the process leading to the WHO European Ministerial Conference on Counteracting Obesity in 2006, Member States recognized the need for harmonized surveillance systems among primary-school children on which policy development within the Region could be based. Establishment of the WHO European Childhood Obesity Surveillance Initiative (COSI) by the WHO Regional Office for Europe was a response to this need. COSI aims to measure trends in overweight and obesity in children aged 6.0–9.9 years in order to monitor the progress of the epidemic and to reverse it, and to make intercountry comparisons within the Region. This is the first official WHO report on the implementation of COSI during two data collection rounds (school years 2007/2008 and 2009/2010) in 16 participating countries. This document uses the strengths, weaknesses, opportunities and threats technique to evaluate the implementation and reports the experiences gained, the challenges encountered and the obstacles overcome by countries participating in COSI.","author":[{"dropping-particle":"","family":"McGarry","given":"L","non-dropping-particle":"","parse-names":false,"suffix":""},{"dropping-particle":"","family":"Thompson","given":"D","non-dropping-particle":"","parse-names":false,"suffix":""},{"dropping-particle":"","family":"Millham","given":"F","non-dropping-particle":"","parse-names":false,"suffix":""},{"dropping-particle":"","family":"Cowell","given":"L","non-dropping-particle":"","parse-names":false,"suffix":""},{"dropping-particle":"","family":"Snyder","given":"P","non-dropping-particle":"","parse-names":false,"suffix":""},{"dropping-particle":"","family":"Lenderking","given":"W","non-dropping-particle":"","parse-names":false,"suffix":""},{"dropping-particle":"","family":"Weinstein","given":"M","non-dropping-particle":"","parse-names":false,"suffix":""}],"container-title":"The Journal of Trauma","id":"ITEM-1","issued":{"date-parts":[["2002"]]},"page":"1152-1159","title":"Outcomes and costs of acute treatment of traumatic brain injury","type":"article-journal","volume":"53"},"uris":["http://www.mendeley.com/documents/?uuid=bf0d280c-aa50-4238-a991-7cbc6683da83"]}],"mendeley":{"formattedCitation":"(17)","plainTextFormattedCitation":"(17)","previouslyFormattedCitation":"(17)"},"properties":{"noteIndex":0},"schema":"https://github.com/citation-style-language/schema/raw/master/csl-citation.json"}</w:instrText>
            </w:r>
            <w:r w:rsidR="005069B9" w:rsidRPr="00490275">
              <w:rPr>
                <w:rFonts w:ascii="Times New Roman" w:hAnsi="Times New Roman" w:cs="Times New Roman"/>
                <w:lang w:val="en-US"/>
              </w:rPr>
              <w:fldChar w:fldCharType="separate"/>
            </w:r>
            <w:r w:rsidR="005069B9" w:rsidRPr="00490275">
              <w:rPr>
                <w:rFonts w:ascii="Times New Roman" w:hAnsi="Times New Roman" w:cs="Times New Roman"/>
                <w:noProof/>
                <w:lang w:val="en-US"/>
              </w:rPr>
              <w:t>(17)</w:t>
            </w:r>
            <w:r w:rsidR="005069B9" w:rsidRPr="00490275">
              <w:rPr>
                <w:rFonts w:ascii="Times New Roman" w:hAnsi="Times New Roman" w:cs="Times New Roman"/>
                <w:lang w:val="en-US"/>
              </w:rPr>
              <w:fldChar w:fldCharType="end"/>
            </w:r>
            <w:r w:rsidR="005069B9" w:rsidRPr="00490275">
              <w:rPr>
                <w:rFonts w:ascii="Times New Roman" w:hAnsi="Times New Roman" w:cs="Times New Roman"/>
                <w:lang w:val="en-US"/>
              </w:rPr>
              <w:t xml:space="preserve"> </w:t>
            </w:r>
          </w:p>
          <w:p w14:paraId="77825650" w14:textId="25FD0925" w:rsidR="009D0D98" w:rsidRPr="00490275" w:rsidRDefault="009D0D98" w:rsidP="00490275">
            <w:pPr>
              <w:pStyle w:val="ListParagraph"/>
              <w:numPr>
                <w:ilvl w:val="0"/>
                <w:numId w:val="6"/>
              </w:numPr>
              <w:rPr>
                <w:rFonts w:ascii="Times New Roman" w:hAnsi="Times New Roman" w:cs="Times New Roman"/>
                <w:lang w:val="en-US"/>
              </w:rPr>
            </w:pPr>
            <w:r w:rsidRPr="00490275">
              <w:rPr>
                <w:rFonts w:ascii="Times New Roman" w:hAnsi="Times New Roman" w:cs="Times New Roman"/>
                <w:lang w:val="en-US"/>
              </w:rPr>
              <w:t>ICD-10</w:t>
            </w:r>
            <w:r w:rsidR="005069B9" w:rsidRPr="00490275">
              <w:rPr>
                <w:rFonts w:ascii="Times New Roman" w:hAnsi="Times New Roman" w:cs="Times New Roman"/>
                <w:lang w:val="en-US"/>
              </w:rPr>
              <w:t xml:space="preserve"> </w:t>
            </w:r>
            <w:r w:rsidR="00940587" w:rsidRPr="00490275">
              <w:rPr>
                <w:rFonts w:ascii="Times New Roman" w:hAnsi="Times New Roman" w:cs="Times New Roman"/>
                <w:lang w:val="en-US"/>
              </w:rPr>
              <w:t xml:space="preserve">list </w:t>
            </w:r>
            <w:r w:rsidR="005069B9" w:rsidRPr="00490275">
              <w:rPr>
                <w:rFonts w:ascii="Times New Roman" w:hAnsi="Times New Roman" w:cs="Times New Roman"/>
                <w:lang w:val="en-US"/>
              </w:rPr>
              <w:t xml:space="preserve">based on codes used </w:t>
            </w:r>
            <w:r w:rsidR="00940587" w:rsidRPr="00490275">
              <w:rPr>
                <w:rFonts w:ascii="Times New Roman" w:hAnsi="Times New Roman" w:cs="Times New Roman"/>
                <w:lang w:val="en-US"/>
              </w:rPr>
              <w:t>by</w:t>
            </w:r>
            <w:r w:rsidR="009F288A" w:rsidRPr="00490275">
              <w:rPr>
                <w:rFonts w:ascii="Times New Roman" w:hAnsi="Times New Roman" w:cs="Times New Roman"/>
                <w:lang w:val="en-US"/>
              </w:rPr>
              <w:t xml:space="preserve"> Chen and </w:t>
            </w:r>
            <w:proofErr w:type="spellStart"/>
            <w:r w:rsidR="009F288A" w:rsidRPr="00490275">
              <w:rPr>
                <w:rFonts w:ascii="Times New Roman" w:hAnsi="Times New Roman" w:cs="Times New Roman"/>
                <w:lang w:val="en-US"/>
              </w:rPr>
              <w:t>Colantonio</w:t>
            </w:r>
            <w:proofErr w:type="spellEnd"/>
            <w:r w:rsidR="009F288A" w:rsidRPr="00490275">
              <w:rPr>
                <w:rFonts w:ascii="Times New Roman" w:hAnsi="Times New Roman" w:cs="Times New Roman"/>
                <w:lang w:val="en-US"/>
              </w:rPr>
              <w:t xml:space="preserve"> </w:t>
            </w:r>
            <w:r w:rsidR="009F288A" w:rsidRPr="00490275">
              <w:rPr>
                <w:rFonts w:ascii="Times New Roman" w:hAnsi="Times New Roman" w:cs="Times New Roman"/>
                <w:lang w:val="en-US"/>
              </w:rPr>
              <w:fldChar w:fldCharType="begin" w:fldLock="1"/>
            </w:r>
            <w:r w:rsidR="001024E0" w:rsidRPr="00490275">
              <w:rPr>
                <w:rFonts w:ascii="Times New Roman" w:hAnsi="Times New Roman" w:cs="Times New Roman"/>
                <w:lang w:val="en-US"/>
              </w:rPr>
              <w:instrText>ADDIN CSL_CITATION {"citationItems":[{"id":"ITEM-1","itemData":{"DOI":"10.1186/1742-7622-8-4","ISSN":"17427622","PMID":"21569640","abstract":"BACKGROUND: It is essential to use a definition that is precise and accurate for the surveillance of traumatic brain injuries (TBI) and spinal cord injuries (SCI). This paper reviews the International Classification of Diseases 10th revision (ICD-10) definitions used internationally to inform the definition for neurotrauma surveillance using administrative data in Ontario, Canada.\\n\\nMETHODS: PubMed, Web of Science, Medline and the grey literature were searched for keywords \"spinal cord injuries\" or \"brain injuries\" and \"international classification of diseases\". All papers and reports that used an ICD-10 definition were included. To determine the ICD-10 codes for inclusion consensus across papers and additional evidence were sought to look at the correlation between the condition and brain or spinal injuries.\\n\\nRESULTS: Twenty-four articles and reports were identified; 15 unique definitions for TBI and 7 for SCI were found. The definitions recommended for use in Ontario by this paper are F07.2, S02.0, S02.1, S02.3, S02.7, S02.8, S02.9, S06, S07.1, T90.2, and T90.5 for traumatic brain injuries and S14.0, S14.1, S24.0, S24.1, S34.1, S34.0, S34.3, T06.0, T06.1 and T91.3 for spinal cord injuries.\\n\\nCONCLUSIONS: Internationally, inconsistent definitions are used to define brain and spinal cord injuries. An abstraction study of data would be an asset in understanding the effects of inclusion and exclusion of codes in the definition. This paper offers a definition of neurotrauma for surveillance in Ontario, but the definition could be applied to other countries that have mandated administrative data collection.","author":[{"dropping-particle":"","family":"Chen","given":"Amy Y.","non-dropping-particle":"","parse-names":false,"suffix":""},{"dropping-particle":"","family":"Colantonio","given":"Angela","non-dropping-particle":"","parse-names":false,"suffix":""}],"container-title":"Emerging Themes in Epidemiology","id":"ITEM-1","issue":"4","issued":{"date-parts":[["2011"]]},"page":"1-13","publisher":"BioMed Central Ltd","title":"Defining neurotrauma in administrative data using the International Classification of Diseases Tenth Revision","type":"article-journal","volume":"8"},"uris":["http://www.mendeley.com/documents/?uuid=56d5fdbc-9aa6-436f-9dd9-ee4b28695600"]}],"mendeley":{"formattedCitation":"(18)","plainTextFormattedCitation":"(18)","previouslyFormattedCitation":"(18)"},"properties":{"noteIndex":0},"schema":"https://github.com/citation-style-language/schema/raw/master/csl-citation.json"}</w:instrText>
            </w:r>
            <w:r w:rsidR="009F288A" w:rsidRPr="00490275">
              <w:rPr>
                <w:rFonts w:ascii="Times New Roman" w:hAnsi="Times New Roman" w:cs="Times New Roman"/>
                <w:lang w:val="en-US"/>
              </w:rPr>
              <w:fldChar w:fldCharType="separate"/>
            </w:r>
            <w:r w:rsidR="009F288A" w:rsidRPr="00490275">
              <w:rPr>
                <w:rFonts w:ascii="Times New Roman" w:hAnsi="Times New Roman" w:cs="Times New Roman"/>
                <w:noProof/>
                <w:lang w:val="en-US"/>
              </w:rPr>
              <w:t>(18)</w:t>
            </w:r>
            <w:r w:rsidR="009F288A" w:rsidRPr="00490275">
              <w:rPr>
                <w:rFonts w:ascii="Times New Roman" w:hAnsi="Times New Roman" w:cs="Times New Roman"/>
                <w:lang w:val="en-US"/>
              </w:rPr>
              <w:fldChar w:fldCharType="end"/>
            </w:r>
          </w:p>
        </w:tc>
      </w:tr>
      <w:tr w:rsidR="002D3ECA" w:rsidRPr="00AF2B46" w14:paraId="47B4E70C" w14:textId="3FC24D3A" w:rsidTr="003D494A">
        <w:trPr>
          <w:trHeight w:val="149"/>
        </w:trPr>
        <w:tc>
          <w:tcPr>
            <w:tcW w:w="1774" w:type="dxa"/>
            <w:vMerge/>
          </w:tcPr>
          <w:p w14:paraId="63163FA8" w14:textId="77777777" w:rsidR="009D0D98" w:rsidRPr="00490275" w:rsidRDefault="009D0D98" w:rsidP="009D0D98">
            <w:pPr>
              <w:rPr>
                <w:rFonts w:ascii="Times New Roman" w:hAnsi="Times New Roman" w:cs="Times New Roman"/>
                <w:highlight w:val="yellow"/>
                <w:lang w:val="en-US"/>
              </w:rPr>
            </w:pPr>
          </w:p>
        </w:tc>
        <w:tc>
          <w:tcPr>
            <w:tcW w:w="1354" w:type="dxa"/>
            <w:vMerge/>
          </w:tcPr>
          <w:p w14:paraId="6794F449" w14:textId="77777777" w:rsidR="009D0D98" w:rsidRPr="00B63DC7" w:rsidRDefault="009D0D98" w:rsidP="009D0D98">
            <w:pPr>
              <w:jc w:val="center"/>
              <w:rPr>
                <w:rFonts w:ascii="Times New Roman" w:hAnsi="Times New Roman" w:cs="Times New Roman"/>
                <w:lang w:val="en-US"/>
              </w:rPr>
            </w:pPr>
          </w:p>
        </w:tc>
        <w:tc>
          <w:tcPr>
            <w:tcW w:w="1221" w:type="dxa"/>
          </w:tcPr>
          <w:p w14:paraId="586C6FB5" w14:textId="77777777" w:rsidR="009D0D98" w:rsidRPr="00B63DC7" w:rsidRDefault="009D0D98" w:rsidP="009D0D98">
            <w:pPr>
              <w:jc w:val="center"/>
              <w:rPr>
                <w:rFonts w:ascii="Times New Roman" w:hAnsi="Times New Roman" w:cs="Times New Roman"/>
                <w:lang w:val="en-US"/>
              </w:rPr>
            </w:pPr>
            <w:r w:rsidRPr="00B63DC7">
              <w:rPr>
                <w:rFonts w:ascii="Times New Roman" w:hAnsi="Times New Roman" w:cs="Times New Roman"/>
                <w:lang w:val="en-US"/>
              </w:rPr>
              <w:t>ICD-10</w:t>
            </w:r>
          </w:p>
        </w:tc>
        <w:tc>
          <w:tcPr>
            <w:tcW w:w="3848" w:type="dxa"/>
          </w:tcPr>
          <w:p w14:paraId="53064EC4" w14:textId="70962C49" w:rsidR="009D0D98" w:rsidRPr="00CF303A" w:rsidRDefault="009D0D98" w:rsidP="009D0D98">
            <w:pPr>
              <w:rPr>
                <w:rFonts w:ascii="Times New Roman" w:hAnsi="Times New Roman" w:cs="Times New Roman"/>
                <w:lang w:val="en-US"/>
              </w:rPr>
            </w:pPr>
            <w:r w:rsidRPr="00CF303A">
              <w:rPr>
                <w:rFonts w:ascii="Times New Roman" w:hAnsi="Times New Roman" w:cs="Times New Roman"/>
                <w:lang w:val="en-US"/>
              </w:rPr>
              <w:t>F072,</w:t>
            </w:r>
            <w:r w:rsidRPr="009679F5">
              <w:rPr>
                <w:rFonts w:ascii="Times New Roman" w:hAnsi="Times New Roman" w:cs="Times New Roman"/>
                <w:lang w:val="en-US"/>
              </w:rPr>
              <w:t xml:space="preserve"> </w:t>
            </w:r>
            <w:r w:rsidRPr="00CF303A">
              <w:rPr>
                <w:rFonts w:ascii="Times New Roman" w:hAnsi="Times New Roman" w:cs="Times New Roman"/>
                <w:lang w:val="en-US"/>
              </w:rPr>
              <w:t>S06, S071, T902, T905</w:t>
            </w:r>
          </w:p>
        </w:tc>
        <w:tc>
          <w:tcPr>
            <w:tcW w:w="4753" w:type="dxa"/>
            <w:vMerge/>
          </w:tcPr>
          <w:p w14:paraId="34089124" w14:textId="77777777" w:rsidR="009D0D98" w:rsidRPr="00490275" w:rsidRDefault="009D0D98" w:rsidP="009D0D98">
            <w:pPr>
              <w:rPr>
                <w:rFonts w:ascii="Times New Roman" w:hAnsi="Times New Roman" w:cs="Times New Roman"/>
                <w:highlight w:val="yellow"/>
                <w:lang w:val="en-US"/>
              </w:rPr>
            </w:pPr>
          </w:p>
        </w:tc>
      </w:tr>
      <w:tr w:rsidR="009D0D98" w:rsidRPr="00AF2B46" w14:paraId="5082647E" w14:textId="5C635587" w:rsidTr="00933B8B">
        <w:tc>
          <w:tcPr>
            <w:tcW w:w="12950" w:type="dxa"/>
            <w:gridSpan w:val="5"/>
          </w:tcPr>
          <w:p w14:paraId="02109074" w14:textId="77777777" w:rsidR="009D0D98" w:rsidRPr="00490275" w:rsidRDefault="009D0D98" w:rsidP="009D0D98">
            <w:pPr>
              <w:rPr>
                <w:rFonts w:ascii="Times New Roman" w:hAnsi="Times New Roman" w:cs="Times New Roman"/>
                <w:b/>
                <w:bCs/>
                <w:i/>
                <w:iCs/>
                <w:lang w:val="en-US"/>
              </w:rPr>
            </w:pPr>
            <w:r w:rsidRPr="00490275">
              <w:rPr>
                <w:rFonts w:ascii="Times New Roman" w:hAnsi="Times New Roman" w:cs="Times New Roman"/>
                <w:b/>
                <w:bCs/>
                <w:i/>
                <w:iCs/>
                <w:lang w:val="en-US"/>
              </w:rPr>
              <w:t>Baseline Comorbidities</w:t>
            </w:r>
          </w:p>
        </w:tc>
      </w:tr>
      <w:tr w:rsidR="002D3ECA" w:rsidRPr="00AF2B46" w14:paraId="6AE058CA" w14:textId="74BF7F22" w:rsidTr="000513FE">
        <w:trPr>
          <w:trHeight w:val="77"/>
        </w:trPr>
        <w:tc>
          <w:tcPr>
            <w:tcW w:w="1774" w:type="dxa"/>
            <w:vMerge w:val="restart"/>
          </w:tcPr>
          <w:p w14:paraId="35561203" w14:textId="77777777" w:rsidR="00CD5BE1" w:rsidRPr="00723C45" w:rsidRDefault="00CD5BE1" w:rsidP="009D0D98">
            <w:pPr>
              <w:rPr>
                <w:rFonts w:ascii="Times New Roman" w:hAnsi="Times New Roman" w:cs="Times New Roman"/>
                <w:highlight w:val="yellow"/>
                <w:lang w:val="en-US"/>
              </w:rPr>
            </w:pPr>
            <w:r w:rsidRPr="00490275">
              <w:rPr>
                <w:rFonts w:ascii="Times New Roman" w:hAnsi="Times New Roman" w:cs="Times New Roman"/>
                <w:lang w:val="en-US"/>
              </w:rPr>
              <w:lastRenderedPageBreak/>
              <w:t>Fractures</w:t>
            </w:r>
          </w:p>
        </w:tc>
        <w:tc>
          <w:tcPr>
            <w:tcW w:w="1354" w:type="dxa"/>
            <w:vMerge w:val="restart"/>
          </w:tcPr>
          <w:p w14:paraId="41FDDE92" w14:textId="67E5A524" w:rsidR="00CD5BE1" w:rsidRPr="00B63DC7" w:rsidRDefault="00CD5BE1" w:rsidP="009D0D98">
            <w:pPr>
              <w:jc w:val="center"/>
              <w:rPr>
                <w:rFonts w:ascii="Times New Roman" w:hAnsi="Times New Roman" w:cs="Times New Roman"/>
                <w:lang w:val="en-US"/>
              </w:rPr>
            </w:pPr>
            <w:r w:rsidRPr="00B63DC7">
              <w:rPr>
                <w:rFonts w:ascii="Times New Roman" w:hAnsi="Times New Roman" w:cs="Times New Roman"/>
                <w:lang w:val="en-US"/>
              </w:rPr>
              <w:t xml:space="preserve">DAD, </w:t>
            </w:r>
            <w:r w:rsidR="009369DD">
              <w:rPr>
                <w:rFonts w:ascii="Times New Roman" w:hAnsi="Times New Roman" w:cs="Times New Roman"/>
                <w:lang w:val="en-US"/>
              </w:rPr>
              <w:t xml:space="preserve">SDS, </w:t>
            </w:r>
            <w:r w:rsidRPr="00B63DC7">
              <w:rPr>
                <w:rFonts w:ascii="Times New Roman" w:hAnsi="Times New Roman" w:cs="Times New Roman"/>
                <w:lang w:val="en-US"/>
              </w:rPr>
              <w:t>NACRS</w:t>
            </w:r>
          </w:p>
        </w:tc>
        <w:tc>
          <w:tcPr>
            <w:tcW w:w="1221" w:type="dxa"/>
          </w:tcPr>
          <w:p w14:paraId="43506CF1" w14:textId="77777777" w:rsidR="00CD5BE1" w:rsidRPr="00B63DC7" w:rsidRDefault="00CD5BE1" w:rsidP="009D0D98">
            <w:pPr>
              <w:jc w:val="center"/>
              <w:rPr>
                <w:rFonts w:ascii="Times New Roman" w:hAnsi="Times New Roman" w:cs="Times New Roman"/>
                <w:lang w:val="en-US"/>
              </w:rPr>
            </w:pPr>
            <w:r w:rsidRPr="00B63DC7">
              <w:rPr>
                <w:rFonts w:ascii="Times New Roman" w:hAnsi="Times New Roman" w:cs="Times New Roman"/>
                <w:lang w:val="en-US"/>
              </w:rPr>
              <w:t>ICD-9</w:t>
            </w:r>
          </w:p>
        </w:tc>
        <w:tc>
          <w:tcPr>
            <w:tcW w:w="3848" w:type="dxa"/>
            <w:shd w:val="clear" w:color="auto" w:fill="auto"/>
          </w:tcPr>
          <w:p w14:paraId="7F703496" w14:textId="15B4223D" w:rsidR="00CD5BE1" w:rsidRPr="00B63DC7" w:rsidRDefault="00CD5BE1" w:rsidP="009D0D98">
            <w:pPr>
              <w:rPr>
                <w:rFonts w:ascii="Times New Roman" w:hAnsi="Times New Roman" w:cs="Times New Roman"/>
                <w:lang w:val="en-US"/>
              </w:rPr>
            </w:pPr>
            <w:r w:rsidRPr="00B63DC7">
              <w:rPr>
                <w:rFonts w:ascii="Times New Roman" w:hAnsi="Times New Roman" w:cs="Times New Roman"/>
                <w:lang w:val="en-US"/>
              </w:rPr>
              <w:t>8052</w:t>
            </w:r>
            <w:r w:rsidR="00A518A2" w:rsidRPr="00B63DC7">
              <w:rPr>
                <w:rFonts w:ascii="Times New Roman" w:hAnsi="Times New Roman" w:cs="Times New Roman"/>
                <w:lang w:val="en-US"/>
              </w:rPr>
              <w:t>-</w:t>
            </w:r>
            <w:r w:rsidRPr="00B63DC7">
              <w:rPr>
                <w:rFonts w:ascii="Times New Roman" w:hAnsi="Times New Roman" w:cs="Times New Roman"/>
                <w:lang w:val="en-US"/>
              </w:rPr>
              <w:t>8057, 808, 812</w:t>
            </w:r>
            <w:r w:rsidR="003F7CF8">
              <w:rPr>
                <w:rFonts w:ascii="Times New Roman" w:hAnsi="Times New Roman" w:cs="Times New Roman"/>
                <w:lang w:val="en-US"/>
              </w:rPr>
              <w:t xml:space="preserve">, </w:t>
            </w:r>
            <w:r w:rsidRPr="00B63DC7">
              <w:rPr>
                <w:rFonts w:ascii="Times New Roman" w:hAnsi="Times New Roman" w:cs="Times New Roman"/>
                <w:lang w:val="en-US"/>
              </w:rPr>
              <w:t>813</w:t>
            </w:r>
            <w:r w:rsidR="004358E8">
              <w:rPr>
                <w:rFonts w:ascii="Times New Roman" w:hAnsi="Times New Roman" w:cs="Times New Roman"/>
                <w:lang w:val="en-US"/>
              </w:rPr>
              <w:t xml:space="preserve">, </w:t>
            </w:r>
            <w:r w:rsidRPr="00B63DC7">
              <w:rPr>
                <w:rFonts w:ascii="Times New Roman" w:hAnsi="Times New Roman" w:cs="Times New Roman"/>
                <w:lang w:val="en-US"/>
              </w:rPr>
              <w:t>820</w:t>
            </w:r>
            <w:r w:rsidR="005B1665">
              <w:rPr>
                <w:rFonts w:ascii="Times New Roman" w:hAnsi="Times New Roman" w:cs="Times New Roman"/>
                <w:lang w:val="en-US"/>
              </w:rPr>
              <w:t xml:space="preserve">, </w:t>
            </w:r>
            <w:r w:rsidR="00070193">
              <w:rPr>
                <w:rFonts w:ascii="Times New Roman" w:hAnsi="Times New Roman" w:cs="Times New Roman"/>
                <w:lang w:val="en-US"/>
              </w:rPr>
              <w:t xml:space="preserve">8210, </w:t>
            </w:r>
            <w:r w:rsidRPr="00B63DC7">
              <w:rPr>
                <w:rFonts w:ascii="Times New Roman" w:hAnsi="Times New Roman" w:cs="Times New Roman"/>
                <w:lang w:val="en-US"/>
              </w:rPr>
              <w:t>8211</w:t>
            </w:r>
          </w:p>
        </w:tc>
        <w:tc>
          <w:tcPr>
            <w:tcW w:w="4753" w:type="dxa"/>
            <w:vMerge w:val="restart"/>
          </w:tcPr>
          <w:p w14:paraId="0E9E52EF" w14:textId="3A923C47" w:rsidR="00CD5BE1" w:rsidRPr="00B63DC7" w:rsidRDefault="00CD5BE1" w:rsidP="009D0D98">
            <w:pPr>
              <w:rPr>
                <w:rFonts w:ascii="Times New Roman" w:hAnsi="Times New Roman" w:cs="Times New Roman"/>
                <w:lang w:val="en-US"/>
              </w:rPr>
            </w:pPr>
            <w:r w:rsidRPr="00B63DC7">
              <w:rPr>
                <w:rFonts w:ascii="Times New Roman" w:hAnsi="Times New Roman" w:cs="Times New Roman"/>
                <w:lang w:val="en-US"/>
              </w:rPr>
              <w:t>Detection of any code in any diagnostic position</w:t>
            </w:r>
            <w:r w:rsidR="00971DA2">
              <w:rPr>
                <w:rFonts w:ascii="Times New Roman" w:hAnsi="Times New Roman" w:cs="Times New Roman"/>
                <w:lang w:val="en-US"/>
              </w:rPr>
              <w:t xml:space="preserve"> </w:t>
            </w:r>
            <w:r w:rsidR="00AC3966">
              <w:rPr>
                <w:rFonts w:ascii="Times New Roman" w:hAnsi="Times New Roman" w:cs="Times New Roman"/>
                <w:lang w:val="en-US"/>
              </w:rPr>
              <w:t xml:space="preserve">– </w:t>
            </w:r>
            <w:r w:rsidR="00C469EE">
              <w:rPr>
                <w:rFonts w:ascii="Times New Roman" w:hAnsi="Times New Roman" w:cs="Times New Roman"/>
                <w:lang w:val="en-US"/>
              </w:rPr>
              <w:t>algorithm not validated</w:t>
            </w:r>
          </w:p>
        </w:tc>
      </w:tr>
      <w:tr w:rsidR="002D3ECA" w:rsidRPr="00AF2B46" w14:paraId="41F50221" w14:textId="47711169" w:rsidTr="000513FE">
        <w:trPr>
          <w:trHeight w:val="74"/>
        </w:trPr>
        <w:tc>
          <w:tcPr>
            <w:tcW w:w="1774" w:type="dxa"/>
            <w:vMerge/>
          </w:tcPr>
          <w:p w14:paraId="3BBB1F8A" w14:textId="77777777" w:rsidR="00CD5BE1" w:rsidRPr="00490275" w:rsidRDefault="00CD5BE1" w:rsidP="009D0D98">
            <w:pPr>
              <w:rPr>
                <w:rFonts w:ascii="Times New Roman" w:hAnsi="Times New Roman" w:cs="Times New Roman"/>
                <w:highlight w:val="yellow"/>
                <w:lang w:val="en-US"/>
              </w:rPr>
            </w:pPr>
          </w:p>
        </w:tc>
        <w:tc>
          <w:tcPr>
            <w:tcW w:w="1354" w:type="dxa"/>
            <w:vMerge/>
          </w:tcPr>
          <w:p w14:paraId="14B5C92D" w14:textId="77777777" w:rsidR="00CD5BE1" w:rsidRPr="00490275" w:rsidRDefault="00CD5BE1" w:rsidP="009D0D98">
            <w:pPr>
              <w:jc w:val="center"/>
              <w:rPr>
                <w:rFonts w:ascii="Times New Roman" w:hAnsi="Times New Roman" w:cs="Times New Roman"/>
                <w:highlight w:val="yellow"/>
                <w:lang w:val="en-US"/>
              </w:rPr>
            </w:pPr>
          </w:p>
        </w:tc>
        <w:tc>
          <w:tcPr>
            <w:tcW w:w="1221" w:type="dxa"/>
          </w:tcPr>
          <w:p w14:paraId="1CF3873C" w14:textId="77777777" w:rsidR="00CD5BE1" w:rsidRPr="00B63DC7" w:rsidRDefault="00CD5BE1" w:rsidP="009D0D98">
            <w:pPr>
              <w:jc w:val="center"/>
              <w:rPr>
                <w:rFonts w:ascii="Times New Roman" w:hAnsi="Times New Roman" w:cs="Times New Roman"/>
                <w:lang w:val="en-US"/>
              </w:rPr>
            </w:pPr>
            <w:r w:rsidRPr="00B63DC7">
              <w:rPr>
                <w:rFonts w:ascii="Times New Roman" w:hAnsi="Times New Roman" w:cs="Times New Roman"/>
                <w:lang w:val="en-US"/>
              </w:rPr>
              <w:t>ICD-10</w:t>
            </w:r>
          </w:p>
        </w:tc>
        <w:tc>
          <w:tcPr>
            <w:tcW w:w="3848" w:type="dxa"/>
            <w:shd w:val="clear" w:color="auto" w:fill="auto"/>
          </w:tcPr>
          <w:p w14:paraId="4597D200" w14:textId="2FF9F85A" w:rsidR="00E751C4" w:rsidRPr="0077526A" w:rsidRDefault="00E751C4" w:rsidP="00027631">
            <w:pPr>
              <w:rPr>
                <w:rFonts w:ascii="Times New Roman" w:hAnsi="Times New Roman" w:cs="Times New Roman"/>
                <w:lang w:val="en-US"/>
              </w:rPr>
            </w:pPr>
            <w:r w:rsidRPr="00BC0811">
              <w:rPr>
                <w:rFonts w:ascii="Times New Roman" w:hAnsi="Times New Roman" w:cs="Times New Roman"/>
                <w:lang w:val="en-US"/>
              </w:rPr>
              <w:t>S</w:t>
            </w:r>
            <w:r w:rsidR="00845260" w:rsidRPr="00BC0811">
              <w:rPr>
                <w:rFonts w:ascii="Times New Roman" w:hAnsi="Times New Roman" w:cs="Times New Roman"/>
                <w:lang w:val="en-US"/>
              </w:rPr>
              <w:t>220-S221, S32, S422</w:t>
            </w:r>
            <w:r w:rsidR="003F5F57" w:rsidRPr="00BC0811">
              <w:rPr>
                <w:rFonts w:ascii="Times New Roman" w:hAnsi="Times New Roman" w:cs="Times New Roman"/>
                <w:lang w:val="en-US"/>
              </w:rPr>
              <w:t>, S52</w:t>
            </w:r>
            <w:r w:rsidR="001F1831" w:rsidRPr="00BC0811">
              <w:rPr>
                <w:rFonts w:ascii="Times New Roman" w:hAnsi="Times New Roman" w:cs="Times New Roman"/>
                <w:lang w:val="en-US"/>
              </w:rPr>
              <w:t>, S720-S723</w:t>
            </w:r>
          </w:p>
        </w:tc>
        <w:tc>
          <w:tcPr>
            <w:tcW w:w="4753" w:type="dxa"/>
            <w:vMerge/>
          </w:tcPr>
          <w:p w14:paraId="6C603598" w14:textId="77777777" w:rsidR="00CD5BE1" w:rsidRPr="00490275" w:rsidRDefault="00CD5BE1" w:rsidP="009D0D98">
            <w:pPr>
              <w:rPr>
                <w:rFonts w:ascii="Times New Roman" w:hAnsi="Times New Roman" w:cs="Times New Roman"/>
                <w:highlight w:val="yellow"/>
                <w:lang w:val="en-US"/>
              </w:rPr>
            </w:pPr>
          </w:p>
        </w:tc>
      </w:tr>
      <w:tr w:rsidR="002D3ECA" w:rsidRPr="00AF2B46" w14:paraId="37F93729" w14:textId="33101C24" w:rsidTr="000513FE">
        <w:trPr>
          <w:trHeight w:val="299"/>
        </w:trPr>
        <w:tc>
          <w:tcPr>
            <w:tcW w:w="1774" w:type="dxa"/>
            <w:vMerge w:val="restart"/>
          </w:tcPr>
          <w:p w14:paraId="67AD15DF" w14:textId="77777777" w:rsidR="009D0D98" w:rsidRPr="00490275" w:rsidRDefault="009D0D98" w:rsidP="009D0D98">
            <w:pPr>
              <w:rPr>
                <w:rFonts w:ascii="Times New Roman" w:hAnsi="Times New Roman" w:cs="Times New Roman"/>
                <w:lang w:val="en-US"/>
              </w:rPr>
            </w:pPr>
            <w:r w:rsidRPr="00490275">
              <w:rPr>
                <w:rFonts w:ascii="Times New Roman" w:hAnsi="Times New Roman" w:cs="Times New Roman"/>
                <w:lang w:val="en-US"/>
              </w:rPr>
              <w:t>Bipolar Disorder or Schizophrenia</w:t>
            </w:r>
          </w:p>
        </w:tc>
        <w:tc>
          <w:tcPr>
            <w:tcW w:w="1354" w:type="dxa"/>
            <w:vMerge w:val="restart"/>
          </w:tcPr>
          <w:p w14:paraId="762CF608" w14:textId="2801816D" w:rsidR="009D0D98" w:rsidRPr="005E758C" w:rsidRDefault="009D0D98" w:rsidP="009D0D98">
            <w:pPr>
              <w:jc w:val="center"/>
              <w:rPr>
                <w:rFonts w:ascii="Times New Roman" w:hAnsi="Times New Roman" w:cs="Times New Roman"/>
                <w:lang w:val="en-US"/>
              </w:rPr>
            </w:pPr>
            <w:r w:rsidRPr="001C5C0E">
              <w:rPr>
                <w:rFonts w:ascii="Times New Roman" w:hAnsi="Times New Roman" w:cs="Times New Roman"/>
                <w:lang w:val="en-US"/>
              </w:rPr>
              <w:t>DAD, NACRS</w:t>
            </w:r>
          </w:p>
        </w:tc>
        <w:tc>
          <w:tcPr>
            <w:tcW w:w="1221" w:type="dxa"/>
          </w:tcPr>
          <w:p w14:paraId="35E791EF" w14:textId="77777777" w:rsidR="009D0D98" w:rsidRPr="00C74516" w:rsidRDefault="009D0D98" w:rsidP="009D0D98">
            <w:pPr>
              <w:jc w:val="center"/>
              <w:rPr>
                <w:rFonts w:ascii="Times New Roman" w:hAnsi="Times New Roman" w:cs="Times New Roman"/>
                <w:lang w:val="en-US"/>
              </w:rPr>
            </w:pPr>
            <w:r w:rsidRPr="00C74516">
              <w:rPr>
                <w:rFonts w:ascii="Times New Roman" w:hAnsi="Times New Roman" w:cs="Times New Roman"/>
                <w:lang w:val="en-US"/>
              </w:rPr>
              <w:t>ICD-9</w:t>
            </w:r>
          </w:p>
        </w:tc>
        <w:tc>
          <w:tcPr>
            <w:tcW w:w="3848" w:type="dxa"/>
            <w:shd w:val="clear" w:color="auto" w:fill="auto"/>
          </w:tcPr>
          <w:p w14:paraId="0FD64F93" w14:textId="77777777" w:rsidR="009D0D98" w:rsidRPr="00766A1A" w:rsidRDefault="009D0D98" w:rsidP="009D0D98">
            <w:pPr>
              <w:rPr>
                <w:rFonts w:ascii="Times New Roman" w:hAnsi="Times New Roman" w:cs="Times New Roman"/>
                <w:lang w:val="en-US"/>
              </w:rPr>
            </w:pPr>
            <w:r w:rsidRPr="00766A1A">
              <w:rPr>
                <w:rFonts w:ascii="Times New Roman" w:hAnsi="Times New Roman" w:cs="Times New Roman"/>
                <w:lang w:val="en-US"/>
              </w:rPr>
              <w:t>295, 296, 301</w:t>
            </w:r>
          </w:p>
        </w:tc>
        <w:tc>
          <w:tcPr>
            <w:tcW w:w="4753" w:type="dxa"/>
            <w:vMerge w:val="restart"/>
          </w:tcPr>
          <w:p w14:paraId="6C7EB3DB" w14:textId="77777777" w:rsidR="006A754F" w:rsidRDefault="009D0D98" w:rsidP="009D0D98">
            <w:pPr>
              <w:rPr>
                <w:rFonts w:ascii="Times New Roman" w:hAnsi="Times New Roman" w:cs="Times New Roman"/>
                <w:lang w:val="en-US"/>
              </w:rPr>
            </w:pPr>
            <w:r w:rsidRPr="00F32543">
              <w:rPr>
                <w:rFonts w:ascii="Times New Roman" w:hAnsi="Times New Roman" w:cs="Times New Roman"/>
                <w:lang w:val="en-US"/>
              </w:rPr>
              <w:t xml:space="preserve">Detection of any code </w:t>
            </w:r>
            <w:r w:rsidRPr="001C5C0E">
              <w:rPr>
                <w:rFonts w:ascii="Times New Roman" w:hAnsi="Times New Roman" w:cs="Times New Roman"/>
                <w:lang w:val="en-US"/>
              </w:rPr>
              <w:t>in any diagnostic position – algorithm not validated</w:t>
            </w:r>
          </w:p>
          <w:p w14:paraId="2BB77466" w14:textId="0D21CEBA" w:rsidR="009D0D98" w:rsidRPr="00490275" w:rsidRDefault="00F874F3" w:rsidP="00490275">
            <w:pPr>
              <w:pStyle w:val="ListParagraph"/>
              <w:numPr>
                <w:ilvl w:val="0"/>
                <w:numId w:val="8"/>
              </w:numPr>
              <w:rPr>
                <w:rFonts w:ascii="Times New Roman" w:hAnsi="Times New Roman" w:cs="Times New Roman"/>
                <w:lang w:val="en-US"/>
              </w:rPr>
            </w:pPr>
            <w:r w:rsidRPr="00490275">
              <w:rPr>
                <w:rFonts w:ascii="Times New Roman" w:hAnsi="Times New Roman" w:cs="Times New Roman"/>
                <w:lang w:val="en-US"/>
              </w:rPr>
              <w:t>ICD-9 and ICD-10 l</w:t>
            </w:r>
            <w:r w:rsidR="006A754F">
              <w:rPr>
                <w:rFonts w:ascii="Times New Roman" w:hAnsi="Times New Roman" w:cs="Times New Roman"/>
                <w:lang w:val="en-US"/>
              </w:rPr>
              <w:t>ists</w:t>
            </w:r>
            <w:r w:rsidRPr="00490275">
              <w:rPr>
                <w:rFonts w:ascii="Times New Roman" w:hAnsi="Times New Roman" w:cs="Times New Roman"/>
                <w:lang w:val="en-US"/>
              </w:rPr>
              <w:t xml:space="preserve"> based on codes used by </w:t>
            </w:r>
            <w:proofErr w:type="spellStart"/>
            <w:r w:rsidRPr="00490275">
              <w:rPr>
                <w:rFonts w:ascii="Times New Roman" w:hAnsi="Times New Roman" w:cs="Times New Roman"/>
                <w:lang w:val="en-US"/>
              </w:rPr>
              <w:t>Grigor</w:t>
            </w:r>
            <w:r w:rsidR="00AA7FE2" w:rsidRPr="00490275">
              <w:rPr>
                <w:rFonts w:ascii="Times New Roman" w:hAnsi="Times New Roman" w:cs="Times New Roman"/>
                <w:lang w:val="en-US"/>
              </w:rPr>
              <w:t>iadis</w:t>
            </w:r>
            <w:proofErr w:type="spellEnd"/>
            <w:r w:rsidR="00AA7FE2" w:rsidRPr="00490275">
              <w:rPr>
                <w:rFonts w:ascii="Times New Roman" w:hAnsi="Times New Roman" w:cs="Times New Roman"/>
                <w:lang w:val="en-US"/>
              </w:rPr>
              <w:t xml:space="preserve"> et al.</w:t>
            </w:r>
            <w:r w:rsidR="009D0D98" w:rsidRPr="00490275">
              <w:rPr>
                <w:rFonts w:ascii="Times New Roman" w:hAnsi="Times New Roman" w:cs="Times New Roman"/>
                <w:lang w:val="en-US"/>
              </w:rPr>
              <w:fldChar w:fldCharType="begin" w:fldLock="1"/>
            </w:r>
            <w:r w:rsidR="00C50F52">
              <w:rPr>
                <w:rFonts w:ascii="Times New Roman" w:hAnsi="Times New Roman" w:cs="Times New Roman"/>
                <w:lang w:val="en-US"/>
              </w:rPr>
              <w:instrText>ADDIN CSL_CITATION {"citationItems":[{"id":"ITEM-1","itemData":{"DOI":"10.1503/cmaj","author":[{"dropping-particle":"","family":"Grigoriadis","given":"S","non-dropping-particle":"","parse-names":false,"suffix":""},{"dropping-particle":"","family":"Wilton","given":"Andrew S.","non-dropping-particle":"","parse-names":false,"suffix":""},{"dropping-particle":"","family":"Kurdyak","given":"Paul","non-dropping-particle":"","parse-names":false,"suffix":""},{"dropping-particle":"","family":"Rhodes","given":"Anne E","non-dropping-particle":"","parse-names":false,"suffix":""},{"dropping-particle":"","family":"VonderPorten","given":"Emily H","non-dropping-particle":"","parse-names":false,"suffix":""},{"dropping-particle":"","family":"Levitt","given":"A","non-dropping-particle":"","parse-names":false,"suffix":""},{"dropping-particle":"","family":"Cheung","given":"A","non-dropping-particle":"","parse-names":false,"suffix":""},{"dropping-particle":"","family":"Vigod","given":"S","non-dropping-particle":"","parse-names":false,"suffix":""}],"container-title":"CMAJ","id":"ITEM-1","issue":"34","issued":{"date-parts":[["2017"]]},"page":"E1085-92","title":"Perinatal suicide in Ontario, Canada: a 15-year population-based study","type":"article-journal","volume":"189"},"uris":["http://www.mendeley.com/documents/?uuid=001c6ca9-c083-4041-b8b1-09838b3a236c"]}],"mendeley":{"formattedCitation":"(19)","plainTextFormattedCitation":"(19)","previouslyFormattedCitation":"(19)"},"properties":{"noteIndex":0},"schema":"https://github.com/citation-style-language/schema/raw/master/csl-citation.json"}</w:instrText>
            </w:r>
            <w:r w:rsidR="009D0D98" w:rsidRPr="00490275">
              <w:rPr>
                <w:rFonts w:ascii="Times New Roman" w:hAnsi="Times New Roman" w:cs="Times New Roman"/>
                <w:lang w:val="en-US"/>
              </w:rPr>
              <w:fldChar w:fldCharType="separate"/>
            </w:r>
            <w:r w:rsidR="001E1B50" w:rsidRPr="001E1B50">
              <w:rPr>
                <w:rFonts w:ascii="Times New Roman" w:hAnsi="Times New Roman" w:cs="Times New Roman"/>
                <w:noProof/>
                <w:lang w:val="en-US"/>
              </w:rPr>
              <w:t>(19)</w:t>
            </w:r>
            <w:r w:rsidR="009D0D98" w:rsidRPr="00490275">
              <w:rPr>
                <w:rFonts w:ascii="Times New Roman" w:hAnsi="Times New Roman" w:cs="Times New Roman"/>
                <w:lang w:val="en-US"/>
              </w:rPr>
              <w:fldChar w:fldCharType="end"/>
            </w:r>
          </w:p>
        </w:tc>
      </w:tr>
      <w:tr w:rsidR="002D3ECA" w:rsidRPr="00AF2B46" w14:paraId="0A04B474" w14:textId="050F78B8" w:rsidTr="000513FE">
        <w:trPr>
          <w:trHeight w:val="299"/>
        </w:trPr>
        <w:tc>
          <w:tcPr>
            <w:tcW w:w="1774" w:type="dxa"/>
            <w:vMerge/>
          </w:tcPr>
          <w:p w14:paraId="6EC5EC05" w14:textId="77777777" w:rsidR="009D0D98" w:rsidRPr="00490275" w:rsidRDefault="009D0D98" w:rsidP="009D0D98">
            <w:pPr>
              <w:rPr>
                <w:rFonts w:ascii="Times New Roman" w:hAnsi="Times New Roman" w:cs="Times New Roman"/>
                <w:highlight w:val="yellow"/>
                <w:lang w:val="en-US"/>
              </w:rPr>
            </w:pPr>
          </w:p>
        </w:tc>
        <w:tc>
          <w:tcPr>
            <w:tcW w:w="1354" w:type="dxa"/>
            <w:vMerge/>
          </w:tcPr>
          <w:p w14:paraId="39FC6AA3" w14:textId="77777777" w:rsidR="009D0D98" w:rsidRPr="008C563B" w:rsidRDefault="009D0D98" w:rsidP="009D0D98">
            <w:pPr>
              <w:jc w:val="center"/>
              <w:rPr>
                <w:rFonts w:ascii="Times New Roman" w:hAnsi="Times New Roman" w:cs="Times New Roman"/>
                <w:lang w:val="en-US"/>
              </w:rPr>
            </w:pPr>
          </w:p>
        </w:tc>
        <w:tc>
          <w:tcPr>
            <w:tcW w:w="1221" w:type="dxa"/>
          </w:tcPr>
          <w:p w14:paraId="2393BB92" w14:textId="77777777" w:rsidR="009D0D98" w:rsidRPr="008C563B" w:rsidRDefault="009D0D98" w:rsidP="009D0D98">
            <w:pPr>
              <w:jc w:val="center"/>
              <w:rPr>
                <w:rFonts w:ascii="Times New Roman" w:hAnsi="Times New Roman" w:cs="Times New Roman"/>
                <w:lang w:val="en-US"/>
              </w:rPr>
            </w:pPr>
            <w:r w:rsidRPr="008C563B">
              <w:rPr>
                <w:rFonts w:ascii="Times New Roman" w:hAnsi="Times New Roman" w:cs="Times New Roman"/>
                <w:lang w:val="en-US"/>
              </w:rPr>
              <w:t>ICD-10</w:t>
            </w:r>
          </w:p>
        </w:tc>
        <w:tc>
          <w:tcPr>
            <w:tcW w:w="3848" w:type="dxa"/>
            <w:shd w:val="clear" w:color="auto" w:fill="auto"/>
          </w:tcPr>
          <w:p w14:paraId="758F8709" w14:textId="14BE11AE" w:rsidR="009D0D98" w:rsidRPr="008C563B" w:rsidRDefault="009D0D98" w:rsidP="009D0D98">
            <w:pPr>
              <w:rPr>
                <w:rFonts w:ascii="Times New Roman" w:hAnsi="Times New Roman" w:cs="Times New Roman"/>
                <w:lang w:val="en-US"/>
              </w:rPr>
            </w:pPr>
            <w:r w:rsidRPr="008C563B">
              <w:rPr>
                <w:rFonts w:ascii="Times New Roman" w:hAnsi="Times New Roman" w:cs="Times New Roman"/>
                <w:lang w:val="en-US"/>
              </w:rPr>
              <w:t>F20, F25, F30, F31</w:t>
            </w:r>
          </w:p>
        </w:tc>
        <w:tc>
          <w:tcPr>
            <w:tcW w:w="4753" w:type="dxa"/>
            <w:vMerge/>
          </w:tcPr>
          <w:p w14:paraId="1E3C4A8D" w14:textId="77777777" w:rsidR="009D0D98" w:rsidRPr="00490275" w:rsidRDefault="009D0D98" w:rsidP="009D0D98">
            <w:pPr>
              <w:rPr>
                <w:rFonts w:ascii="Times New Roman" w:hAnsi="Times New Roman" w:cs="Times New Roman"/>
                <w:highlight w:val="yellow"/>
                <w:lang w:val="en-US"/>
              </w:rPr>
            </w:pPr>
          </w:p>
        </w:tc>
      </w:tr>
      <w:tr w:rsidR="002D3ECA" w:rsidRPr="00AF2B46" w14:paraId="20971B4C" w14:textId="322AA672" w:rsidTr="000513FE">
        <w:trPr>
          <w:trHeight w:val="101"/>
        </w:trPr>
        <w:tc>
          <w:tcPr>
            <w:tcW w:w="1774" w:type="dxa"/>
            <w:vMerge w:val="restart"/>
          </w:tcPr>
          <w:p w14:paraId="718B8694" w14:textId="77777777" w:rsidR="009D0D98" w:rsidRPr="003A1134" w:rsidRDefault="009D0D98" w:rsidP="009D0D98">
            <w:pPr>
              <w:rPr>
                <w:rFonts w:ascii="Times New Roman" w:hAnsi="Times New Roman" w:cs="Times New Roman"/>
                <w:highlight w:val="yellow"/>
                <w:lang w:val="en-US"/>
              </w:rPr>
            </w:pPr>
            <w:r w:rsidRPr="00490275">
              <w:rPr>
                <w:rFonts w:ascii="Times New Roman" w:hAnsi="Times New Roman" w:cs="Times New Roman"/>
                <w:lang w:val="en-US"/>
              </w:rPr>
              <w:t>Depression or Anxiety</w:t>
            </w:r>
          </w:p>
        </w:tc>
        <w:tc>
          <w:tcPr>
            <w:tcW w:w="1354" w:type="dxa"/>
            <w:vMerge w:val="restart"/>
          </w:tcPr>
          <w:p w14:paraId="10B6BDB3" w14:textId="6521DB55" w:rsidR="009D0D98" w:rsidRPr="008C563B" w:rsidRDefault="009D0D98" w:rsidP="009D0D98">
            <w:pPr>
              <w:jc w:val="center"/>
              <w:rPr>
                <w:rFonts w:ascii="Times New Roman" w:hAnsi="Times New Roman" w:cs="Times New Roman"/>
                <w:lang w:val="en-US"/>
              </w:rPr>
            </w:pPr>
            <w:r w:rsidRPr="008C563B">
              <w:rPr>
                <w:rFonts w:ascii="Times New Roman" w:hAnsi="Times New Roman" w:cs="Times New Roman"/>
                <w:lang w:val="en-US"/>
              </w:rPr>
              <w:t>DAD, NACRS</w:t>
            </w:r>
          </w:p>
        </w:tc>
        <w:tc>
          <w:tcPr>
            <w:tcW w:w="1221" w:type="dxa"/>
          </w:tcPr>
          <w:p w14:paraId="4D983F16" w14:textId="77777777" w:rsidR="009D0D98" w:rsidRPr="008C563B" w:rsidRDefault="009D0D98" w:rsidP="009D0D98">
            <w:pPr>
              <w:jc w:val="center"/>
              <w:rPr>
                <w:rFonts w:ascii="Times New Roman" w:hAnsi="Times New Roman" w:cs="Times New Roman"/>
                <w:lang w:val="en-US"/>
              </w:rPr>
            </w:pPr>
            <w:r w:rsidRPr="008C563B">
              <w:rPr>
                <w:rFonts w:ascii="Times New Roman" w:hAnsi="Times New Roman" w:cs="Times New Roman"/>
                <w:lang w:val="en-US"/>
              </w:rPr>
              <w:t>ICD-9</w:t>
            </w:r>
          </w:p>
        </w:tc>
        <w:tc>
          <w:tcPr>
            <w:tcW w:w="3848" w:type="dxa"/>
            <w:shd w:val="clear" w:color="auto" w:fill="auto"/>
          </w:tcPr>
          <w:p w14:paraId="64B91EA2" w14:textId="0079C412" w:rsidR="009D0D98" w:rsidRPr="008C563B" w:rsidRDefault="009D0D98" w:rsidP="009D0D98">
            <w:pPr>
              <w:rPr>
                <w:rFonts w:ascii="Times New Roman" w:hAnsi="Times New Roman" w:cs="Times New Roman"/>
                <w:lang w:val="en-US"/>
              </w:rPr>
            </w:pPr>
            <w:r w:rsidRPr="008C563B">
              <w:rPr>
                <w:rFonts w:ascii="Times New Roman" w:hAnsi="Times New Roman" w:cs="Times New Roman"/>
                <w:lang w:val="en-US"/>
              </w:rPr>
              <w:t>2962, 2963, 3000, 3002</w:t>
            </w:r>
            <w:r w:rsidR="009E400F" w:rsidRPr="008C563B">
              <w:rPr>
                <w:rFonts w:ascii="Times New Roman" w:hAnsi="Times New Roman" w:cs="Times New Roman"/>
                <w:lang w:val="en-US"/>
              </w:rPr>
              <w:t>-</w:t>
            </w:r>
            <w:r w:rsidRPr="008C563B">
              <w:rPr>
                <w:rFonts w:ascii="Times New Roman" w:hAnsi="Times New Roman" w:cs="Times New Roman"/>
                <w:lang w:val="en-US"/>
              </w:rPr>
              <w:t>3004, 311</w:t>
            </w:r>
          </w:p>
        </w:tc>
        <w:tc>
          <w:tcPr>
            <w:tcW w:w="4753" w:type="dxa"/>
            <w:vMerge w:val="restart"/>
          </w:tcPr>
          <w:p w14:paraId="0AFFF52A" w14:textId="5A6397FE" w:rsidR="00827305" w:rsidRDefault="009D0D98" w:rsidP="009D0D98">
            <w:pPr>
              <w:rPr>
                <w:rFonts w:ascii="Times New Roman" w:hAnsi="Times New Roman" w:cs="Times New Roman"/>
                <w:lang w:val="en-US"/>
              </w:rPr>
            </w:pPr>
            <w:r w:rsidRPr="003A1134">
              <w:rPr>
                <w:rFonts w:ascii="Times New Roman" w:hAnsi="Times New Roman" w:cs="Times New Roman"/>
                <w:lang w:val="en-US"/>
              </w:rPr>
              <w:t>Detection of any code in any diagnostic position</w:t>
            </w:r>
            <w:r w:rsidR="00375D27">
              <w:rPr>
                <w:rFonts w:ascii="Times New Roman" w:hAnsi="Times New Roman" w:cs="Times New Roman"/>
                <w:lang w:val="en-US"/>
              </w:rPr>
              <w:t xml:space="preserve"> </w:t>
            </w:r>
            <w:r w:rsidR="00827305">
              <w:rPr>
                <w:rFonts w:ascii="Times New Roman" w:hAnsi="Times New Roman" w:cs="Times New Roman"/>
                <w:lang w:val="en-US"/>
              </w:rPr>
              <w:t xml:space="preserve">– </w:t>
            </w:r>
            <w:r w:rsidR="00375D27">
              <w:rPr>
                <w:rFonts w:ascii="Times New Roman" w:hAnsi="Times New Roman" w:cs="Times New Roman"/>
                <w:lang w:val="en-US"/>
              </w:rPr>
              <w:t>algorithm not validated</w:t>
            </w:r>
          </w:p>
          <w:p w14:paraId="2CD91F6B" w14:textId="6BFDFC5F" w:rsidR="009D0D98" w:rsidRPr="00490275" w:rsidRDefault="00827305" w:rsidP="00490275">
            <w:pPr>
              <w:pStyle w:val="ListParagraph"/>
              <w:numPr>
                <w:ilvl w:val="0"/>
                <w:numId w:val="8"/>
              </w:numPr>
              <w:rPr>
                <w:rFonts w:ascii="Times New Roman" w:hAnsi="Times New Roman" w:cs="Times New Roman"/>
                <w:lang w:val="en-US"/>
              </w:rPr>
            </w:pPr>
            <w:r>
              <w:rPr>
                <w:rFonts w:ascii="Times New Roman" w:hAnsi="Times New Roman" w:cs="Times New Roman"/>
                <w:lang w:val="en-US"/>
              </w:rPr>
              <w:t>D</w:t>
            </w:r>
            <w:r w:rsidR="00F841FF" w:rsidRPr="00490275">
              <w:rPr>
                <w:rFonts w:ascii="Times New Roman" w:hAnsi="Times New Roman" w:cs="Times New Roman"/>
                <w:lang w:val="en-US"/>
              </w:rPr>
              <w:t xml:space="preserve">epression codes based on </w:t>
            </w:r>
            <w:r w:rsidR="00840175" w:rsidRPr="00490275">
              <w:rPr>
                <w:rFonts w:ascii="Times New Roman" w:hAnsi="Times New Roman" w:cs="Times New Roman"/>
                <w:lang w:val="en-US"/>
              </w:rPr>
              <w:t xml:space="preserve">those used by </w:t>
            </w:r>
            <w:proofErr w:type="spellStart"/>
            <w:r w:rsidR="00F841FF" w:rsidRPr="00490275">
              <w:rPr>
                <w:rFonts w:ascii="Times New Roman" w:hAnsi="Times New Roman" w:cs="Times New Roman"/>
                <w:lang w:val="en-US"/>
              </w:rPr>
              <w:t>Fiest</w:t>
            </w:r>
            <w:proofErr w:type="spellEnd"/>
            <w:r w:rsidR="00F841FF" w:rsidRPr="00490275">
              <w:rPr>
                <w:rFonts w:ascii="Times New Roman" w:hAnsi="Times New Roman" w:cs="Times New Roman"/>
                <w:lang w:val="en-US"/>
              </w:rPr>
              <w:t xml:space="preserve"> et al.</w:t>
            </w:r>
            <w:r w:rsidR="005E758C" w:rsidRPr="00490275">
              <w:rPr>
                <w:rFonts w:ascii="Times New Roman" w:hAnsi="Times New Roman" w:cs="Times New Roman"/>
                <w:lang w:val="en-US"/>
              </w:rPr>
              <w:fldChar w:fldCharType="begin" w:fldLock="1"/>
            </w:r>
            <w:r w:rsidR="00C50F52">
              <w:rPr>
                <w:rFonts w:ascii="Times New Roman" w:hAnsi="Times New Roman" w:cs="Times New Roman"/>
                <w:lang w:val="en-US"/>
              </w:rPr>
              <w:instrText>ADDIN CSL_CITATION {"citationItems":[{"id":"ITEM-1","itemData":{"DOI":"10.1186/s12888-014-0289-5","ISSN":"1471244X","PMID":"25322690","abstract":"Background: Administrative data are increasingly used to conduct research on depression and inform health services and health policy. Depression surveillance using administrative data is an alternative to surveys, which can be more resource-intensive. The objectives of this study were to: (1) systematically review the literature on validated case definitions to identify depression using International Classification of Disease and Related Health Problems (ICD) codes in administrative data and (2) identify individuals with and without depression in administrative data and develop an enhanced case definition to identify persons with depression in ICD-coded hospital data. Methods: (1) Systematic review: We identified validation studies using ICD codes to indicate depression in administrative data up to January 2013. (2) Validation: All depression case definitions from the literature and an additional three ICD-9-CM and three ICD-10 enhanced definitions were tested in an inpatient database. The diagnostic accuracy of all case definitions was calculated [sensitivity (Se), specificity (Sp), positive predictive value (PPV) and negative predictive value (NPV)]. Results: (1) Systematic review: Of 2,014 abstracts identified, 36 underwent full-text review and three met eligibility criteria. These depression studies used ICD-9 and ICD-10 case definitions. (2) Validation: 4,008 randomly selected medical charts were reviewed to assess the performance of new and previously published depression-related ICD case definitions. All newly tested case definitions resulted in Sp &gt;99%, PPV &gt;89% and NPV &gt;91%. Sensitivities were low (28-35%), but higher than for case definitions identified in the literature (1.1-29.6%). Conclusions: Validating ICD-coded data for depression is important due to variation in coding practices across jurisdictions. The most suitable case definitions for detecting depression in administrative data vary depending on the context. For surveillance purposes, the most inclusive ICD-9 &amp; ICD-10 case definitions resulted in PPVs of 89.7% and 89.5%, respectively. In cases where diagnostic certainty is required, the least inclusive ICD-9 and -10 case definitions are recommended, resulting in PPVs of 92.0% and 91.1%. All proposed case definitions resulted in suboptimal levels of sensitivity (ranging from 28.9%-35.6%). The addition of outpatient data (such as pharmacy records) for depression surveillance is recommended and should result in improved measures of val…","author":[{"dropping-particle":"","family":"Fiest","given":"Kirsten M.","non-dropping-particle":"","parse-names":false,"suffix":""},{"dropping-particle":"","family":"Jette","given":"Nathalie","non-dropping-particle":"","parse-names":false,"suffix":""},{"dropping-particle":"","family":"Quan","given":"Hude","non-dropping-particle":"","parse-names":false,"suffix":""},{"dropping-particle":"","family":"St Germaine-Smith","given":"Christine","non-dropping-particle":"","parse-names":false,"suffix":""},{"dropping-particle":"","family":"Metcalfe","given":"Amy","non-dropping-particle":"","parse-names":false,"suffix":""},{"dropping-particle":"","family":"Patten","given":"Scott B.","non-dropping-particle":"","parse-names":false,"suffix":""},{"dropping-particle":"","family":"Beck","given":"Cynthia A.","non-dropping-particle":"","parse-names":false,"suffix":""}],"container-title":"BMC Psychiatry","id":"ITEM-1","issue":"1","issued":{"date-parts":[["2014"]]},"page":"1-11","title":"Systematic review and assessment of validated case definitions for depression in administrative data","type":"article-journal","volume":"14"},"uris":["http://www.mendeley.com/documents/?uuid=8b4f97e9-321b-445c-afda-9248600fc17c"]}],"mendeley":{"formattedCitation":"(20)","plainTextFormattedCitation":"(20)","previouslyFormattedCitation":"(20)"},"properties":{"noteIndex":0},"schema":"https://github.com/citation-style-language/schema/raw/master/csl-citation.json"}</w:instrText>
            </w:r>
            <w:r w:rsidR="005E758C" w:rsidRPr="00490275">
              <w:rPr>
                <w:rFonts w:ascii="Times New Roman" w:hAnsi="Times New Roman" w:cs="Times New Roman"/>
                <w:lang w:val="en-US"/>
              </w:rPr>
              <w:fldChar w:fldCharType="separate"/>
            </w:r>
            <w:r w:rsidR="001E1B50" w:rsidRPr="001E1B50">
              <w:rPr>
                <w:rFonts w:ascii="Times New Roman" w:hAnsi="Times New Roman" w:cs="Times New Roman"/>
                <w:noProof/>
                <w:lang w:val="en-US"/>
              </w:rPr>
              <w:t>(20)</w:t>
            </w:r>
            <w:r w:rsidR="005E758C" w:rsidRPr="00490275">
              <w:rPr>
                <w:rFonts w:ascii="Times New Roman" w:hAnsi="Times New Roman" w:cs="Times New Roman"/>
                <w:lang w:val="en-US"/>
              </w:rPr>
              <w:fldChar w:fldCharType="end"/>
            </w:r>
          </w:p>
        </w:tc>
      </w:tr>
      <w:tr w:rsidR="002D3ECA" w:rsidRPr="00AF2B46" w14:paraId="7483418C" w14:textId="71E686E6" w:rsidTr="000513FE">
        <w:trPr>
          <w:trHeight w:val="99"/>
        </w:trPr>
        <w:tc>
          <w:tcPr>
            <w:tcW w:w="1774" w:type="dxa"/>
            <w:vMerge/>
          </w:tcPr>
          <w:p w14:paraId="5FFEFAC4" w14:textId="77777777" w:rsidR="009D0D98" w:rsidRPr="00490275" w:rsidRDefault="009D0D98" w:rsidP="009D0D98">
            <w:pPr>
              <w:rPr>
                <w:rFonts w:ascii="Times New Roman" w:hAnsi="Times New Roman" w:cs="Times New Roman"/>
                <w:highlight w:val="yellow"/>
                <w:lang w:val="en-US"/>
              </w:rPr>
            </w:pPr>
          </w:p>
        </w:tc>
        <w:tc>
          <w:tcPr>
            <w:tcW w:w="1354" w:type="dxa"/>
            <w:vMerge/>
          </w:tcPr>
          <w:p w14:paraId="53E707F8" w14:textId="77777777" w:rsidR="009D0D98" w:rsidRPr="008C563B" w:rsidRDefault="009D0D98" w:rsidP="009D0D98">
            <w:pPr>
              <w:jc w:val="center"/>
              <w:rPr>
                <w:rFonts w:ascii="Times New Roman" w:hAnsi="Times New Roman" w:cs="Times New Roman"/>
                <w:lang w:val="en-US"/>
              </w:rPr>
            </w:pPr>
          </w:p>
        </w:tc>
        <w:tc>
          <w:tcPr>
            <w:tcW w:w="1221" w:type="dxa"/>
          </w:tcPr>
          <w:p w14:paraId="61299BF8" w14:textId="77777777" w:rsidR="009D0D98" w:rsidRPr="008C563B" w:rsidRDefault="009D0D98" w:rsidP="009D0D98">
            <w:pPr>
              <w:jc w:val="center"/>
              <w:rPr>
                <w:rFonts w:ascii="Times New Roman" w:hAnsi="Times New Roman" w:cs="Times New Roman"/>
                <w:lang w:val="en-US"/>
              </w:rPr>
            </w:pPr>
            <w:r w:rsidRPr="008C563B">
              <w:rPr>
                <w:rFonts w:ascii="Times New Roman" w:hAnsi="Times New Roman" w:cs="Times New Roman"/>
                <w:lang w:val="en-US"/>
              </w:rPr>
              <w:t>ICD-10</w:t>
            </w:r>
          </w:p>
        </w:tc>
        <w:tc>
          <w:tcPr>
            <w:tcW w:w="3848" w:type="dxa"/>
            <w:shd w:val="clear" w:color="auto" w:fill="auto"/>
          </w:tcPr>
          <w:p w14:paraId="145161FF" w14:textId="0E2CCF51" w:rsidR="009D0D98" w:rsidRPr="008C563B" w:rsidRDefault="009D0D98" w:rsidP="009D0D98">
            <w:pPr>
              <w:rPr>
                <w:rFonts w:ascii="Times New Roman" w:hAnsi="Times New Roman" w:cs="Times New Roman"/>
                <w:lang w:val="en-US"/>
              </w:rPr>
            </w:pPr>
            <w:r w:rsidRPr="008C563B">
              <w:rPr>
                <w:rFonts w:ascii="Times New Roman" w:hAnsi="Times New Roman" w:cs="Times New Roman"/>
                <w:lang w:val="en-US"/>
              </w:rPr>
              <w:t>F32</w:t>
            </w:r>
            <w:r w:rsidR="00B0779E">
              <w:rPr>
                <w:rFonts w:ascii="Times New Roman" w:hAnsi="Times New Roman" w:cs="Times New Roman"/>
                <w:lang w:val="en-US"/>
              </w:rPr>
              <w:t xml:space="preserve">, </w:t>
            </w:r>
            <w:r w:rsidRPr="008C563B">
              <w:rPr>
                <w:rFonts w:ascii="Times New Roman" w:hAnsi="Times New Roman" w:cs="Times New Roman"/>
                <w:lang w:val="en-US"/>
              </w:rPr>
              <w:t>F330</w:t>
            </w:r>
            <w:r w:rsidR="000002B9">
              <w:rPr>
                <w:rFonts w:ascii="Times New Roman" w:hAnsi="Times New Roman" w:cs="Times New Roman"/>
                <w:lang w:val="en-US"/>
              </w:rPr>
              <w:t>-</w:t>
            </w:r>
            <w:r w:rsidRPr="008C563B">
              <w:rPr>
                <w:rFonts w:ascii="Times New Roman" w:hAnsi="Times New Roman" w:cs="Times New Roman"/>
                <w:lang w:val="en-US"/>
              </w:rPr>
              <w:t>F333, F338, F339, F341, F40</w:t>
            </w:r>
            <w:r w:rsidR="005A342F" w:rsidRPr="008C563B">
              <w:rPr>
                <w:rFonts w:ascii="Times New Roman" w:hAnsi="Times New Roman" w:cs="Times New Roman"/>
                <w:lang w:val="en-US"/>
              </w:rPr>
              <w:t>-</w:t>
            </w:r>
            <w:r w:rsidRPr="008C563B">
              <w:rPr>
                <w:rFonts w:ascii="Times New Roman" w:hAnsi="Times New Roman" w:cs="Times New Roman"/>
                <w:lang w:val="en-US"/>
              </w:rPr>
              <w:t>F431</w:t>
            </w:r>
          </w:p>
        </w:tc>
        <w:tc>
          <w:tcPr>
            <w:tcW w:w="4753" w:type="dxa"/>
            <w:vMerge/>
          </w:tcPr>
          <w:p w14:paraId="11293281" w14:textId="77777777" w:rsidR="009D0D98" w:rsidRPr="00490275" w:rsidRDefault="009D0D98" w:rsidP="009D0D98">
            <w:pPr>
              <w:rPr>
                <w:rFonts w:ascii="Times New Roman" w:hAnsi="Times New Roman" w:cs="Times New Roman"/>
                <w:highlight w:val="yellow"/>
                <w:lang w:val="en-US"/>
              </w:rPr>
            </w:pPr>
          </w:p>
        </w:tc>
      </w:tr>
      <w:tr w:rsidR="002D3ECA" w:rsidRPr="00AF2B46" w14:paraId="40D1D977" w14:textId="28076A2C" w:rsidTr="000513FE">
        <w:trPr>
          <w:trHeight w:val="99"/>
        </w:trPr>
        <w:tc>
          <w:tcPr>
            <w:tcW w:w="1774" w:type="dxa"/>
            <w:vMerge/>
          </w:tcPr>
          <w:p w14:paraId="6A768B06" w14:textId="77777777" w:rsidR="009D0D98" w:rsidRPr="00490275" w:rsidRDefault="009D0D98" w:rsidP="009D0D98">
            <w:pPr>
              <w:rPr>
                <w:rFonts w:ascii="Times New Roman" w:hAnsi="Times New Roman" w:cs="Times New Roman"/>
                <w:highlight w:val="yellow"/>
                <w:lang w:val="en-US"/>
              </w:rPr>
            </w:pPr>
          </w:p>
        </w:tc>
        <w:tc>
          <w:tcPr>
            <w:tcW w:w="1354" w:type="dxa"/>
          </w:tcPr>
          <w:p w14:paraId="60C0460F" w14:textId="5EE1C87D" w:rsidR="009D0D98" w:rsidRPr="008C563B" w:rsidRDefault="009D0D98" w:rsidP="009D0D98">
            <w:pPr>
              <w:jc w:val="center"/>
              <w:rPr>
                <w:rFonts w:ascii="Times New Roman" w:hAnsi="Times New Roman" w:cs="Times New Roman"/>
                <w:lang w:val="en-US"/>
              </w:rPr>
            </w:pPr>
            <w:r w:rsidRPr="008C563B">
              <w:rPr>
                <w:rFonts w:ascii="Times New Roman" w:hAnsi="Times New Roman" w:cs="Times New Roman"/>
                <w:lang w:val="en-US"/>
              </w:rPr>
              <w:t>OHIP</w:t>
            </w:r>
          </w:p>
        </w:tc>
        <w:tc>
          <w:tcPr>
            <w:tcW w:w="1221" w:type="dxa"/>
          </w:tcPr>
          <w:p w14:paraId="4B4CA855" w14:textId="77777777" w:rsidR="009D0D98" w:rsidRPr="008C563B" w:rsidRDefault="009D0D98" w:rsidP="009D0D98">
            <w:pPr>
              <w:jc w:val="center"/>
              <w:rPr>
                <w:rFonts w:ascii="Times New Roman" w:hAnsi="Times New Roman" w:cs="Times New Roman"/>
                <w:lang w:val="en-US"/>
              </w:rPr>
            </w:pPr>
            <w:r w:rsidRPr="008C563B">
              <w:rPr>
                <w:rFonts w:ascii="Times New Roman" w:hAnsi="Times New Roman" w:cs="Times New Roman"/>
                <w:lang w:val="en-US"/>
              </w:rPr>
              <w:t>OHIP diagnostic code</w:t>
            </w:r>
          </w:p>
        </w:tc>
        <w:tc>
          <w:tcPr>
            <w:tcW w:w="3848" w:type="dxa"/>
            <w:shd w:val="clear" w:color="auto" w:fill="auto"/>
          </w:tcPr>
          <w:p w14:paraId="56E29A85" w14:textId="7C65C0C6" w:rsidR="009D0D98" w:rsidRPr="008C563B" w:rsidRDefault="00B62919" w:rsidP="009D0D98">
            <w:pPr>
              <w:rPr>
                <w:rFonts w:ascii="Times New Roman" w:hAnsi="Times New Roman" w:cs="Times New Roman"/>
                <w:lang w:val="en-US"/>
              </w:rPr>
            </w:pPr>
            <w:r w:rsidRPr="008C563B">
              <w:rPr>
                <w:rFonts w:ascii="Times New Roman" w:hAnsi="Times New Roman" w:cs="Times New Roman"/>
                <w:lang w:val="en-US"/>
              </w:rPr>
              <w:t xml:space="preserve">300, 309, </w:t>
            </w:r>
            <w:r w:rsidR="009D0D98" w:rsidRPr="008C563B">
              <w:rPr>
                <w:rFonts w:ascii="Times New Roman" w:hAnsi="Times New Roman" w:cs="Times New Roman"/>
                <w:lang w:val="en-US"/>
              </w:rPr>
              <w:t>311</w:t>
            </w:r>
          </w:p>
        </w:tc>
        <w:tc>
          <w:tcPr>
            <w:tcW w:w="4753" w:type="dxa"/>
            <w:vMerge/>
          </w:tcPr>
          <w:p w14:paraId="4E4ED1C2" w14:textId="77777777" w:rsidR="009D0D98" w:rsidRPr="00490275" w:rsidRDefault="009D0D98" w:rsidP="009D0D98">
            <w:pPr>
              <w:rPr>
                <w:rFonts w:ascii="Times New Roman" w:hAnsi="Times New Roman" w:cs="Times New Roman"/>
                <w:highlight w:val="yellow"/>
                <w:lang w:val="en-US"/>
              </w:rPr>
            </w:pPr>
          </w:p>
        </w:tc>
      </w:tr>
      <w:tr w:rsidR="002D3ECA" w:rsidRPr="00AF2B46" w14:paraId="6A247168" w14:textId="2775DF8D" w:rsidTr="000513FE">
        <w:trPr>
          <w:trHeight w:val="150"/>
        </w:trPr>
        <w:tc>
          <w:tcPr>
            <w:tcW w:w="1774" w:type="dxa"/>
            <w:vMerge w:val="restart"/>
          </w:tcPr>
          <w:p w14:paraId="4D9089D7" w14:textId="77777777" w:rsidR="009D0D98" w:rsidRPr="00490275" w:rsidRDefault="009D0D98" w:rsidP="009D0D98">
            <w:pPr>
              <w:rPr>
                <w:rFonts w:ascii="Times New Roman" w:hAnsi="Times New Roman" w:cs="Times New Roman"/>
                <w:lang w:val="en-US"/>
              </w:rPr>
            </w:pPr>
            <w:r w:rsidRPr="00490275">
              <w:rPr>
                <w:rFonts w:ascii="Times New Roman" w:hAnsi="Times New Roman" w:cs="Times New Roman"/>
                <w:lang w:val="en-US"/>
              </w:rPr>
              <w:t>Atrial Fibrillation</w:t>
            </w:r>
          </w:p>
        </w:tc>
        <w:tc>
          <w:tcPr>
            <w:tcW w:w="1354" w:type="dxa"/>
            <w:vMerge w:val="restart"/>
          </w:tcPr>
          <w:p w14:paraId="3D04CE41" w14:textId="3B2048F5" w:rsidR="009D0D98" w:rsidRPr="00C74516" w:rsidRDefault="009D0D98" w:rsidP="009D0D98">
            <w:pPr>
              <w:jc w:val="center"/>
              <w:rPr>
                <w:rFonts w:ascii="Times New Roman" w:hAnsi="Times New Roman" w:cs="Times New Roman"/>
                <w:lang w:val="en-US"/>
              </w:rPr>
            </w:pPr>
            <w:r w:rsidRPr="00CE5B23">
              <w:rPr>
                <w:rFonts w:ascii="Times New Roman" w:hAnsi="Times New Roman" w:cs="Times New Roman"/>
                <w:lang w:val="en-US"/>
              </w:rPr>
              <w:t>DAD, NACRS</w:t>
            </w:r>
          </w:p>
        </w:tc>
        <w:tc>
          <w:tcPr>
            <w:tcW w:w="1221" w:type="dxa"/>
          </w:tcPr>
          <w:p w14:paraId="7C696296" w14:textId="77777777" w:rsidR="009D0D98" w:rsidRPr="00766A1A" w:rsidRDefault="009D0D98" w:rsidP="009D0D98">
            <w:pPr>
              <w:jc w:val="center"/>
              <w:rPr>
                <w:rFonts w:ascii="Times New Roman" w:hAnsi="Times New Roman" w:cs="Times New Roman"/>
                <w:lang w:val="en-US"/>
              </w:rPr>
            </w:pPr>
            <w:r w:rsidRPr="00766A1A">
              <w:rPr>
                <w:rFonts w:ascii="Times New Roman" w:hAnsi="Times New Roman" w:cs="Times New Roman"/>
                <w:lang w:val="en-US"/>
              </w:rPr>
              <w:t>ICD-9</w:t>
            </w:r>
          </w:p>
        </w:tc>
        <w:tc>
          <w:tcPr>
            <w:tcW w:w="3848" w:type="dxa"/>
            <w:shd w:val="clear" w:color="auto" w:fill="auto"/>
          </w:tcPr>
          <w:p w14:paraId="71F7FF90" w14:textId="77777777" w:rsidR="009D0D98" w:rsidRPr="00CE5B23" w:rsidRDefault="009D0D98" w:rsidP="009D0D98">
            <w:pPr>
              <w:rPr>
                <w:rFonts w:ascii="Times New Roman" w:hAnsi="Times New Roman" w:cs="Times New Roman"/>
                <w:lang w:val="en-US"/>
              </w:rPr>
            </w:pPr>
            <w:r w:rsidRPr="00F32543">
              <w:rPr>
                <w:rFonts w:ascii="Times New Roman" w:hAnsi="Times New Roman" w:cs="Times New Roman"/>
                <w:lang w:val="en-US"/>
              </w:rPr>
              <w:t>4273</w:t>
            </w:r>
          </w:p>
        </w:tc>
        <w:tc>
          <w:tcPr>
            <w:tcW w:w="4753" w:type="dxa"/>
            <w:vMerge w:val="restart"/>
          </w:tcPr>
          <w:p w14:paraId="521426E1" w14:textId="24A1A205" w:rsidR="009D0D98" w:rsidRPr="00CE5B23" w:rsidRDefault="009D0D98" w:rsidP="009D0D98">
            <w:pPr>
              <w:rPr>
                <w:rFonts w:ascii="Times New Roman" w:hAnsi="Times New Roman" w:cs="Times New Roman"/>
                <w:lang w:val="en-US"/>
              </w:rPr>
            </w:pPr>
            <w:r w:rsidRPr="00CE5B23">
              <w:rPr>
                <w:rFonts w:ascii="Times New Roman" w:hAnsi="Times New Roman" w:cs="Times New Roman"/>
                <w:lang w:val="en-US"/>
              </w:rPr>
              <w:t>Detection of any code in any diagnostic position</w:t>
            </w:r>
            <w:r w:rsidR="000B3868" w:rsidRPr="00CE5B23">
              <w:rPr>
                <w:rFonts w:ascii="Times New Roman" w:hAnsi="Times New Roman" w:cs="Times New Roman"/>
                <w:lang w:val="en-US"/>
              </w:rPr>
              <w:t xml:space="preserve"> – algorithm not validated</w:t>
            </w:r>
          </w:p>
        </w:tc>
      </w:tr>
      <w:tr w:rsidR="002D3ECA" w:rsidRPr="00AF2B46" w14:paraId="1C374276" w14:textId="24C71294" w:rsidTr="000513FE">
        <w:trPr>
          <w:trHeight w:val="149"/>
        </w:trPr>
        <w:tc>
          <w:tcPr>
            <w:tcW w:w="1774" w:type="dxa"/>
            <w:vMerge/>
          </w:tcPr>
          <w:p w14:paraId="131FA3A9" w14:textId="77777777" w:rsidR="009D0D98" w:rsidRPr="00490275" w:rsidRDefault="009D0D98" w:rsidP="009D0D98">
            <w:pPr>
              <w:rPr>
                <w:rFonts w:ascii="Times New Roman" w:hAnsi="Times New Roman" w:cs="Times New Roman"/>
                <w:highlight w:val="yellow"/>
                <w:lang w:val="en-US"/>
              </w:rPr>
            </w:pPr>
          </w:p>
        </w:tc>
        <w:tc>
          <w:tcPr>
            <w:tcW w:w="1354" w:type="dxa"/>
            <w:vMerge/>
          </w:tcPr>
          <w:p w14:paraId="3FD64E0E" w14:textId="77777777" w:rsidR="009D0D98" w:rsidRPr="00CE3579" w:rsidRDefault="009D0D98" w:rsidP="009D0D98">
            <w:pPr>
              <w:jc w:val="center"/>
              <w:rPr>
                <w:rFonts w:ascii="Times New Roman" w:hAnsi="Times New Roman" w:cs="Times New Roman"/>
                <w:lang w:val="en-US"/>
              </w:rPr>
            </w:pPr>
          </w:p>
        </w:tc>
        <w:tc>
          <w:tcPr>
            <w:tcW w:w="1221" w:type="dxa"/>
          </w:tcPr>
          <w:p w14:paraId="1B7D49C0" w14:textId="77777777" w:rsidR="009D0D98" w:rsidRPr="00CE3579" w:rsidRDefault="009D0D98" w:rsidP="009D0D98">
            <w:pPr>
              <w:jc w:val="center"/>
              <w:rPr>
                <w:rFonts w:ascii="Times New Roman" w:hAnsi="Times New Roman" w:cs="Times New Roman"/>
                <w:lang w:val="en-US"/>
              </w:rPr>
            </w:pPr>
            <w:r w:rsidRPr="00CE3579">
              <w:rPr>
                <w:rFonts w:ascii="Times New Roman" w:hAnsi="Times New Roman" w:cs="Times New Roman"/>
                <w:lang w:val="en-US"/>
              </w:rPr>
              <w:t>ICD-10</w:t>
            </w:r>
          </w:p>
        </w:tc>
        <w:tc>
          <w:tcPr>
            <w:tcW w:w="3848" w:type="dxa"/>
            <w:shd w:val="clear" w:color="auto" w:fill="auto"/>
          </w:tcPr>
          <w:p w14:paraId="30831C59" w14:textId="77777777" w:rsidR="009D0D98" w:rsidRPr="0077526A" w:rsidRDefault="009D0D98" w:rsidP="009D0D98">
            <w:pPr>
              <w:rPr>
                <w:rFonts w:ascii="Times New Roman" w:hAnsi="Times New Roman" w:cs="Times New Roman"/>
                <w:lang w:val="en-US"/>
              </w:rPr>
            </w:pPr>
            <w:r w:rsidRPr="0077526A">
              <w:rPr>
                <w:rFonts w:ascii="Times New Roman" w:hAnsi="Times New Roman" w:cs="Times New Roman"/>
                <w:lang w:val="en-US"/>
              </w:rPr>
              <w:t>I48</w:t>
            </w:r>
          </w:p>
        </w:tc>
        <w:tc>
          <w:tcPr>
            <w:tcW w:w="4753" w:type="dxa"/>
            <w:vMerge/>
          </w:tcPr>
          <w:p w14:paraId="30E354C1" w14:textId="77777777" w:rsidR="009D0D98" w:rsidRPr="00490275" w:rsidRDefault="009D0D98" w:rsidP="009D0D98">
            <w:pPr>
              <w:rPr>
                <w:rFonts w:ascii="Times New Roman" w:hAnsi="Times New Roman" w:cs="Times New Roman"/>
                <w:highlight w:val="yellow"/>
                <w:lang w:val="en-US"/>
              </w:rPr>
            </w:pPr>
          </w:p>
        </w:tc>
      </w:tr>
      <w:tr w:rsidR="009D0D98" w:rsidRPr="00AF2B46" w14:paraId="65F44A8D" w14:textId="04A9079C" w:rsidTr="00933B8B">
        <w:trPr>
          <w:trHeight w:val="149"/>
        </w:trPr>
        <w:tc>
          <w:tcPr>
            <w:tcW w:w="12950" w:type="dxa"/>
            <w:gridSpan w:val="5"/>
          </w:tcPr>
          <w:p w14:paraId="1E6363B1" w14:textId="25648E5B" w:rsidR="009D0D98" w:rsidRPr="00490275" w:rsidRDefault="009D0D98" w:rsidP="009D0D98">
            <w:pPr>
              <w:rPr>
                <w:rFonts w:ascii="Times New Roman" w:hAnsi="Times New Roman" w:cs="Times New Roman"/>
                <w:b/>
                <w:bCs/>
                <w:i/>
                <w:iCs/>
                <w:lang w:val="en-US"/>
              </w:rPr>
            </w:pPr>
            <w:r w:rsidRPr="00490275">
              <w:rPr>
                <w:rFonts w:ascii="Times New Roman" w:hAnsi="Times New Roman" w:cs="Times New Roman"/>
                <w:b/>
                <w:bCs/>
                <w:i/>
                <w:iCs/>
                <w:lang w:val="en-US"/>
              </w:rPr>
              <w:t>Epilepsy Treatment</w:t>
            </w:r>
            <w:r w:rsidR="00066C31">
              <w:rPr>
                <w:rFonts w:ascii="Times New Roman" w:hAnsi="Times New Roman" w:cs="Times New Roman"/>
                <w:b/>
                <w:bCs/>
                <w:i/>
                <w:iCs/>
                <w:lang w:val="en-US"/>
              </w:rPr>
              <w:t xml:space="preserve"> </w:t>
            </w:r>
            <w:r w:rsidR="00027631">
              <w:rPr>
                <w:rFonts w:ascii="Times New Roman" w:hAnsi="Times New Roman" w:cs="Times New Roman"/>
                <w:b/>
                <w:bCs/>
                <w:i/>
                <w:iCs/>
                <w:lang w:val="en-US"/>
              </w:rPr>
              <w:t>(for cohort description)</w:t>
            </w:r>
          </w:p>
        </w:tc>
      </w:tr>
      <w:tr w:rsidR="002D3ECA" w:rsidRPr="00AF2B46" w14:paraId="5792B0D0" w14:textId="541A622E" w:rsidTr="003D494A">
        <w:trPr>
          <w:trHeight w:val="149"/>
        </w:trPr>
        <w:tc>
          <w:tcPr>
            <w:tcW w:w="1774" w:type="dxa"/>
          </w:tcPr>
          <w:p w14:paraId="67DCE779" w14:textId="77777777" w:rsidR="009D0D98" w:rsidRPr="00490275" w:rsidRDefault="009D0D98" w:rsidP="009D0D98">
            <w:pPr>
              <w:rPr>
                <w:rFonts w:ascii="Times New Roman" w:hAnsi="Times New Roman" w:cs="Times New Roman"/>
                <w:lang w:val="en-US"/>
              </w:rPr>
            </w:pPr>
            <w:r w:rsidRPr="00490275">
              <w:rPr>
                <w:rFonts w:ascii="Times New Roman" w:hAnsi="Times New Roman" w:cs="Times New Roman"/>
                <w:lang w:val="en-US"/>
              </w:rPr>
              <w:t>Received EEG</w:t>
            </w:r>
          </w:p>
        </w:tc>
        <w:tc>
          <w:tcPr>
            <w:tcW w:w="1354" w:type="dxa"/>
          </w:tcPr>
          <w:p w14:paraId="20A90E83" w14:textId="20BADE40" w:rsidR="009D0D98" w:rsidRPr="00AA4722" w:rsidRDefault="009D0D98" w:rsidP="009D0D98">
            <w:pPr>
              <w:jc w:val="center"/>
              <w:rPr>
                <w:rFonts w:ascii="Times New Roman" w:hAnsi="Times New Roman" w:cs="Times New Roman"/>
                <w:lang w:val="en-US"/>
              </w:rPr>
            </w:pPr>
            <w:r w:rsidRPr="00AA4722">
              <w:rPr>
                <w:rFonts w:ascii="Times New Roman" w:hAnsi="Times New Roman" w:cs="Times New Roman"/>
                <w:lang w:val="en-US"/>
              </w:rPr>
              <w:t>OHIP</w:t>
            </w:r>
          </w:p>
        </w:tc>
        <w:tc>
          <w:tcPr>
            <w:tcW w:w="1221" w:type="dxa"/>
          </w:tcPr>
          <w:p w14:paraId="109E6D3E" w14:textId="77777777" w:rsidR="009D0D98" w:rsidRPr="00F32543" w:rsidRDefault="009D0D98" w:rsidP="009D0D98">
            <w:pPr>
              <w:jc w:val="center"/>
              <w:rPr>
                <w:rFonts w:ascii="Times New Roman" w:hAnsi="Times New Roman" w:cs="Times New Roman"/>
                <w:lang w:val="en-US"/>
              </w:rPr>
            </w:pPr>
            <w:r w:rsidRPr="00766A1A">
              <w:rPr>
                <w:rFonts w:ascii="Times New Roman" w:hAnsi="Times New Roman" w:cs="Times New Roman"/>
                <w:lang w:val="en-US"/>
              </w:rPr>
              <w:t>OHIP fee code</w:t>
            </w:r>
          </w:p>
        </w:tc>
        <w:tc>
          <w:tcPr>
            <w:tcW w:w="3848" w:type="dxa"/>
          </w:tcPr>
          <w:p w14:paraId="28D19919" w14:textId="7705F6F9" w:rsidR="009D0D98" w:rsidRPr="00AA4722" w:rsidRDefault="009D0D98" w:rsidP="009D0D98">
            <w:pPr>
              <w:rPr>
                <w:rFonts w:ascii="Times New Roman" w:hAnsi="Times New Roman" w:cs="Times New Roman"/>
                <w:lang w:val="en-US"/>
              </w:rPr>
            </w:pPr>
            <w:r w:rsidRPr="00AA4722">
              <w:rPr>
                <w:rFonts w:ascii="Times New Roman" w:hAnsi="Times New Roman" w:cs="Times New Roman"/>
                <w:lang w:val="en-US"/>
              </w:rPr>
              <w:t xml:space="preserve">G414, </w:t>
            </w:r>
            <w:r w:rsidR="00870FFE" w:rsidRPr="00AA4722">
              <w:rPr>
                <w:rFonts w:ascii="Times New Roman" w:hAnsi="Times New Roman" w:cs="Times New Roman"/>
                <w:lang w:val="en-US"/>
              </w:rPr>
              <w:t>G418,</w:t>
            </w:r>
            <w:r w:rsidRPr="00AA4722">
              <w:rPr>
                <w:rFonts w:ascii="Times New Roman" w:hAnsi="Times New Roman" w:cs="Times New Roman"/>
                <w:lang w:val="en-US"/>
              </w:rPr>
              <w:t xml:space="preserve"> G540, G542, G</w:t>
            </w:r>
            <w:r w:rsidR="00870FFE" w:rsidRPr="00AA4722">
              <w:rPr>
                <w:rFonts w:ascii="Times New Roman" w:hAnsi="Times New Roman" w:cs="Times New Roman"/>
                <w:lang w:val="en-US"/>
              </w:rPr>
              <w:t>545, G546</w:t>
            </w:r>
          </w:p>
        </w:tc>
        <w:tc>
          <w:tcPr>
            <w:tcW w:w="4753" w:type="dxa"/>
          </w:tcPr>
          <w:p w14:paraId="0BEB290E" w14:textId="6AE58D78" w:rsidR="009D0D98" w:rsidRPr="00AA4722" w:rsidRDefault="009D0D98" w:rsidP="009D0D98">
            <w:pPr>
              <w:rPr>
                <w:rFonts w:ascii="Times New Roman" w:hAnsi="Times New Roman" w:cs="Times New Roman"/>
                <w:lang w:val="en-US"/>
              </w:rPr>
            </w:pPr>
            <w:r w:rsidRPr="00AA4722">
              <w:rPr>
                <w:rFonts w:ascii="Times New Roman" w:hAnsi="Times New Roman" w:cs="Times New Roman"/>
                <w:lang w:val="en-US"/>
              </w:rPr>
              <w:t>Detection of any code</w:t>
            </w:r>
          </w:p>
        </w:tc>
      </w:tr>
      <w:tr w:rsidR="002D3ECA" w:rsidRPr="00AF2B46" w14:paraId="1A6BDDC4" w14:textId="1508F6BF" w:rsidTr="003D494A">
        <w:trPr>
          <w:trHeight w:val="149"/>
        </w:trPr>
        <w:tc>
          <w:tcPr>
            <w:tcW w:w="1774" w:type="dxa"/>
          </w:tcPr>
          <w:p w14:paraId="3195F447" w14:textId="77777777" w:rsidR="009D0D98" w:rsidRPr="00490275" w:rsidRDefault="009D0D98" w:rsidP="009D0D98">
            <w:pPr>
              <w:rPr>
                <w:rFonts w:ascii="Times New Roman" w:hAnsi="Times New Roman" w:cs="Times New Roman"/>
                <w:lang w:val="en-US"/>
              </w:rPr>
            </w:pPr>
            <w:r w:rsidRPr="00490275">
              <w:rPr>
                <w:rFonts w:ascii="Times New Roman" w:hAnsi="Times New Roman" w:cs="Times New Roman"/>
                <w:lang w:val="en-US"/>
              </w:rPr>
              <w:t>Received MRI</w:t>
            </w:r>
          </w:p>
        </w:tc>
        <w:tc>
          <w:tcPr>
            <w:tcW w:w="1354" w:type="dxa"/>
          </w:tcPr>
          <w:p w14:paraId="60C92407" w14:textId="149A23E7" w:rsidR="009D0D98" w:rsidRPr="00AA4722" w:rsidRDefault="009D0D98" w:rsidP="009D0D98">
            <w:pPr>
              <w:jc w:val="center"/>
              <w:rPr>
                <w:rFonts w:ascii="Times New Roman" w:hAnsi="Times New Roman" w:cs="Times New Roman"/>
                <w:lang w:val="en-US"/>
              </w:rPr>
            </w:pPr>
            <w:r w:rsidRPr="00AA4722">
              <w:rPr>
                <w:rFonts w:ascii="Times New Roman" w:hAnsi="Times New Roman" w:cs="Times New Roman"/>
                <w:lang w:val="en-US"/>
              </w:rPr>
              <w:t>OHIP</w:t>
            </w:r>
          </w:p>
        </w:tc>
        <w:tc>
          <w:tcPr>
            <w:tcW w:w="1221" w:type="dxa"/>
          </w:tcPr>
          <w:p w14:paraId="1F781163" w14:textId="77777777" w:rsidR="009D0D98" w:rsidRPr="00F32543" w:rsidRDefault="009D0D98" w:rsidP="009D0D98">
            <w:pPr>
              <w:jc w:val="center"/>
              <w:rPr>
                <w:rFonts w:ascii="Times New Roman" w:hAnsi="Times New Roman" w:cs="Times New Roman"/>
                <w:lang w:val="en-US"/>
              </w:rPr>
            </w:pPr>
            <w:r w:rsidRPr="00766A1A">
              <w:rPr>
                <w:rFonts w:ascii="Times New Roman" w:hAnsi="Times New Roman" w:cs="Times New Roman"/>
                <w:lang w:val="en-US"/>
              </w:rPr>
              <w:t>OHIP fee code</w:t>
            </w:r>
          </w:p>
        </w:tc>
        <w:tc>
          <w:tcPr>
            <w:tcW w:w="3848" w:type="dxa"/>
          </w:tcPr>
          <w:p w14:paraId="5C3FCB92" w14:textId="77777777" w:rsidR="009D0D98" w:rsidRPr="00AA4722" w:rsidRDefault="009D0D98" w:rsidP="009D0D98">
            <w:pPr>
              <w:rPr>
                <w:rFonts w:ascii="Times New Roman" w:hAnsi="Times New Roman" w:cs="Times New Roman"/>
                <w:lang w:val="en-US"/>
              </w:rPr>
            </w:pPr>
            <w:r w:rsidRPr="00AA4722">
              <w:rPr>
                <w:rFonts w:ascii="Times New Roman" w:hAnsi="Times New Roman" w:cs="Times New Roman"/>
                <w:lang w:val="en-US"/>
              </w:rPr>
              <w:t>X421</w:t>
            </w:r>
          </w:p>
        </w:tc>
        <w:tc>
          <w:tcPr>
            <w:tcW w:w="4753" w:type="dxa"/>
          </w:tcPr>
          <w:p w14:paraId="16717A41" w14:textId="7AA405B4" w:rsidR="009D0D98" w:rsidRPr="00AA4722" w:rsidRDefault="009D0D98" w:rsidP="009D0D98">
            <w:pPr>
              <w:rPr>
                <w:rFonts w:ascii="Times New Roman" w:hAnsi="Times New Roman" w:cs="Times New Roman"/>
                <w:lang w:val="en-US"/>
              </w:rPr>
            </w:pPr>
            <w:r w:rsidRPr="00AA4722">
              <w:rPr>
                <w:rFonts w:ascii="Times New Roman" w:hAnsi="Times New Roman" w:cs="Times New Roman"/>
                <w:lang w:val="en-US"/>
              </w:rPr>
              <w:t>Detection of code</w:t>
            </w:r>
          </w:p>
        </w:tc>
      </w:tr>
      <w:tr w:rsidR="009D0D98" w:rsidRPr="00AF2B46" w14:paraId="7E8CF601" w14:textId="6C001985" w:rsidTr="00933B8B">
        <w:trPr>
          <w:trHeight w:val="200"/>
        </w:trPr>
        <w:tc>
          <w:tcPr>
            <w:tcW w:w="12950" w:type="dxa"/>
            <w:gridSpan w:val="5"/>
          </w:tcPr>
          <w:p w14:paraId="37276CFD" w14:textId="77777777" w:rsidR="009D0D98" w:rsidRPr="00203A17" w:rsidRDefault="009D0D98" w:rsidP="009D0D98">
            <w:pPr>
              <w:rPr>
                <w:rFonts w:ascii="Times New Roman" w:hAnsi="Times New Roman" w:cs="Times New Roman"/>
                <w:b/>
                <w:bCs/>
                <w:i/>
                <w:iCs/>
                <w:lang w:val="en-US"/>
              </w:rPr>
            </w:pPr>
            <w:r w:rsidRPr="00203A17">
              <w:rPr>
                <w:rFonts w:ascii="Times New Roman" w:hAnsi="Times New Roman" w:cs="Times New Roman"/>
                <w:b/>
                <w:bCs/>
                <w:i/>
                <w:iCs/>
                <w:lang w:val="en-US"/>
              </w:rPr>
              <w:t>Outcomes</w:t>
            </w:r>
          </w:p>
        </w:tc>
      </w:tr>
      <w:tr w:rsidR="00330106" w:rsidRPr="00AF2B46" w14:paraId="5DAFB730" w14:textId="273FECFF" w:rsidTr="003D494A">
        <w:trPr>
          <w:trHeight w:val="200"/>
        </w:trPr>
        <w:tc>
          <w:tcPr>
            <w:tcW w:w="1774" w:type="dxa"/>
          </w:tcPr>
          <w:p w14:paraId="00C68B3D" w14:textId="77777777" w:rsidR="00330106" w:rsidRPr="00490275" w:rsidRDefault="00330106" w:rsidP="00330106">
            <w:pPr>
              <w:rPr>
                <w:rFonts w:ascii="Times New Roman" w:hAnsi="Times New Roman" w:cs="Times New Roman"/>
                <w:lang w:val="en-US"/>
              </w:rPr>
            </w:pPr>
            <w:r w:rsidRPr="00490275">
              <w:rPr>
                <w:rFonts w:ascii="Times New Roman" w:hAnsi="Times New Roman" w:cs="Times New Roman"/>
                <w:lang w:val="en-US"/>
              </w:rPr>
              <w:t>Received Epilepsy Surgery</w:t>
            </w:r>
          </w:p>
        </w:tc>
        <w:tc>
          <w:tcPr>
            <w:tcW w:w="1354" w:type="dxa"/>
          </w:tcPr>
          <w:p w14:paraId="5BD854D6" w14:textId="61F93FA5" w:rsidR="00330106" w:rsidRPr="00766A1A" w:rsidRDefault="00330106" w:rsidP="00330106">
            <w:pPr>
              <w:jc w:val="center"/>
              <w:rPr>
                <w:rFonts w:ascii="Times New Roman" w:hAnsi="Times New Roman" w:cs="Times New Roman"/>
                <w:lang w:val="en-US"/>
              </w:rPr>
            </w:pPr>
            <w:r w:rsidRPr="00CE3579">
              <w:rPr>
                <w:rFonts w:ascii="Times New Roman" w:hAnsi="Times New Roman" w:cs="Times New Roman"/>
                <w:lang w:val="en-US"/>
              </w:rPr>
              <w:t>OHIP</w:t>
            </w:r>
          </w:p>
        </w:tc>
        <w:tc>
          <w:tcPr>
            <w:tcW w:w="1221" w:type="dxa"/>
          </w:tcPr>
          <w:p w14:paraId="153B7FFF" w14:textId="320B83E5" w:rsidR="00330106" w:rsidRPr="00F32543" w:rsidRDefault="00330106" w:rsidP="00330106">
            <w:pPr>
              <w:jc w:val="center"/>
              <w:rPr>
                <w:rFonts w:ascii="Times New Roman" w:hAnsi="Times New Roman" w:cs="Times New Roman"/>
                <w:lang w:val="en-US"/>
              </w:rPr>
            </w:pPr>
            <w:r w:rsidRPr="00CE3579">
              <w:rPr>
                <w:rFonts w:ascii="Times New Roman" w:hAnsi="Times New Roman" w:cs="Times New Roman"/>
                <w:lang w:val="en-US"/>
              </w:rPr>
              <w:t>OHIP fee code</w:t>
            </w:r>
          </w:p>
        </w:tc>
        <w:tc>
          <w:tcPr>
            <w:tcW w:w="3848" w:type="dxa"/>
          </w:tcPr>
          <w:p w14:paraId="26AA07F2" w14:textId="7ECFB1B1" w:rsidR="00330106" w:rsidRPr="00820343" w:rsidRDefault="00330106" w:rsidP="00330106">
            <w:pPr>
              <w:rPr>
                <w:rFonts w:ascii="Times New Roman" w:hAnsi="Times New Roman" w:cs="Times New Roman"/>
                <w:lang w:val="en-US"/>
              </w:rPr>
            </w:pPr>
            <w:r w:rsidRPr="00CE3579">
              <w:rPr>
                <w:rFonts w:ascii="Times New Roman" w:hAnsi="Times New Roman" w:cs="Times New Roman"/>
                <w:lang w:val="en-US"/>
              </w:rPr>
              <w:t>N109, N110, N130, Z816, Z823</w:t>
            </w:r>
          </w:p>
        </w:tc>
        <w:tc>
          <w:tcPr>
            <w:tcW w:w="4753" w:type="dxa"/>
          </w:tcPr>
          <w:p w14:paraId="63FF8C21" w14:textId="77777777" w:rsidR="00330106" w:rsidRPr="00820343" w:rsidRDefault="00330106" w:rsidP="00330106">
            <w:pPr>
              <w:rPr>
                <w:rFonts w:ascii="Times New Roman" w:hAnsi="Times New Roman" w:cs="Times New Roman"/>
                <w:lang w:val="en-US"/>
              </w:rPr>
            </w:pPr>
            <w:r w:rsidRPr="00490275">
              <w:rPr>
                <w:rFonts w:ascii="Times New Roman" w:hAnsi="Times New Roman" w:cs="Times New Roman"/>
                <w:lang w:val="en-US"/>
              </w:rPr>
              <w:t>Detection of any code</w:t>
            </w:r>
          </w:p>
        </w:tc>
      </w:tr>
      <w:tr w:rsidR="00330106" w:rsidRPr="00AF2B46" w14:paraId="7404F5EB" w14:textId="516F393B" w:rsidTr="003D494A">
        <w:trPr>
          <w:trHeight w:val="199"/>
        </w:trPr>
        <w:tc>
          <w:tcPr>
            <w:tcW w:w="1774" w:type="dxa"/>
          </w:tcPr>
          <w:p w14:paraId="5BF7D334" w14:textId="77777777" w:rsidR="00330106" w:rsidRPr="00CE3579" w:rsidRDefault="00330106" w:rsidP="00330106">
            <w:pPr>
              <w:rPr>
                <w:rFonts w:ascii="Times New Roman" w:hAnsi="Times New Roman" w:cs="Times New Roman"/>
                <w:highlight w:val="yellow"/>
                <w:lang w:val="en-US"/>
              </w:rPr>
            </w:pPr>
            <w:r w:rsidRPr="00490275">
              <w:rPr>
                <w:rFonts w:ascii="Times New Roman" w:hAnsi="Times New Roman" w:cs="Times New Roman"/>
                <w:lang w:val="en-US"/>
              </w:rPr>
              <w:t xml:space="preserve">Assessed for Surgical Candidacy </w:t>
            </w:r>
          </w:p>
        </w:tc>
        <w:tc>
          <w:tcPr>
            <w:tcW w:w="1354" w:type="dxa"/>
          </w:tcPr>
          <w:p w14:paraId="4D6E4FB3" w14:textId="5557C983" w:rsidR="00330106" w:rsidRPr="00CE3579" w:rsidRDefault="00330106" w:rsidP="00330106">
            <w:pPr>
              <w:jc w:val="center"/>
              <w:rPr>
                <w:rFonts w:ascii="Times New Roman" w:hAnsi="Times New Roman" w:cs="Times New Roman"/>
                <w:lang w:val="en-US"/>
              </w:rPr>
            </w:pPr>
            <w:r w:rsidRPr="00CE3579">
              <w:rPr>
                <w:rFonts w:ascii="Times New Roman" w:hAnsi="Times New Roman" w:cs="Times New Roman"/>
                <w:lang w:val="en-US"/>
              </w:rPr>
              <w:t>OHIP</w:t>
            </w:r>
          </w:p>
        </w:tc>
        <w:tc>
          <w:tcPr>
            <w:tcW w:w="1221" w:type="dxa"/>
          </w:tcPr>
          <w:p w14:paraId="1BF46FC1" w14:textId="77777777" w:rsidR="00330106" w:rsidRPr="00CE3579" w:rsidRDefault="00330106" w:rsidP="00330106">
            <w:pPr>
              <w:jc w:val="center"/>
              <w:rPr>
                <w:rFonts w:ascii="Times New Roman" w:hAnsi="Times New Roman" w:cs="Times New Roman"/>
                <w:lang w:val="en-US"/>
              </w:rPr>
            </w:pPr>
            <w:r w:rsidRPr="00CE3579">
              <w:rPr>
                <w:rFonts w:ascii="Times New Roman" w:hAnsi="Times New Roman" w:cs="Times New Roman"/>
                <w:lang w:val="en-US"/>
              </w:rPr>
              <w:t>OHIP fee code</w:t>
            </w:r>
          </w:p>
        </w:tc>
        <w:tc>
          <w:tcPr>
            <w:tcW w:w="3848" w:type="dxa"/>
          </w:tcPr>
          <w:p w14:paraId="758D93BE" w14:textId="4423A560" w:rsidR="00330106" w:rsidRDefault="00330106" w:rsidP="00330106">
            <w:pPr>
              <w:rPr>
                <w:rFonts w:ascii="Times New Roman" w:hAnsi="Times New Roman" w:cs="Times New Roman"/>
                <w:lang w:val="en-US"/>
              </w:rPr>
            </w:pPr>
            <w:r>
              <w:rPr>
                <w:rFonts w:ascii="Times New Roman" w:hAnsi="Times New Roman" w:cs="Times New Roman"/>
                <w:lang w:val="en-US"/>
              </w:rPr>
              <w:t xml:space="preserve">EEG – </w:t>
            </w:r>
            <w:r w:rsidRPr="00CE3579">
              <w:rPr>
                <w:rFonts w:ascii="Times New Roman" w:hAnsi="Times New Roman" w:cs="Times New Roman"/>
                <w:lang w:val="en-US"/>
              </w:rPr>
              <w:t>G540, G542, G545, G546</w:t>
            </w:r>
          </w:p>
          <w:p w14:paraId="730CFBF6" w14:textId="268C1DE8" w:rsidR="00330106" w:rsidRDefault="00330106" w:rsidP="00330106">
            <w:pPr>
              <w:rPr>
                <w:rFonts w:ascii="Times New Roman" w:hAnsi="Times New Roman" w:cs="Times New Roman"/>
                <w:lang w:val="en-US"/>
              </w:rPr>
            </w:pPr>
            <w:r>
              <w:rPr>
                <w:rFonts w:ascii="Times New Roman" w:hAnsi="Times New Roman" w:cs="Times New Roman"/>
                <w:lang w:val="en-US"/>
              </w:rPr>
              <w:t xml:space="preserve">MRI – </w:t>
            </w:r>
            <w:r w:rsidRPr="00CE3579">
              <w:rPr>
                <w:rFonts w:ascii="Times New Roman" w:hAnsi="Times New Roman" w:cs="Times New Roman"/>
                <w:lang w:val="en-US"/>
              </w:rPr>
              <w:t>X421</w:t>
            </w:r>
          </w:p>
          <w:p w14:paraId="0B6FFDE8" w14:textId="68641270" w:rsidR="00330106" w:rsidRPr="00CE3579" w:rsidRDefault="00330106" w:rsidP="00330106">
            <w:pPr>
              <w:rPr>
                <w:rFonts w:ascii="Times New Roman" w:hAnsi="Times New Roman" w:cs="Times New Roman"/>
                <w:lang w:val="en-US"/>
              </w:rPr>
            </w:pPr>
            <w:r>
              <w:rPr>
                <w:rFonts w:ascii="Times New Roman" w:hAnsi="Times New Roman" w:cs="Times New Roman"/>
                <w:lang w:val="en-US"/>
              </w:rPr>
              <w:t xml:space="preserve">Intracranial electrodes – </w:t>
            </w:r>
            <w:r w:rsidRPr="00CE3579">
              <w:rPr>
                <w:rFonts w:ascii="Times New Roman" w:hAnsi="Times New Roman" w:cs="Times New Roman"/>
                <w:lang w:val="en-US"/>
              </w:rPr>
              <w:t>N119</w:t>
            </w:r>
            <w:r>
              <w:rPr>
                <w:rFonts w:ascii="Times New Roman" w:hAnsi="Times New Roman" w:cs="Times New Roman"/>
                <w:lang w:val="en-US"/>
              </w:rPr>
              <w:t xml:space="preserve">, </w:t>
            </w:r>
            <w:r w:rsidRPr="00CE3579">
              <w:rPr>
                <w:rFonts w:ascii="Times New Roman" w:hAnsi="Times New Roman" w:cs="Times New Roman"/>
                <w:lang w:val="en-US"/>
              </w:rPr>
              <w:t>N124</w:t>
            </w:r>
          </w:p>
        </w:tc>
        <w:tc>
          <w:tcPr>
            <w:tcW w:w="4753" w:type="dxa"/>
          </w:tcPr>
          <w:p w14:paraId="5010F0C6" w14:textId="61EBE275" w:rsidR="00330106" w:rsidRDefault="00330106" w:rsidP="00330106">
            <w:pPr>
              <w:rPr>
                <w:rFonts w:ascii="Times New Roman" w:hAnsi="Times New Roman" w:cs="Times New Roman"/>
                <w:lang w:val="en-US"/>
              </w:rPr>
            </w:pPr>
            <w:r>
              <w:rPr>
                <w:rFonts w:ascii="Times New Roman" w:hAnsi="Times New Roman" w:cs="Times New Roman"/>
                <w:lang w:val="en-US"/>
              </w:rPr>
              <w:t>Participants had to meet one of the following criteria:</w:t>
            </w:r>
          </w:p>
          <w:p w14:paraId="24433C0D" w14:textId="1596CEE7" w:rsidR="00330106" w:rsidRDefault="00330106" w:rsidP="00330106">
            <w:pPr>
              <w:pStyle w:val="ListParagraph"/>
              <w:numPr>
                <w:ilvl w:val="0"/>
                <w:numId w:val="3"/>
              </w:numPr>
              <w:rPr>
                <w:rFonts w:ascii="Times New Roman" w:hAnsi="Times New Roman" w:cs="Times New Roman"/>
                <w:lang w:val="en-US"/>
              </w:rPr>
            </w:pPr>
            <w:r>
              <w:rPr>
                <w:rFonts w:ascii="Times New Roman" w:hAnsi="Times New Roman" w:cs="Times New Roman"/>
                <w:lang w:val="en-US"/>
              </w:rPr>
              <w:t>Had an inpatient</w:t>
            </w:r>
            <w:r w:rsidRPr="00490275">
              <w:rPr>
                <w:rFonts w:ascii="Times New Roman" w:hAnsi="Times New Roman" w:cs="Times New Roman"/>
                <w:lang w:val="en-US"/>
              </w:rPr>
              <w:t xml:space="preserve"> EEG (defined as the billing of all four EEG codes on the same date) </w:t>
            </w:r>
            <w:r>
              <w:rPr>
                <w:rFonts w:ascii="Times New Roman" w:hAnsi="Times New Roman" w:cs="Times New Roman"/>
                <w:lang w:val="en-US"/>
              </w:rPr>
              <w:t>and</w:t>
            </w:r>
            <w:r w:rsidRPr="00490275">
              <w:rPr>
                <w:rFonts w:ascii="Times New Roman" w:hAnsi="Times New Roman" w:cs="Times New Roman"/>
                <w:lang w:val="en-US"/>
              </w:rPr>
              <w:t xml:space="preserve"> also had an MRI between their date of refractory epilepsy diagnosis and up to 14 days following the simultaneous billing of the four EEG codes; </w:t>
            </w:r>
          </w:p>
          <w:p w14:paraId="18207191" w14:textId="0BA464D6" w:rsidR="00330106" w:rsidRDefault="00330106" w:rsidP="00330106">
            <w:pPr>
              <w:pStyle w:val="ListParagraph"/>
              <w:numPr>
                <w:ilvl w:val="0"/>
                <w:numId w:val="3"/>
              </w:numPr>
              <w:rPr>
                <w:rFonts w:ascii="Times New Roman" w:hAnsi="Times New Roman" w:cs="Times New Roman"/>
                <w:lang w:val="en-US"/>
              </w:rPr>
            </w:pPr>
            <w:r>
              <w:rPr>
                <w:rFonts w:ascii="Times New Roman" w:hAnsi="Times New Roman" w:cs="Times New Roman"/>
                <w:lang w:val="en-US"/>
              </w:rPr>
              <w:t>Had</w:t>
            </w:r>
            <w:r w:rsidRPr="00490275">
              <w:rPr>
                <w:rFonts w:ascii="Times New Roman" w:hAnsi="Times New Roman" w:cs="Times New Roman"/>
                <w:lang w:val="en-US"/>
              </w:rPr>
              <w:t xml:space="preserve"> </w:t>
            </w:r>
            <w:r>
              <w:rPr>
                <w:rFonts w:ascii="Times New Roman" w:hAnsi="Times New Roman" w:cs="Times New Roman"/>
                <w:lang w:val="en-US"/>
              </w:rPr>
              <w:t xml:space="preserve">surgery for implantation of </w:t>
            </w:r>
            <w:r w:rsidRPr="00490275">
              <w:rPr>
                <w:rFonts w:ascii="Times New Roman" w:hAnsi="Times New Roman" w:cs="Times New Roman"/>
                <w:lang w:val="en-US"/>
              </w:rPr>
              <w:t xml:space="preserve">intracranial electrodes; </w:t>
            </w:r>
          </w:p>
          <w:p w14:paraId="2AB06B83" w14:textId="622445A0" w:rsidR="00330106" w:rsidRDefault="00330106" w:rsidP="00330106">
            <w:pPr>
              <w:pStyle w:val="ListParagraph"/>
              <w:numPr>
                <w:ilvl w:val="0"/>
                <w:numId w:val="3"/>
              </w:numPr>
              <w:rPr>
                <w:rFonts w:ascii="Times New Roman" w:hAnsi="Times New Roman" w:cs="Times New Roman"/>
                <w:lang w:val="en-US"/>
              </w:rPr>
            </w:pPr>
            <w:r>
              <w:rPr>
                <w:rFonts w:ascii="Times New Roman" w:hAnsi="Times New Roman" w:cs="Times New Roman"/>
                <w:lang w:val="en-US"/>
              </w:rPr>
              <w:t>R</w:t>
            </w:r>
            <w:r w:rsidRPr="00490275">
              <w:rPr>
                <w:rFonts w:ascii="Times New Roman" w:hAnsi="Times New Roman" w:cs="Times New Roman"/>
                <w:lang w:val="en-US"/>
              </w:rPr>
              <w:t>ecei</w:t>
            </w:r>
            <w:r>
              <w:rPr>
                <w:rFonts w:ascii="Times New Roman" w:hAnsi="Times New Roman" w:cs="Times New Roman"/>
                <w:lang w:val="en-US"/>
              </w:rPr>
              <w:t>ved</w:t>
            </w:r>
            <w:r w:rsidRPr="00490275">
              <w:rPr>
                <w:rFonts w:ascii="Times New Roman" w:hAnsi="Times New Roman" w:cs="Times New Roman"/>
                <w:lang w:val="en-US"/>
              </w:rPr>
              <w:t xml:space="preserve"> epilepsy surgery</w:t>
            </w:r>
            <w:r>
              <w:rPr>
                <w:rFonts w:ascii="Times New Roman" w:hAnsi="Times New Roman" w:cs="Times New Roman"/>
                <w:lang w:val="en-US"/>
              </w:rPr>
              <w:t>.</w:t>
            </w:r>
          </w:p>
          <w:p w14:paraId="626C68FF" w14:textId="031A8D13" w:rsidR="00330106" w:rsidRPr="00490275" w:rsidRDefault="00330106" w:rsidP="00330106">
            <w:pPr>
              <w:rPr>
                <w:rFonts w:ascii="Times New Roman" w:hAnsi="Times New Roman" w:cs="Times New Roman"/>
                <w:lang w:val="en-US"/>
              </w:rPr>
            </w:pPr>
            <w:r>
              <w:rPr>
                <w:rFonts w:ascii="Times New Roman" w:hAnsi="Times New Roman" w:cs="Times New Roman"/>
                <w:lang w:val="en-US"/>
              </w:rPr>
              <w:lastRenderedPageBreak/>
              <w:t>The first time a patient met any of these criteria, they were considered to have been assessed for surgical candidacy.</w:t>
            </w:r>
          </w:p>
        </w:tc>
      </w:tr>
      <w:tr w:rsidR="00330106" w:rsidRPr="00AF2B46" w14:paraId="309325C5" w14:textId="3C7C34C2" w:rsidTr="00933B8B">
        <w:trPr>
          <w:trHeight w:val="199"/>
        </w:trPr>
        <w:tc>
          <w:tcPr>
            <w:tcW w:w="12950" w:type="dxa"/>
            <w:gridSpan w:val="5"/>
          </w:tcPr>
          <w:p w14:paraId="7D5B3F2A" w14:textId="6DFC682C" w:rsidR="00330106" w:rsidRPr="00CE3579" w:rsidRDefault="00330106" w:rsidP="00330106">
            <w:pPr>
              <w:rPr>
                <w:rFonts w:ascii="Times New Roman" w:hAnsi="Times New Roman" w:cs="Times New Roman"/>
                <w:lang w:val="en-US"/>
              </w:rPr>
            </w:pPr>
            <w:r w:rsidRPr="00CE3579">
              <w:rPr>
                <w:rFonts w:ascii="Times New Roman" w:hAnsi="Times New Roman" w:cs="Times New Roman"/>
                <w:lang w:val="en-US"/>
              </w:rPr>
              <w:lastRenderedPageBreak/>
              <w:t>* CCI= Canadian Classification of Health Interventions, CCP= Canadian Classification of Diagnostic, Therapeutic, and Surgical Procedures</w:t>
            </w:r>
          </w:p>
        </w:tc>
      </w:tr>
    </w:tbl>
    <w:p w14:paraId="7E4705FB" w14:textId="77777777" w:rsidR="009C79FB" w:rsidRDefault="009C79FB">
      <w:pPr>
        <w:rPr>
          <w:rFonts w:ascii="Times New Roman" w:hAnsi="Times New Roman" w:cs="Times New Roman"/>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5341"/>
      </w:tblGrid>
      <w:tr w:rsidR="006B2681" w:rsidRPr="00205468" w14:paraId="2CF66241" w14:textId="77777777" w:rsidTr="00C76BC1">
        <w:trPr>
          <w:trHeight w:val="290"/>
        </w:trPr>
        <w:tc>
          <w:tcPr>
            <w:tcW w:w="5000" w:type="pct"/>
            <w:gridSpan w:val="2"/>
            <w:tcBorders>
              <w:bottom w:val="single" w:sz="4" w:space="0" w:color="auto"/>
            </w:tcBorders>
            <w:noWrap/>
            <w:hideMark/>
          </w:tcPr>
          <w:p w14:paraId="05807ADF" w14:textId="0C708028" w:rsidR="006B2681" w:rsidRPr="00427113" w:rsidRDefault="006B2681" w:rsidP="006B2681">
            <w:pPr>
              <w:spacing w:line="480" w:lineRule="auto"/>
              <w:rPr>
                <w:rFonts w:eastAsia="Calibri"/>
                <w:sz w:val="22"/>
                <w:szCs w:val="22"/>
              </w:rPr>
            </w:pPr>
            <w:r w:rsidRPr="00205468">
              <w:rPr>
                <w:rFonts w:eastAsia="Calibri"/>
              </w:rPr>
              <w:t xml:space="preserve">Table </w:t>
            </w:r>
            <w:r w:rsidR="001834B0" w:rsidRPr="00205468">
              <w:rPr>
                <w:rFonts w:eastAsia="Calibri"/>
              </w:rPr>
              <w:t>e-3</w:t>
            </w:r>
            <w:r w:rsidRPr="00205468">
              <w:rPr>
                <w:rFonts w:eastAsia="Calibri"/>
              </w:rPr>
              <w:t xml:space="preserve">. </w:t>
            </w:r>
            <w:r w:rsidRPr="002201E1">
              <w:rPr>
                <w:rFonts w:eastAsia="Calibri"/>
              </w:rPr>
              <w:t>Characteristics of study sample.</w:t>
            </w:r>
          </w:p>
        </w:tc>
      </w:tr>
      <w:tr w:rsidR="006B2681" w:rsidRPr="00205468" w14:paraId="5F428F84" w14:textId="77777777" w:rsidTr="00490275">
        <w:trPr>
          <w:trHeight w:val="290"/>
        </w:trPr>
        <w:tc>
          <w:tcPr>
            <w:tcW w:w="2944" w:type="pct"/>
            <w:tcBorders>
              <w:top w:val="single" w:sz="4" w:space="0" w:color="auto"/>
              <w:left w:val="nil"/>
              <w:bottom w:val="single" w:sz="4" w:space="0" w:color="auto"/>
              <w:right w:val="nil"/>
            </w:tcBorders>
            <w:noWrap/>
          </w:tcPr>
          <w:p w14:paraId="032415A8" w14:textId="77777777" w:rsidR="006B2681" w:rsidRPr="00205468" w:rsidRDefault="006B2681" w:rsidP="006B2681">
            <w:pPr>
              <w:spacing w:line="480" w:lineRule="auto"/>
              <w:rPr>
                <w:rFonts w:eastAsia="Calibri"/>
                <w:b/>
                <w:bCs/>
                <w:sz w:val="22"/>
                <w:szCs w:val="22"/>
              </w:rPr>
            </w:pPr>
            <w:r w:rsidRPr="00205468">
              <w:rPr>
                <w:rFonts w:eastAsia="Calibri"/>
                <w:b/>
                <w:bCs/>
              </w:rPr>
              <w:t>Total, N</w:t>
            </w:r>
          </w:p>
        </w:tc>
        <w:tc>
          <w:tcPr>
            <w:tcW w:w="2056" w:type="pct"/>
            <w:tcBorders>
              <w:top w:val="single" w:sz="4" w:space="0" w:color="auto"/>
              <w:left w:val="nil"/>
              <w:bottom w:val="single" w:sz="4" w:space="0" w:color="auto"/>
              <w:right w:val="nil"/>
            </w:tcBorders>
            <w:noWrap/>
          </w:tcPr>
          <w:p w14:paraId="1A5F90CC" w14:textId="47A4CD16" w:rsidR="006B2681" w:rsidRPr="002201E1" w:rsidRDefault="002201E1" w:rsidP="006B2681">
            <w:pPr>
              <w:spacing w:line="480" w:lineRule="auto"/>
              <w:jc w:val="center"/>
              <w:rPr>
                <w:rFonts w:eastAsia="Calibri"/>
                <w:b/>
                <w:bCs/>
                <w:sz w:val="22"/>
                <w:szCs w:val="22"/>
              </w:rPr>
            </w:pPr>
            <w:r>
              <w:rPr>
                <w:rFonts w:eastAsia="Calibri"/>
                <w:b/>
                <w:bCs/>
              </w:rPr>
              <w:t>1,902</w:t>
            </w:r>
          </w:p>
        </w:tc>
      </w:tr>
      <w:tr w:rsidR="006B2681" w:rsidRPr="00205468" w14:paraId="3D44F38A" w14:textId="77777777" w:rsidTr="00490275">
        <w:trPr>
          <w:trHeight w:val="290"/>
        </w:trPr>
        <w:tc>
          <w:tcPr>
            <w:tcW w:w="2944" w:type="pct"/>
            <w:tcBorders>
              <w:top w:val="single" w:sz="4" w:space="0" w:color="auto"/>
              <w:left w:val="nil"/>
              <w:bottom w:val="nil"/>
              <w:right w:val="nil"/>
            </w:tcBorders>
            <w:noWrap/>
          </w:tcPr>
          <w:p w14:paraId="1788AEA5" w14:textId="77777777" w:rsidR="006B2681" w:rsidRPr="00205468" w:rsidRDefault="006B2681" w:rsidP="006B2681">
            <w:pPr>
              <w:spacing w:line="480" w:lineRule="auto"/>
              <w:rPr>
                <w:rFonts w:eastAsia="Calibri"/>
                <w:b/>
                <w:bCs/>
                <w:sz w:val="22"/>
                <w:szCs w:val="22"/>
              </w:rPr>
            </w:pPr>
            <w:r w:rsidRPr="00205468">
              <w:rPr>
                <w:rFonts w:eastAsia="Calibri"/>
                <w:b/>
                <w:bCs/>
              </w:rPr>
              <w:t>Demographics</w:t>
            </w:r>
          </w:p>
        </w:tc>
        <w:tc>
          <w:tcPr>
            <w:tcW w:w="2056" w:type="pct"/>
            <w:tcBorders>
              <w:top w:val="single" w:sz="4" w:space="0" w:color="auto"/>
              <w:left w:val="nil"/>
              <w:bottom w:val="nil"/>
              <w:right w:val="nil"/>
            </w:tcBorders>
            <w:noWrap/>
          </w:tcPr>
          <w:p w14:paraId="71A0B4CC" w14:textId="77777777" w:rsidR="006B2681" w:rsidRPr="00205468" w:rsidRDefault="006B2681" w:rsidP="006B2681">
            <w:pPr>
              <w:spacing w:line="480" w:lineRule="auto"/>
              <w:rPr>
                <w:rFonts w:eastAsia="Calibri"/>
                <w:sz w:val="22"/>
                <w:szCs w:val="22"/>
              </w:rPr>
            </w:pPr>
          </w:p>
        </w:tc>
      </w:tr>
      <w:tr w:rsidR="006B2681" w:rsidRPr="00205468" w14:paraId="0F69C772" w14:textId="77777777" w:rsidTr="00490275">
        <w:trPr>
          <w:trHeight w:val="290"/>
        </w:trPr>
        <w:tc>
          <w:tcPr>
            <w:tcW w:w="2944" w:type="pct"/>
            <w:tcBorders>
              <w:top w:val="nil"/>
              <w:left w:val="nil"/>
              <w:bottom w:val="nil"/>
              <w:right w:val="nil"/>
            </w:tcBorders>
            <w:noWrap/>
            <w:hideMark/>
          </w:tcPr>
          <w:p w14:paraId="193FD1AC" w14:textId="77777777" w:rsidR="006B2681" w:rsidRPr="00205468" w:rsidRDefault="006B2681" w:rsidP="006B2681">
            <w:pPr>
              <w:spacing w:line="480" w:lineRule="auto"/>
              <w:rPr>
                <w:rFonts w:eastAsia="Calibri"/>
                <w:sz w:val="22"/>
                <w:szCs w:val="22"/>
              </w:rPr>
            </w:pPr>
            <w:r w:rsidRPr="00205468">
              <w:rPr>
                <w:rFonts w:eastAsia="Calibri"/>
              </w:rPr>
              <w:t>Age, N(%)</w:t>
            </w:r>
          </w:p>
        </w:tc>
        <w:tc>
          <w:tcPr>
            <w:tcW w:w="2056" w:type="pct"/>
            <w:tcBorders>
              <w:top w:val="nil"/>
              <w:left w:val="nil"/>
              <w:bottom w:val="nil"/>
              <w:right w:val="nil"/>
            </w:tcBorders>
            <w:noWrap/>
            <w:hideMark/>
          </w:tcPr>
          <w:p w14:paraId="405B7379" w14:textId="77777777" w:rsidR="006B2681" w:rsidRPr="00205468" w:rsidRDefault="006B2681" w:rsidP="006B2681">
            <w:pPr>
              <w:spacing w:line="480" w:lineRule="auto"/>
              <w:rPr>
                <w:rFonts w:eastAsia="Calibri"/>
                <w:sz w:val="22"/>
                <w:szCs w:val="22"/>
              </w:rPr>
            </w:pPr>
            <w:r w:rsidRPr="00205468">
              <w:rPr>
                <w:rFonts w:eastAsia="Calibri"/>
              </w:rPr>
              <w:t> </w:t>
            </w:r>
          </w:p>
        </w:tc>
      </w:tr>
      <w:tr w:rsidR="006B2681" w:rsidRPr="00205468" w14:paraId="2E0CD628" w14:textId="77777777" w:rsidTr="00490275">
        <w:trPr>
          <w:trHeight w:val="290"/>
        </w:trPr>
        <w:tc>
          <w:tcPr>
            <w:tcW w:w="2944" w:type="pct"/>
            <w:tcBorders>
              <w:top w:val="nil"/>
              <w:left w:val="nil"/>
              <w:bottom w:val="nil"/>
              <w:right w:val="nil"/>
            </w:tcBorders>
            <w:noWrap/>
            <w:hideMark/>
          </w:tcPr>
          <w:p w14:paraId="681515C3" w14:textId="77777777" w:rsidR="006B2681" w:rsidRPr="00205468" w:rsidRDefault="006B2681" w:rsidP="006B2681">
            <w:pPr>
              <w:spacing w:line="480" w:lineRule="auto"/>
              <w:ind w:left="113"/>
              <w:rPr>
                <w:rFonts w:eastAsia="Calibri"/>
                <w:sz w:val="22"/>
                <w:szCs w:val="22"/>
              </w:rPr>
            </w:pPr>
            <w:r w:rsidRPr="00205468">
              <w:rPr>
                <w:rFonts w:eastAsia="Calibri"/>
              </w:rPr>
              <w:t>Mean (SD)</w:t>
            </w:r>
          </w:p>
        </w:tc>
        <w:tc>
          <w:tcPr>
            <w:tcW w:w="2056" w:type="pct"/>
            <w:tcBorders>
              <w:top w:val="nil"/>
              <w:left w:val="nil"/>
              <w:bottom w:val="nil"/>
              <w:right w:val="nil"/>
            </w:tcBorders>
            <w:noWrap/>
            <w:hideMark/>
          </w:tcPr>
          <w:p w14:paraId="0BF0C045" w14:textId="73EED23C" w:rsidR="006B2681" w:rsidRPr="00ED3E01" w:rsidRDefault="00ED3E01" w:rsidP="006B2681">
            <w:pPr>
              <w:spacing w:line="480" w:lineRule="auto"/>
              <w:jc w:val="center"/>
              <w:rPr>
                <w:rFonts w:eastAsia="Calibri"/>
                <w:sz w:val="22"/>
                <w:szCs w:val="22"/>
              </w:rPr>
            </w:pPr>
            <w:r>
              <w:rPr>
                <w:rFonts w:eastAsia="Calibri"/>
              </w:rPr>
              <w:t>67.0 (13.1)</w:t>
            </w:r>
          </w:p>
        </w:tc>
      </w:tr>
      <w:tr w:rsidR="006B2681" w:rsidRPr="00205468" w14:paraId="2E6F57BF" w14:textId="77777777" w:rsidTr="00490275">
        <w:trPr>
          <w:trHeight w:val="290"/>
        </w:trPr>
        <w:tc>
          <w:tcPr>
            <w:tcW w:w="2944" w:type="pct"/>
            <w:tcBorders>
              <w:top w:val="nil"/>
              <w:left w:val="nil"/>
              <w:bottom w:val="nil"/>
              <w:right w:val="nil"/>
            </w:tcBorders>
            <w:noWrap/>
            <w:hideMark/>
          </w:tcPr>
          <w:p w14:paraId="3D80941F" w14:textId="77777777" w:rsidR="006B2681" w:rsidRPr="00205468" w:rsidRDefault="006B2681" w:rsidP="006B2681">
            <w:pPr>
              <w:spacing w:line="480" w:lineRule="auto"/>
              <w:ind w:left="113"/>
              <w:rPr>
                <w:rFonts w:eastAsia="Calibri"/>
                <w:sz w:val="22"/>
                <w:szCs w:val="22"/>
              </w:rPr>
            </w:pPr>
            <w:r w:rsidRPr="00205468">
              <w:rPr>
                <w:rFonts w:eastAsia="Calibri"/>
              </w:rPr>
              <w:t>Median (IQR)</w:t>
            </w:r>
          </w:p>
        </w:tc>
        <w:tc>
          <w:tcPr>
            <w:tcW w:w="2056" w:type="pct"/>
            <w:tcBorders>
              <w:top w:val="nil"/>
              <w:left w:val="nil"/>
              <w:bottom w:val="nil"/>
              <w:right w:val="nil"/>
            </w:tcBorders>
            <w:noWrap/>
            <w:hideMark/>
          </w:tcPr>
          <w:p w14:paraId="08BF5011" w14:textId="2C043F62" w:rsidR="006B2681" w:rsidRPr="00F06EAC" w:rsidRDefault="00F06EAC" w:rsidP="006B2681">
            <w:pPr>
              <w:spacing w:line="480" w:lineRule="auto"/>
              <w:jc w:val="center"/>
              <w:rPr>
                <w:rFonts w:eastAsia="Calibri"/>
                <w:sz w:val="22"/>
                <w:szCs w:val="22"/>
              </w:rPr>
            </w:pPr>
            <w:r>
              <w:rPr>
                <w:rFonts w:eastAsia="Calibri"/>
              </w:rPr>
              <w:t>68 (60-76)</w:t>
            </w:r>
          </w:p>
        </w:tc>
      </w:tr>
      <w:tr w:rsidR="00F06EAC" w:rsidRPr="00205468" w14:paraId="7070D9CF" w14:textId="77777777" w:rsidTr="00490275">
        <w:trPr>
          <w:trHeight w:val="290"/>
        </w:trPr>
        <w:tc>
          <w:tcPr>
            <w:tcW w:w="2944" w:type="pct"/>
            <w:tcBorders>
              <w:top w:val="nil"/>
              <w:left w:val="nil"/>
              <w:bottom w:val="nil"/>
              <w:right w:val="nil"/>
            </w:tcBorders>
            <w:noWrap/>
          </w:tcPr>
          <w:p w14:paraId="49E5D76E" w14:textId="49AB9315" w:rsidR="00F06EAC" w:rsidRPr="00F06EAC" w:rsidRDefault="00F06EAC" w:rsidP="006B2681">
            <w:pPr>
              <w:spacing w:line="480" w:lineRule="auto"/>
              <w:ind w:left="113"/>
              <w:rPr>
                <w:rFonts w:eastAsia="Calibri"/>
              </w:rPr>
            </w:pPr>
            <w:r>
              <w:rPr>
                <w:rFonts w:eastAsia="Calibri"/>
              </w:rPr>
              <w:t>18-24</w:t>
            </w:r>
          </w:p>
        </w:tc>
        <w:tc>
          <w:tcPr>
            <w:tcW w:w="2056" w:type="pct"/>
            <w:tcBorders>
              <w:top w:val="nil"/>
              <w:left w:val="nil"/>
              <w:bottom w:val="nil"/>
              <w:right w:val="nil"/>
            </w:tcBorders>
            <w:shd w:val="clear" w:color="auto" w:fill="auto"/>
            <w:noWrap/>
            <w:vAlign w:val="bottom"/>
          </w:tcPr>
          <w:p w14:paraId="11868389" w14:textId="5323FE76" w:rsidR="00F06EAC" w:rsidRPr="00F06EAC" w:rsidRDefault="00F06EAC" w:rsidP="006B2681">
            <w:pPr>
              <w:spacing w:line="480" w:lineRule="auto"/>
              <w:jc w:val="center"/>
              <w:rPr>
                <w:rFonts w:eastAsia="Times New Roman"/>
                <w:color w:val="000000"/>
              </w:rPr>
            </w:pPr>
            <w:r>
              <w:rPr>
                <w:rFonts w:eastAsia="Times New Roman"/>
                <w:color w:val="000000"/>
              </w:rPr>
              <w:t>6 (0.3)</w:t>
            </w:r>
          </w:p>
        </w:tc>
      </w:tr>
      <w:tr w:rsidR="00F06EAC" w:rsidRPr="00205468" w14:paraId="3117FB2B" w14:textId="77777777" w:rsidTr="00490275">
        <w:trPr>
          <w:trHeight w:val="290"/>
        </w:trPr>
        <w:tc>
          <w:tcPr>
            <w:tcW w:w="2944" w:type="pct"/>
            <w:tcBorders>
              <w:top w:val="nil"/>
              <w:left w:val="nil"/>
              <w:bottom w:val="nil"/>
              <w:right w:val="nil"/>
            </w:tcBorders>
            <w:noWrap/>
          </w:tcPr>
          <w:p w14:paraId="4B803A75" w14:textId="75203C3A" w:rsidR="00F06EAC" w:rsidRPr="00F06EAC" w:rsidRDefault="00F06EAC" w:rsidP="006B2681">
            <w:pPr>
              <w:spacing w:line="480" w:lineRule="auto"/>
              <w:ind w:left="113"/>
              <w:rPr>
                <w:rFonts w:eastAsia="Calibri"/>
              </w:rPr>
            </w:pPr>
            <w:r>
              <w:rPr>
                <w:rFonts w:eastAsia="Calibri"/>
              </w:rPr>
              <w:t>25-34</w:t>
            </w:r>
          </w:p>
        </w:tc>
        <w:tc>
          <w:tcPr>
            <w:tcW w:w="2056" w:type="pct"/>
            <w:tcBorders>
              <w:top w:val="nil"/>
              <w:left w:val="nil"/>
              <w:bottom w:val="nil"/>
              <w:right w:val="nil"/>
            </w:tcBorders>
            <w:shd w:val="clear" w:color="auto" w:fill="auto"/>
            <w:noWrap/>
            <w:vAlign w:val="bottom"/>
          </w:tcPr>
          <w:p w14:paraId="114F7A6A" w14:textId="3D606F1C" w:rsidR="00F06EAC" w:rsidRPr="00427113" w:rsidRDefault="00427113" w:rsidP="006B2681">
            <w:pPr>
              <w:spacing w:line="480" w:lineRule="auto"/>
              <w:jc w:val="center"/>
              <w:rPr>
                <w:rFonts w:eastAsia="Times New Roman"/>
                <w:color w:val="000000"/>
              </w:rPr>
            </w:pPr>
            <w:r>
              <w:rPr>
                <w:rFonts w:eastAsia="Times New Roman"/>
                <w:color w:val="000000"/>
              </w:rPr>
              <w:t>39 (2.1)</w:t>
            </w:r>
          </w:p>
        </w:tc>
      </w:tr>
      <w:tr w:rsidR="00F06EAC" w:rsidRPr="00205468" w14:paraId="3B694F45" w14:textId="77777777" w:rsidTr="00490275">
        <w:trPr>
          <w:trHeight w:val="290"/>
        </w:trPr>
        <w:tc>
          <w:tcPr>
            <w:tcW w:w="2944" w:type="pct"/>
            <w:tcBorders>
              <w:top w:val="nil"/>
              <w:left w:val="nil"/>
              <w:bottom w:val="nil"/>
              <w:right w:val="nil"/>
            </w:tcBorders>
            <w:noWrap/>
          </w:tcPr>
          <w:p w14:paraId="66F1F83D" w14:textId="5A805106" w:rsidR="00F06EAC" w:rsidRPr="00F06EAC" w:rsidRDefault="00F06EAC" w:rsidP="006B2681">
            <w:pPr>
              <w:spacing w:line="480" w:lineRule="auto"/>
              <w:ind w:left="113"/>
              <w:rPr>
                <w:rFonts w:eastAsia="Calibri"/>
              </w:rPr>
            </w:pPr>
            <w:r>
              <w:rPr>
                <w:rFonts w:eastAsia="Calibri"/>
              </w:rPr>
              <w:t>35-44</w:t>
            </w:r>
          </w:p>
        </w:tc>
        <w:tc>
          <w:tcPr>
            <w:tcW w:w="2056" w:type="pct"/>
            <w:tcBorders>
              <w:top w:val="nil"/>
              <w:left w:val="nil"/>
              <w:bottom w:val="nil"/>
              <w:right w:val="nil"/>
            </w:tcBorders>
            <w:shd w:val="clear" w:color="auto" w:fill="auto"/>
            <w:noWrap/>
            <w:vAlign w:val="bottom"/>
          </w:tcPr>
          <w:p w14:paraId="6BCD3B50" w14:textId="7A7295B0" w:rsidR="00F06EAC" w:rsidRPr="00427113" w:rsidRDefault="00427113" w:rsidP="006B2681">
            <w:pPr>
              <w:spacing w:line="480" w:lineRule="auto"/>
              <w:jc w:val="center"/>
              <w:rPr>
                <w:rFonts w:eastAsia="Times New Roman"/>
                <w:color w:val="000000"/>
              </w:rPr>
            </w:pPr>
            <w:r>
              <w:rPr>
                <w:rFonts w:eastAsia="Times New Roman"/>
                <w:color w:val="000000"/>
              </w:rPr>
              <w:t>77 (4.0)</w:t>
            </w:r>
          </w:p>
        </w:tc>
      </w:tr>
      <w:tr w:rsidR="00F06EAC" w:rsidRPr="00205468" w14:paraId="7B76F935" w14:textId="77777777" w:rsidTr="00490275">
        <w:trPr>
          <w:trHeight w:val="290"/>
        </w:trPr>
        <w:tc>
          <w:tcPr>
            <w:tcW w:w="2944" w:type="pct"/>
            <w:tcBorders>
              <w:top w:val="nil"/>
              <w:left w:val="nil"/>
              <w:bottom w:val="nil"/>
              <w:right w:val="nil"/>
            </w:tcBorders>
            <w:noWrap/>
          </w:tcPr>
          <w:p w14:paraId="1027F761" w14:textId="20C31C80" w:rsidR="00F06EAC" w:rsidRPr="00F06EAC" w:rsidRDefault="00F06EAC" w:rsidP="006B2681">
            <w:pPr>
              <w:spacing w:line="480" w:lineRule="auto"/>
              <w:ind w:left="113"/>
              <w:rPr>
                <w:rFonts w:eastAsia="Calibri"/>
              </w:rPr>
            </w:pPr>
            <w:r>
              <w:rPr>
                <w:rFonts w:eastAsia="Calibri"/>
              </w:rPr>
              <w:t>45-</w:t>
            </w:r>
            <w:r w:rsidR="00427113">
              <w:rPr>
                <w:rFonts w:eastAsia="Calibri"/>
              </w:rPr>
              <w:t>54</w:t>
            </w:r>
          </w:p>
        </w:tc>
        <w:tc>
          <w:tcPr>
            <w:tcW w:w="2056" w:type="pct"/>
            <w:tcBorders>
              <w:top w:val="nil"/>
              <w:left w:val="nil"/>
              <w:bottom w:val="nil"/>
              <w:right w:val="nil"/>
            </w:tcBorders>
            <w:shd w:val="clear" w:color="auto" w:fill="auto"/>
            <w:noWrap/>
            <w:vAlign w:val="bottom"/>
          </w:tcPr>
          <w:p w14:paraId="684A0A38" w14:textId="3C56050C" w:rsidR="00F06EAC" w:rsidRPr="00427113" w:rsidRDefault="002F3219" w:rsidP="006B2681">
            <w:pPr>
              <w:spacing w:line="480" w:lineRule="auto"/>
              <w:jc w:val="center"/>
              <w:rPr>
                <w:rFonts w:eastAsia="Times New Roman"/>
                <w:color w:val="000000"/>
              </w:rPr>
            </w:pPr>
            <w:r>
              <w:rPr>
                <w:rFonts w:eastAsia="Times New Roman"/>
                <w:color w:val="000000"/>
              </w:rPr>
              <w:t>170 (8.9)</w:t>
            </w:r>
          </w:p>
        </w:tc>
      </w:tr>
      <w:tr w:rsidR="00427113" w:rsidRPr="00205468" w14:paraId="23AB265C" w14:textId="77777777" w:rsidTr="00490275">
        <w:trPr>
          <w:trHeight w:val="290"/>
        </w:trPr>
        <w:tc>
          <w:tcPr>
            <w:tcW w:w="2944" w:type="pct"/>
            <w:tcBorders>
              <w:top w:val="nil"/>
              <w:left w:val="nil"/>
              <w:bottom w:val="nil"/>
              <w:right w:val="nil"/>
            </w:tcBorders>
            <w:noWrap/>
          </w:tcPr>
          <w:p w14:paraId="79BE9BAA" w14:textId="26BBF186" w:rsidR="00427113" w:rsidRDefault="00427113" w:rsidP="006B2681">
            <w:pPr>
              <w:spacing w:line="480" w:lineRule="auto"/>
              <w:ind w:left="113"/>
              <w:rPr>
                <w:rFonts w:eastAsia="Calibri"/>
              </w:rPr>
            </w:pPr>
            <w:r>
              <w:rPr>
                <w:rFonts w:eastAsia="Calibri"/>
              </w:rPr>
              <w:t>55-64</w:t>
            </w:r>
          </w:p>
        </w:tc>
        <w:tc>
          <w:tcPr>
            <w:tcW w:w="2056" w:type="pct"/>
            <w:tcBorders>
              <w:top w:val="nil"/>
              <w:left w:val="nil"/>
              <w:bottom w:val="nil"/>
              <w:right w:val="nil"/>
            </w:tcBorders>
            <w:shd w:val="clear" w:color="auto" w:fill="auto"/>
            <w:noWrap/>
            <w:vAlign w:val="bottom"/>
          </w:tcPr>
          <w:p w14:paraId="2066D2A1" w14:textId="40237C98" w:rsidR="00427113" w:rsidRPr="00427113" w:rsidRDefault="002F3219" w:rsidP="006B2681">
            <w:pPr>
              <w:spacing w:line="480" w:lineRule="auto"/>
              <w:jc w:val="center"/>
              <w:rPr>
                <w:rFonts w:eastAsia="Times New Roman"/>
                <w:color w:val="000000"/>
              </w:rPr>
            </w:pPr>
            <w:r>
              <w:rPr>
                <w:rFonts w:eastAsia="Times New Roman"/>
                <w:color w:val="000000"/>
              </w:rPr>
              <w:t>344 (18.1)</w:t>
            </w:r>
          </w:p>
        </w:tc>
      </w:tr>
      <w:tr w:rsidR="006B2681" w:rsidRPr="00205468" w14:paraId="136B17C4" w14:textId="77777777" w:rsidTr="00490275">
        <w:trPr>
          <w:trHeight w:val="290"/>
        </w:trPr>
        <w:tc>
          <w:tcPr>
            <w:tcW w:w="2944" w:type="pct"/>
            <w:tcBorders>
              <w:top w:val="nil"/>
              <w:left w:val="nil"/>
              <w:bottom w:val="nil"/>
              <w:right w:val="nil"/>
            </w:tcBorders>
            <w:noWrap/>
            <w:hideMark/>
          </w:tcPr>
          <w:p w14:paraId="0085FD60" w14:textId="77777777" w:rsidR="006B2681" w:rsidRPr="00205468" w:rsidRDefault="006B2681" w:rsidP="006B2681">
            <w:pPr>
              <w:spacing w:line="480" w:lineRule="auto"/>
              <w:ind w:left="113"/>
              <w:rPr>
                <w:rFonts w:eastAsia="Calibri"/>
                <w:sz w:val="22"/>
                <w:szCs w:val="22"/>
              </w:rPr>
            </w:pPr>
            <w:r w:rsidRPr="00205468">
              <w:rPr>
                <w:rFonts w:eastAsia="Calibri"/>
              </w:rPr>
              <w:t>65-74</w:t>
            </w:r>
          </w:p>
        </w:tc>
        <w:tc>
          <w:tcPr>
            <w:tcW w:w="2056" w:type="pct"/>
            <w:tcBorders>
              <w:top w:val="nil"/>
              <w:left w:val="nil"/>
              <w:bottom w:val="nil"/>
              <w:right w:val="nil"/>
            </w:tcBorders>
            <w:shd w:val="clear" w:color="auto" w:fill="auto"/>
            <w:noWrap/>
            <w:vAlign w:val="bottom"/>
            <w:hideMark/>
          </w:tcPr>
          <w:p w14:paraId="2F560E30" w14:textId="3A00688C" w:rsidR="006B2681" w:rsidRPr="002F3219" w:rsidRDefault="002F3219" w:rsidP="006B2681">
            <w:pPr>
              <w:spacing w:line="480" w:lineRule="auto"/>
              <w:jc w:val="center"/>
              <w:rPr>
                <w:rFonts w:eastAsia="Calibri"/>
                <w:sz w:val="22"/>
                <w:szCs w:val="22"/>
              </w:rPr>
            </w:pPr>
            <w:r>
              <w:rPr>
                <w:rFonts w:eastAsia="Times New Roman"/>
                <w:color w:val="000000"/>
              </w:rPr>
              <w:t>715 (37.6)</w:t>
            </w:r>
          </w:p>
        </w:tc>
      </w:tr>
      <w:tr w:rsidR="006B2681" w:rsidRPr="00205468" w14:paraId="27260E74" w14:textId="77777777" w:rsidTr="00490275">
        <w:trPr>
          <w:trHeight w:val="290"/>
        </w:trPr>
        <w:tc>
          <w:tcPr>
            <w:tcW w:w="2944" w:type="pct"/>
            <w:tcBorders>
              <w:top w:val="nil"/>
              <w:left w:val="nil"/>
              <w:bottom w:val="nil"/>
              <w:right w:val="nil"/>
            </w:tcBorders>
            <w:noWrap/>
            <w:hideMark/>
          </w:tcPr>
          <w:p w14:paraId="0E7B6E65" w14:textId="77777777" w:rsidR="006B2681" w:rsidRPr="00205468" w:rsidRDefault="006B2681" w:rsidP="006B2681">
            <w:pPr>
              <w:spacing w:line="480" w:lineRule="auto"/>
              <w:ind w:left="113"/>
              <w:rPr>
                <w:rFonts w:eastAsia="Calibri"/>
                <w:sz w:val="22"/>
                <w:szCs w:val="22"/>
              </w:rPr>
            </w:pPr>
            <w:r w:rsidRPr="00205468">
              <w:rPr>
                <w:rFonts w:eastAsia="Calibri"/>
              </w:rPr>
              <w:t>75-84</w:t>
            </w:r>
          </w:p>
        </w:tc>
        <w:tc>
          <w:tcPr>
            <w:tcW w:w="2056" w:type="pct"/>
            <w:tcBorders>
              <w:top w:val="nil"/>
              <w:left w:val="nil"/>
              <w:bottom w:val="nil"/>
              <w:right w:val="nil"/>
            </w:tcBorders>
            <w:shd w:val="clear" w:color="auto" w:fill="auto"/>
            <w:noWrap/>
            <w:vAlign w:val="bottom"/>
            <w:hideMark/>
          </w:tcPr>
          <w:p w14:paraId="3046CCA8" w14:textId="3CB78373" w:rsidR="006B2681" w:rsidRPr="00DF2FF9" w:rsidRDefault="00DF2FF9" w:rsidP="006B2681">
            <w:pPr>
              <w:spacing w:line="480" w:lineRule="auto"/>
              <w:jc w:val="center"/>
              <w:rPr>
                <w:rFonts w:eastAsia="Calibri"/>
                <w:sz w:val="22"/>
                <w:szCs w:val="22"/>
              </w:rPr>
            </w:pPr>
            <w:r>
              <w:rPr>
                <w:rFonts w:eastAsia="Times New Roman"/>
                <w:color w:val="000000"/>
              </w:rPr>
              <w:t>415 (21.8)</w:t>
            </w:r>
          </w:p>
        </w:tc>
      </w:tr>
      <w:tr w:rsidR="006B2681" w:rsidRPr="00205468" w14:paraId="543BC2D0" w14:textId="77777777" w:rsidTr="00490275">
        <w:trPr>
          <w:trHeight w:val="290"/>
        </w:trPr>
        <w:tc>
          <w:tcPr>
            <w:tcW w:w="2944" w:type="pct"/>
            <w:tcBorders>
              <w:top w:val="nil"/>
              <w:left w:val="nil"/>
              <w:bottom w:val="nil"/>
              <w:right w:val="nil"/>
            </w:tcBorders>
            <w:noWrap/>
            <w:hideMark/>
          </w:tcPr>
          <w:p w14:paraId="7A0549EC" w14:textId="673A9C48" w:rsidR="006B2681" w:rsidRPr="00205468" w:rsidRDefault="006B2681" w:rsidP="006B2681">
            <w:pPr>
              <w:spacing w:line="480" w:lineRule="auto"/>
              <w:ind w:left="113"/>
              <w:rPr>
                <w:rFonts w:eastAsia="Calibri"/>
                <w:sz w:val="22"/>
                <w:szCs w:val="22"/>
              </w:rPr>
            </w:pPr>
            <w:r w:rsidRPr="00205468">
              <w:rPr>
                <w:rFonts w:eastAsia="Calibri"/>
              </w:rPr>
              <w:t>85</w:t>
            </w:r>
            <w:r w:rsidR="00DF2FF9">
              <w:rPr>
                <w:rFonts w:eastAsia="Calibri"/>
              </w:rPr>
              <w:t>-94</w:t>
            </w:r>
          </w:p>
        </w:tc>
        <w:tc>
          <w:tcPr>
            <w:tcW w:w="2056" w:type="pct"/>
            <w:tcBorders>
              <w:top w:val="nil"/>
              <w:left w:val="nil"/>
              <w:bottom w:val="nil"/>
              <w:right w:val="nil"/>
            </w:tcBorders>
            <w:shd w:val="clear" w:color="auto" w:fill="auto"/>
            <w:noWrap/>
            <w:vAlign w:val="bottom"/>
            <w:hideMark/>
          </w:tcPr>
          <w:p w14:paraId="37F1D9C2" w14:textId="4E8A5743" w:rsidR="006B2681" w:rsidRPr="00DF2FF9" w:rsidRDefault="00DF2FF9" w:rsidP="006B2681">
            <w:pPr>
              <w:spacing w:line="480" w:lineRule="auto"/>
              <w:jc w:val="center"/>
              <w:rPr>
                <w:rFonts w:eastAsia="Calibri"/>
                <w:sz w:val="22"/>
                <w:szCs w:val="22"/>
              </w:rPr>
            </w:pPr>
            <w:r>
              <w:rPr>
                <w:rFonts w:eastAsia="Times New Roman"/>
                <w:color w:val="000000"/>
              </w:rPr>
              <w:t>128 (6.7)</w:t>
            </w:r>
          </w:p>
        </w:tc>
      </w:tr>
      <w:tr w:rsidR="00DF2FF9" w:rsidRPr="00205468" w14:paraId="34211634" w14:textId="77777777" w:rsidTr="00490275">
        <w:trPr>
          <w:trHeight w:val="290"/>
        </w:trPr>
        <w:tc>
          <w:tcPr>
            <w:tcW w:w="2944" w:type="pct"/>
            <w:tcBorders>
              <w:top w:val="nil"/>
              <w:left w:val="nil"/>
              <w:bottom w:val="nil"/>
              <w:right w:val="nil"/>
            </w:tcBorders>
            <w:noWrap/>
          </w:tcPr>
          <w:p w14:paraId="294E0696" w14:textId="2A2CF7BA" w:rsidR="00DF2FF9" w:rsidRPr="00DF2FF9" w:rsidRDefault="00DF2FF9" w:rsidP="006B2681">
            <w:pPr>
              <w:spacing w:line="480" w:lineRule="auto"/>
              <w:ind w:left="113"/>
              <w:rPr>
                <w:rFonts w:eastAsia="Calibri"/>
              </w:rPr>
            </w:pPr>
            <w:r>
              <w:rPr>
                <w:rFonts w:eastAsia="Calibri"/>
              </w:rPr>
              <w:lastRenderedPageBreak/>
              <w:t>95+</w:t>
            </w:r>
          </w:p>
        </w:tc>
        <w:tc>
          <w:tcPr>
            <w:tcW w:w="2056" w:type="pct"/>
            <w:tcBorders>
              <w:top w:val="nil"/>
              <w:left w:val="nil"/>
              <w:bottom w:val="nil"/>
              <w:right w:val="nil"/>
            </w:tcBorders>
            <w:shd w:val="clear" w:color="auto" w:fill="auto"/>
            <w:noWrap/>
            <w:vAlign w:val="bottom"/>
          </w:tcPr>
          <w:p w14:paraId="315F67E2" w14:textId="3AC407FC" w:rsidR="00DF2FF9" w:rsidRPr="00484EC7" w:rsidDel="00DF2FF9" w:rsidRDefault="00484EC7" w:rsidP="006B2681">
            <w:pPr>
              <w:spacing w:line="480" w:lineRule="auto"/>
              <w:jc w:val="center"/>
              <w:rPr>
                <w:rFonts w:eastAsia="Times New Roman"/>
                <w:color w:val="000000"/>
              </w:rPr>
            </w:pPr>
            <w:r>
              <w:rPr>
                <w:rFonts w:eastAsia="Times New Roman"/>
                <w:color w:val="000000"/>
              </w:rPr>
              <w:t>8 (0.4)</w:t>
            </w:r>
          </w:p>
        </w:tc>
      </w:tr>
      <w:tr w:rsidR="006B2681" w:rsidRPr="00205468" w14:paraId="0E188E3E" w14:textId="77777777" w:rsidTr="00490275">
        <w:trPr>
          <w:trHeight w:val="290"/>
        </w:trPr>
        <w:tc>
          <w:tcPr>
            <w:tcW w:w="2944" w:type="pct"/>
            <w:tcBorders>
              <w:top w:val="nil"/>
              <w:left w:val="nil"/>
              <w:bottom w:val="nil"/>
              <w:right w:val="nil"/>
            </w:tcBorders>
            <w:noWrap/>
            <w:hideMark/>
          </w:tcPr>
          <w:p w14:paraId="13AD8F84" w14:textId="77777777" w:rsidR="006B2681" w:rsidRPr="00205468" w:rsidRDefault="006B2681" w:rsidP="006B2681">
            <w:pPr>
              <w:spacing w:line="480" w:lineRule="auto"/>
              <w:rPr>
                <w:rFonts w:eastAsia="Calibri"/>
                <w:sz w:val="22"/>
                <w:szCs w:val="22"/>
              </w:rPr>
            </w:pPr>
            <w:r w:rsidRPr="00205468">
              <w:rPr>
                <w:rFonts w:eastAsia="Calibri"/>
              </w:rPr>
              <w:t>Female, N(%)</w:t>
            </w:r>
          </w:p>
        </w:tc>
        <w:tc>
          <w:tcPr>
            <w:tcW w:w="2056" w:type="pct"/>
            <w:tcBorders>
              <w:top w:val="nil"/>
              <w:left w:val="nil"/>
              <w:bottom w:val="nil"/>
              <w:right w:val="nil"/>
            </w:tcBorders>
            <w:noWrap/>
            <w:hideMark/>
          </w:tcPr>
          <w:p w14:paraId="0467684A" w14:textId="2C428EC4" w:rsidR="006B2681" w:rsidRPr="00484EC7" w:rsidRDefault="00484EC7" w:rsidP="006B2681">
            <w:pPr>
              <w:spacing w:line="480" w:lineRule="auto"/>
              <w:jc w:val="center"/>
              <w:rPr>
                <w:rFonts w:eastAsia="Calibri"/>
                <w:sz w:val="22"/>
                <w:szCs w:val="22"/>
              </w:rPr>
            </w:pPr>
            <w:r>
              <w:rPr>
                <w:rFonts w:eastAsia="Calibri"/>
              </w:rPr>
              <w:t>805 (42.3)</w:t>
            </w:r>
          </w:p>
        </w:tc>
      </w:tr>
      <w:tr w:rsidR="006B2681" w:rsidRPr="00205468" w14:paraId="0B6EBC40" w14:textId="77777777" w:rsidTr="00490275">
        <w:trPr>
          <w:trHeight w:val="290"/>
        </w:trPr>
        <w:tc>
          <w:tcPr>
            <w:tcW w:w="2944" w:type="pct"/>
            <w:tcBorders>
              <w:top w:val="nil"/>
              <w:left w:val="nil"/>
              <w:bottom w:val="nil"/>
              <w:right w:val="nil"/>
            </w:tcBorders>
            <w:noWrap/>
            <w:hideMark/>
          </w:tcPr>
          <w:p w14:paraId="5F158C34" w14:textId="77777777" w:rsidR="006B2681" w:rsidRPr="00205468" w:rsidRDefault="006B2681" w:rsidP="006B2681">
            <w:pPr>
              <w:spacing w:line="480" w:lineRule="auto"/>
              <w:rPr>
                <w:rFonts w:eastAsia="Calibri"/>
                <w:sz w:val="22"/>
                <w:szCs w:val="22"/>
              </w:rPr>
            </w:pPr>
            <w:r w:rsidRPr="00205468">
              <w:rPr>
                <w:rFonts w:eastAsia="Calibri"/>
              </w:rPr>
              <w:t>Neighbourhood Household Income Quintile, N(%)</w:t>
            </w:r>
          </w:p>
        </w:tc>
        <w:tc>
          <w:tcPr>
            <w:tcW w:w="2056" w:type="pct"/>
            <w:tcBorders>
              <w:top w:val="nil"/>
              <w:left w:val="nil"/>
              <w:bottom w:val="nil"/>
              <w:right w:val="nil"/>
            </w:tcBorders>
            <w:noWrap/>
            <w:hideMark/>
          </w:tcPr>
          <w:p w14:paraId="58B0A31F" w14:textId="77777777" w:rsidR="006B2681" w:rsidRPr="00490275" w:rsidRDefault="006B2681" w:rsidP="006B2681">
            <w:pPr>
              <w:spacing w:line="480" w:lineRule="auto"/>
              <w:jc w:val="center"/>
              <w:rPr>
                <w:rFonts w:eastAsia="Calibri"/>
              </w:rPr>
            </w:pPr>
          </w:p>
        </w:tc>
      </w:tr>
      <w:tr w:rsidR="00480956" w:rsidRPr="003D494A" w14:paraId="6B7ACABC" w14:textId="77777777" w:rsidTr="00490275">
        <w:trPr>
          <w:trHeight w:val="290"/>
        </w:trPr>
        <w:tc>
          <w:tcPr>
            <w:tcW w:w="2944" w:type="pct"/>
            <w:tcBorders>
              <w:top w:val="nil"/>
              <w:left w:val="nil"/>
              <w:bottom w:val="nil"/>
              <w:right w:val="nil"/>
            </w:tcBorders>
            <w:noWrap/>
            <w:hideMark/>
          </w:tcPr>
          <w:p w14:paraId="32388A83" w14:textId="77777777" w:rsidR="00480956" w:rsidRPr="00205468" w:rsidRDefault="00480956" w:rsidP="00480956">
            <w:pPr>
              <w:spacing w:line="480" w:lineRule="auto"/>
              <w:ind w:left="113"/>
              <w:rPr>
                <w:rFonts w:eastAsia="Calibri"/>
                <w:sz w:val="22"/>
                <w:szCs w:val="22"/>
              </w:rPr>
            </w:pPr>
            <w:r w:rsidRPr="00205468">
              <w:rPr>
                <w:rFonts w:eastAsia="Calibri"/>
              </w:rPr>
              <w:t xml:space="preserve">Quintile 1 (Lowest) </w:t>
            </w:r>
          </w:p>
        </w:tc>
        <w:tc>
          <w:tcPr>
            <w:tcW w:w="2056" w:type="pct"/>
            <w:tcBorders>
              <w:top w:val="nil"/>
              <w:left w:val="nil"/>
              <w:bottom w:val="nil"/>
              <w:right w:val="nil"/>
            </w:tcBorders>
            <w:shd w:val="clear" w:color="auto" w:fill="auto"/>
            <w:noWrap/>
            <w:vAlign w:val="bottom"/>
          </w:tcPr>
          <w:p w14:paraId="3E26A453" w14:textId="106BBE7C" w:rsidR="00480956" w:rsidRPr="003D494A" w:rsidRDefault="00480956" w:rsidP="00480956">
            <w:pPr>
              <w:spacing w:line="480" w:lineRule="auto"/>
              <w:jc w:val="center"/>
              <w:rPr>
                <w:rFonts w:eastAsia="Calibri"/>
              </w:rPr>
            </w:pPr>
            <w:r w:rsidRPr="003D494A">
              <w:rPr>
                <w:color w:val="000000"/>
              </w:rPr>
              <w:t>459 (24.1)</w:t>
            </w:r>
          </w:p>
        </w:tc>
      </w:tr>
      <w:tr w:rsidR="00480956" w:rsidRPr="003D494A" w14:paraId="7DC25D51" w14:textId="77777777" w:rsidTr="00490275">
        <w:trPr>
          <w:trHeight w:val="290"/>
        </w:trPr>
        <w:tc>
          <w:tcPr>
            <w:tcW w:w="2944" w:type="pct"/>
            <w:tcBorders>
              <w:top w:val="nil"/>
              <w:left w:val="nil"/>
              <w:bottom w:val="nil"/>
              <w:right w:val="nil"/>
            </w:tcBorders>
            <w:noWrap/>
            <w:hideMark/>
          </w:tcPr>
          <w:p w14:paraId="60C06C2E" w14:textId="77777777" w:rsidR="00480956" w:rsidRPr="00205468" w:rsidRDefault="00480956" w:rsidP="00480956">
            <w:pPr>
              <w:spacing w:line="480" w:lineRule="auto"/>
              <w:ind w:left="113"/>
              <w:rPr>
                <w:rFonts w:eastAsia="Calibri"/>
                <w:sz w:val="22"/>
                <w:szCs w:val="22"/>
              </w:rPr>
            </w:pPr>
            <w:r w:rsidRPr="00205468">
              <w:rPr>
                <w:rFonts w:eastAsia="Calibri"/>
              </w:rPr>
              <w:t>Quintile 2</w:t>
            </w:r>
          </w:p>
        </w:tc>
        <w:tc>
          <w:tcPr>
            <w:tcW w:w="2056" w:type="pct"/>
            <w:tcBorders>
              <w:top w:val="nil"/>
              <w:left w:val="nil"/>
              <w:bottom w:val="nil"/>
              <w:right w:val="nil"/>
            </w:tcBorders>
            <w:shd w:val="clear" w:color="auto" w:fill="auto"/>
            <w:noWrap/>
            <w:vAlign w:val="bottom"/>
          </w:tcPr>
          <w:p w14:paraId="5103117A" w14:textId="10776741" w:rsidR="00480956" w:rsidRPr="003D494A" w:rsidRDefault="00480956" w:rsidP="00480956">
            <w:pPr>
              <w:spacing w:line="480" w:lineRule="auto"/>
              <w:jc w:val="center"/>
              <w:rPr>
                <w:rFonts w:eastAsia="Calibri"/>
              </w:rPr>
            </w:pPr>
            <w:r w:rsidRPr="003D494A">
              <w:rPr>
                <w:color w:val="000000"/>
              </w:rPr>
              <w:t>411 (21.6)</w:t>
            </w:r>
          </w:p>
        </w:tc>
      </w:tr>
      <w:tr w:rsidR="00480956" w:rsidRPr="003D494A" w14:paraId="32F5E598" w14:textId="77777777" w:rsidTr="00490275">
        <w:trPr>
          <w:trHeight w:val="290"/>
        </w:trPr>
        <w:tc>
          <w:tcPr>
            <w:tcW w:w="2944" w:type="pct"/>
            <w:tcBorders>
              <w:top w:val="nil"/>
              <w:left w:val="nil"/>
              <w:bottom w:val="nil"/>
              <w:right w:val="nil"/>
            </w:tcBorders>
            <w:noWrap/>
            <w:hideMark/>
          </w:tcPr>
          <w:p w14:paraId="2482F120" w14:textId="77777777" w:rsidR="00480956" w:rsidRPr="00205468" w:rsidRDefault="00480956" w:rsidP="00480956">
            <w:pPr>
              <w:spacing w:line="480" w:lineRule="auto"/>
              <w:ind w:left="113"/>
              <w:rPr>
                <w:rFonts w:eastAsia="Calibri"/>
                <w:sz w:val="22"/>
                <w:szCs w:val="22"/>
              </w:rPr>
            </w:pPr>
            <w:r w:rsidRPr="00205468">
              <w:rPr>
                <w:rFonts w:eastAsia="Calibri"/>
              </w:rPr>
              <w:t>Quintile 3</w:t>
            </w:r>
          </w:p>
        </w:tc>
        <w:tc>
          <w:tcPr>
            <w:tcW w:w="2056" w:type="pct"/>
            <w:tcBorders>
              <w:top w:val="nil"/>
              <w:left w:val="nil"/>
              <w:bottom w:val="nil"/>
              <w:right w:val="nil"/>
            </w:tcBorders>
            <w:shd w:val="clear" w:color="auto" w:fill="auto"/>
            <w:noWrap/>
            <w:vAlign w:val="bottom"/>
          </w:tcPr>
          <w:p w14:paraId="4E69267A" w14:textId="4FC0D1AC" w:rsidR="00480956" w:rsidRPr="003D494A" w:rsidRDefault="00480956" w:rsidP="00480956">
            <w:pPr>
              <w:spacing w:line="480" w:lineRule="auto"/>
              <w:jc w:val="center"/>
              <w:rPr>
                <w:rFonts w:eastAsia="Calibri"/>
              </w:rPr>
            </w:pPr>
            <w:r w:rsidRPr="003D494A">
              <w:rPr>
                <w:color w:val="000000"/>
              </w:rPr>
              <w:t>370 (19.5)</w:t>
            </w:r>
          </w:p>
        </w:tc>
      </w:tr>
      <w:tr w:rsidR="00480956" w:rsidRPr="003D494A" w14:paraId="055DC7D1" w14:textId="77777777" w:rsidTr="00490275">
        <w:trPr>
          <w:trHeight w:val="290"/>
        </w:trPr>
        <w:tc>
          <w:tcPr>
            <w:tcW w:w="2944" w:type="pct"/>
            <w:tcBorders>
              <w:top w:val="nil"/>
              <w:left w:val="nil"/>
              <w:bottom w:val="nil"/>
              <w:right w:val="nil"/>
            </w:tcBorders>
            <w:noWrap/>
            <w:hideMark/>
          </w:tcPr>
          <w:p w14:paraId="1E75D8CE" w14:textId="77777777" w:rsidR="00480956" w:rsidRPr="00205468" w:rsidRDefault="00480956" w:rsidP="00480956">
            <w:pPr>
              <w:spacing w:line="480" w:lineRule="auto"/>
              <w:ind w:left="113"/>
              <w:rPr>
                <w:rFonts w:eastAsia="Calibri"/>
                <w:sz w:val="22"/>
                <w:szCs w:val="22"/>
              </w:rPr>
            </w:pPr>
            <w:r w:rsidRPr="00205468">
              <w:rPr>
                <w:rFonts w:eastAsia="Calibri"/>
              </w:rPr>
              <w:t>Quintile 4</w:t>
            </w:r>
          </w:p>
        </w:tc>
        <w:tc>
          <w:tcPr>
            <w:tcW w:w="2056" w:type="pct"/>
            <w:tcBorders>
              <w:top w:val="nil"/>
              <w:left w:val="nil"/>
              <w:bottom w:val="nil"/>
              <w:right w:val="nil"/>
            </w:tcBorders>
            <w:shd w:val="clear" w:color="auto" w:fill="auto"/>
            <w:noWrap/>
            <w:vAlign w:val="bottom"/>
          </w:tcPr>
          <w:p w14:paraId="2A0B0F7C" w14:textId="3338A201" w:rsidR="00480956" w:rsidRPr="003D494A" w:rsidRDefault="00480956" w:rsidP="00480956">
            <w:pPr>
              <w:spacing w:line="480" w:lineRule="auto"/>
              <w:jc w:val="center"/>
              <w:rPr>
                <w:rFonts w:eastAsia="Calibri"/>
              </w:rPr>
            </w:pPr>
            <w:r w:rsidRPr="003D494A">
              <w:rPr>
                <w:color w:val="000000"/>
              </w:rPr>
              <w:t>339 (17.8)</w:t>
            </w:r>
          </w:p>
        </w:tc>
      </w:tr>
      <w:tr w:rsidR="00480956" w:rsidRPr="003D494A" w14:paraId="1FD7F68C" w14:textId="77777777" w:rsidTr="00490275">
        <w:trPr>
          <w:trHeight w:val="290"/>
        </w:trPr>
        <w:tc>
          <w:tcPr>
            <w:tcW w:w="2944" w:type="pct"/>
            <w:tcBorders>
              <w:top w:val="nil"/>
              <w:left w:val="nil"/>
              <w:bottom w:val="nil"/>
              <w:right w:val="nil"/>
            </w:tcBorders>
            <w:noWrap/>
            <w:hideMark/>
          </w:tcPr>
          <w:p w14:paraId="79C74024" w14:textId="77777777" w:rsidR="00480956" w:rsidRPr="00205468" w:rsidRDefault="00480956" w:rsidP="00480956">
            <w:pPr>
              <w:spacing w:line="480" w:lineRule="auto"/>
              <w:ind w:left="113"/>
              <w:rPr>
                <w:rFonts w:eastAsia="Calibri"/>
                <w:sz w:val="22"/>
                <w:szCs w:val="22"/>
              </w:rPr>
            </w:pPr>
            <w:r w:rsidRPr="00205468">
              <w:rPr>
                <w:rFonts w:eastAsia="Calibri"/>
              </w:rPr>
              <w:t xml:space="preserve">Quintile 5 (Highest) </w:t>
            </w:r>
          </w:p>
        </w:tc>
        <w:tc>
          <w:tcPr>
            <w:tcW w:w="2056" w:type="pct"/>
            <w:tcBorders>
              <w:top w:val="nil"/>
              <w:left w:val="nil"/>
              <w:bottom w:val="nil"/>
              <w:right w:val="nil"/>
            </w:tcBorders>
            <w:shd w:val="clear" w:color="auto" w:fill="auto"/>
            <w:noWrap/>
            <w:vAlign w:val="bottom"/>
            <w:hideMark/>
          </w:tcPr>
          <w:p w14:paraId="6BF48D27" w14:textId="1EABD722" w:rsidR="00480956" w:rsidRPr="003D494A" w:rsidRDefault="00480956" w:rsidP="00480956">
            <w:pPr>
              <w:spacing w:line="480" w:lineRule="auto"/>
              <w:jc w:val="center"/>
              <w:rPr>
                <w:rFonts w:eastAsia="Calibri"/>
              </w:rPr>
            </w:pPr>
            <w:r w:rsidRPr="003D494A">
              <w:rPr>
                <w:color w:val="000000"/>
              </w:rPr>
              <w:t>315 (16.6)</w:t>
            </w:r>
          </w:p>
        </w:tc>
      </w:tr>
      <w:tr w:rsidR="00480956" w:rsidRPr="003D494A" w14:paraId="24A4B668" w14:textId="77777777" w:rsidTr="00490275">
        <w:trPr>
          <w:trHeight w:val="290"/>
        </w:trPr>
        <w:tc>
          <w:tcPr>
            <w:tcW w:w="2944" w:type="pct"/>
            <w:tcBorders>
              <w:top w:val="nil"/>
              <w:left w:val="nil"/>
              <w:bottom w:val="nil"/>
              <w:right w:val="nil"/>
            </w:tcBorders>
            <w:noWrap/>
          </w:tcPr>
          <w:p w14:paraId="17A73C2D" w14:textId="1AED0B8A" w:rsidR="00480956" w:rsidRPr="00484EC7" w:rsidRDefault="00480956" w:rsidP="00480956">
            <w:pPr>
              <w:spacing w:line="480" w:lineRule="auto"/>
              <w:ind w:left="113"/>
              <w:rPr>
                <w:rFonts w:eastAsia="Calibri"/>
              </w:rPr>
            </w:pPr>
            <w:r>
              <w:rPr>
                <w:rFonts w:eastAsia="Calibri"/>
              </w:rPr>
              <w:t>Missing</w:t>
            </w:r>
          </w:p>
        </w:tc>
        <w:tc>
          <w:tcPr>
            <w:tcW w:w="2056" w:type="pct"/>
            <w:tcBorders>
              <w:top w:val="nil"/>
              <w:left w:val="nil"/>
              <w:bottom w:val="nil"/>
              <w:right w:val="nil"/>
            </w:tcBorders>
            <w:shd w:val="clear" w:color="auto" w:fill="auto"/>
            <w:noWrap/>
            <w:vAlign w:val="bottom"/>
          </w:tcPr>
          <w:p w14:paraId="05BC520F" w14:textId="48DE4EC1" w:rsidR="00480956" w:rsidRPr="00D24223" w:rsidRDefault="00480956" w:rsidP="00480956">
            <w:pPr>
              <w:spacing w:line="480" w:lineRule="auto"/>
              <w:jc w:val="center"/>
              <w:rPr>
                <w:rFonts w:eastAsia="Times New Roman"/>
                <w:color w:val="000000"/>
              </w:rPr>
            </w:pPr>
            <w:r w:rsidRPr="00D24223">
              <w:rPr>
                <w:rFonts w:eastAsia="Times New Roman"/>
                <w:color w:val="000000"/>
              </w:rPr>
              <w:t>8 (0.4)</w:t>
            </w:r>
          </w:p>
        </w:tc>
      </w:tr>
      <w:tr w:rsidR="00480956" w:rsidRPr="003D494A" w14:paraId="59D30BC1" w14:textId="77777777" w:rsidTr="00490275">
        <w:trPr>
          <w:trHeight w:val="290"/>
        </w:trPr>
        <w:tc>
          <w:tcPr>
            <w:tcW w:w="2944" w:type="pct"/>
            <w:tcBorders>
              <w:top w:val="nil"/>
              <w:left w:val="nil"/>
              <w:bottom w:val="nil"/>
              <w:right w:val="nil"/>
            </w:tcBorders>
            <w:noWrap/>
            <w:hideMark/>
          </w:tcPr>
          <w:p w14:paraId="3B1A298F" w14:textId="77777777" w:rsidR="00480956" w:rsidRPr="00205468" w:rsidRDefault="00480956" w:rsidP="00480956">
            <w:pPr>
              <w:spacing w:line="480" w:lineRule="auto"/>
              <w:rPr>
                <w:rFonts w:eastAsia="Calibri"/>
                <w:sz w:val="22"/>
                <w:szCs w:val="22"/>
              </w:rPr>
            </w:pPr>
            <w:r w:rsidRPr="00205468">
              <w:rPr>
                <w:rFonts w:eastAsia="Calibri"/>
              </w:rPr>
              <w:t>Immigrant, N(%)</w:t>
            </w:r>
          </w:p>
        </w:tc>
        <w:tc>
          <w:tcPr>
            <w:tcW w:w="2056" w:type="pct"/>
            <w:tcBorders>
              <w:top w:val="nil"/>
              <w:left w:val="nil"/>
              <w:bottom w:val="nil"/>
              <w:right w:val="nil"/>
            </w:tcBorders>
            <w:shd w:val="clear" w:color="auto" w:fill="auto"/>
            <w:noWrap/>
            <w:vAlign w:val="bottom"/>
            <w:hideMark/>
          </w:tcPr>
          <w:p w14:paraId="75B91E79" w14:textId="4168F3DD" w:rsidR="00480956" w:rsidRPr="003D494A" w:rsidRDefault="00480956" w:rsidP="00480956">
            <w:pPr>
              <w:spacing w:line="480" w:lineRule="auto"/>
              <w:jc w:val="center"/>
              <w:rPr>
                <w:rFonts w:eastAsia="Calibri"/>
              </w:rPr>
            </w:pPr>
            <w:r w:rsidRPr="00D24223">
              <w:rPr>
                <w:rFonts w:eastAsia="Times New Roman"/>
                <w:color w:val="000000"/>
              </w:rPr>
              <w:t>187 (</w:t>
            </w:r>
            <w:r w:rsidR="00B66C75" w:rsidRPr="00D24223">
              <w:rPr>
                <w:rFonts w:eastAsia="Times New Roman"/>
                <w:color w:val="000000"/>
              </w:rPr>
              <w:t>9.8)</w:t>
            </w:r>
          </w:p>
        </w:tc>
      </w:tr>
      <w:tr w:rsidR="00480956" w:rsidRPr="003D494A" w14:paraId="280CE007" w14:textId="77777777" w:rsidTr="00490275">
        <w:trPr>
          <w:trHeight w:val="290"/>
        </w:trPr>
        <w:tc>
          <w:tcPr>
            <w:tcW w:w="2944" w:type="pct"/>
            <w:tcBorders>
              <w:top w:val="nil"/>
              <w:left w:val="nil"/>
              <w:bottom w:val="nil"/>
              <w:right w:val="nil"/>
            </w:tcBorders>
            <w:noWrap/>
            <w:hideMark/>
          </w:tcPr>
          <w:p w14:paraId="1076D870" w14:textId="77777777" w:rsidR="00480956" w:rsidRPr="00205468" w:rsidRDefault="00480956" w:rsidP="00480956">
            <w:pPr>
              <w:spacing w:line="480" w:lineRule="auto"/>
              <w:rPr>
                <w:rFonts w:eastAsia="Calibri"/>
                <w:sz w:val="22"/>
                <w:szCs w:val="22"/>
              </w:rPr>
            </w:pPr>
            <w:r w:rsidRPr="00205468">
              <w:rPr>
                <w:rFonts w:eastAsia="Calibri"/>
              </w:rPr>
              <w:t>Marginalization Index Factor Scores, N(%)</w:t>
            </w:r>
          </w:p>
        </w:tc>
        <w:tc>
          <w:tcPr>
            <w:tcW w:w="2056" w:type="pct"/>
            <w:tcBorders>
              <w:top w:val="nil"/>
              <w:left w:val="nil"/>
              <w:bottom w:val="nil"/>
              <w:right w:val="nil"/>
            </w:tcBorders>
            <w:noWrap/>
            <w:hideMark/>
          </w:tcPr>
          <w:p w14:paraId="3A59F4B0" w14:textId="77777777" w:rsidR="00480956" w:rsidRPr="003D494A" w:rsidRDefault="00480956" w:rsidP="00480956">
            <w:pPr>
              <w:spacing w:line="480" w:lineRule="auto"/>
              <w:jc w:val="center"/>
              <w:rPr>
                <w:rFonts w:eastAsia="Calibri"/>
              </w:rPr>
            </w:pPr>
          </w:p>
        </w:tc>
      </w:tr>
      <w:tr w:rsidR="00480956" w:rsidRPr="003D494A" w14:paraId="2DA76E92" w14:textId="77777777" w:rsidTr="00490275">
        <w:trPr>
          <w:trHeight w:val="290"/>
        </w:trPr>
        <w:tc>
          <w:tcPr>
            <w:tcW w:w="2944" w:type="pct"/>
            <w:tcBorders>
              <w:top w:val="nil"/>
              <w:left w:val="nil"/>
              <w:bottom w:val="nil"/>
              <w:right w:val="nil"/>
            </w:tcBorders>
            <w:noWrap/>
            <w:hideMark/>
          </w:tcPr>
          <w:p w14:paraId="10FB2917" w14:textId="77777777" w:rsidR="00480956" w:rsidRPr="00205468" w:rsidRDefault="00480956" w:rsidP="00480956">
            <w:pPr>
              <w:spacing w:line="480" w:lineRule="auto"/>
              <w:ind w:left="113"/>
              <w:rPr>
                <w:rFonts w:eastAsia="Calibri"/>
                <w:sz w:val="22"/>
                <w:szCs w:val="22"/>
              </w:rPr>
            </w:pPr>
            <w:r w:rsidRPr="00205468">
              <w:rPr>
                <w:rFonts w:eastAsia="Calibri"/>
              </w:rPr>
              <w:t>Ethnic Concentration</w:t>
            </w:r>
          </w:p>
        </w:tc>
        <w:tc>
          <w:tcPr>
            <w:tcW w:w="2056" w:type="pct"/>
            <w:tcBorders>
              <w:top w:val="nil"/>
              <w:left w:val="nil"/>
              <w:bottom w:val="nil"/>
              <w:right w:val="nil"/>
            </w:tcBorders>
            <w:noWrap/>
            <w:hideMark/>
          </w:tcPr>
          <w:p w14:paraId="0E6401D8" w14:textId="77777777" w:rsidR="00480956" w:rsidRPr="003D494A" w:rsidRDefault="00480956" w:rsidP="00480956">
            <w:pPr>
              <w:spacing w:line="480" w:lineRule="auto"/>
              <w:jc w:val="center"/>
              <w:rPr>
                <w:rFonts w:eastAsia="Calibri"/>
              </w:rPr>
            </w:pPr>
          </w:p>
        </w:tc>
      </w:tr>
      <w:tr w:rsidR="00B66C75" w:rsidRPr="003D494A" w14:paraId="4217E550" w14:textId="77777777" w:rsidTr="00490275">
        <w:trPr>
          <w:trHeight w:val="290"/>
        </w:trPr>
        <w:tc>
          <w:tcPr>
            <w:tcW w:w="2944" w:type="pct"/>
            <w:tcBorders>
              <w:top w:val="nil"/>
              <w:left w:val="nil"/>
              <w:bottom w:val="nil"/>
              <w:right w:val="nil"/>
            </w:tcBorders>
            <w:noWrap/>
            <w:hideMark/>
          </w:tcPr>
          <w:p w14:paraId="0B49AC3C" w14:textId="77777777" w:rsidR="00B66C75" w:rsidRPr="00205468" w:rsidRDefault="00B66C75" w:rsidP="00B66C75">
            <w:pPr>
              <w:spacing w:line="480" w:lineRule="auto"/>
              <w:ind w:left="227"/>
              <w:rPr>
                <w:rFonts w:eastAsia="Calibri"/>
                <w:sz w:val="22"/>
                <w:szCs w:val="22"/>
              </w:rPr>
            </w:pPr>
            <w:r w:rsidRPr="00205468">
              <w:rPr>
                <w:rFonts w:eastAsia="Calibri"/>
              </w:rPr>
              <w:t>Quintile 1</w:t>
            </w:r>
          </w:p>
        </w:tc>
        <w:tc>
          <w:tcPr>
            <w:tcW w:w="2056" w:type="pct"/>
            <w:tcBorders>
              <w:top w:val="nil"/>
              <w:left w:val="nil"/>
              <w:bottom w:val="nil"/>
              <w:right w:val="nil"/>
            </w:tcBorders>
            <w:shd w:val="clear" w:color="auto" w:fill="auto"/>
            <w:noWrap/>
            <w:vAlign w:val="bottom"/>
            <w:hideMark/>
          </w:tcPr>
          <w:p w14:paraId="2461416E" w14:textId="72604E2F" w:rsidR="00B66C75" w:rsidRPr="003D494A" w:rsidRDefault="00B66C75" w:rsidP="00B66C75">
            <w:pPr>
              <w:spacing w:line="480" w:lineRule="auto"/>
              <w:jc w:val="center"/>
              <w:rPr>
                <w:rFonts w:eastAsia="Calibri"/>
              </w:rPr>
            </w:pPr>
            <w:r w:rsidRPr="003D494A">
              <w:rPr>
                <w:color w:val="000000"/>
              </w:rPr>
              <w:t>320 (16.8)</w:t>
            </w:r>
          </w:p>
        </w:tc>
      </w:tr>
      <w:tr w:rsidR="00B66C75" w:rsidRPr="003D494A" w14:paraId="3FA3BD1B" w14:textId="77777777" w:rsidTr="00490275">
        <w:trPr>
          <w:trHeight w:val="290"/>
        </w:trPr>
        <w:tc>
          <w:tcPr>
            <w:tcW w:w="2944" w:type="pct"/>
            <w:tcBorders>
              <w:top w:val="nil"/>
              <w:left w:val="nil"/>
              <w:bottom w:val="nil"/>
              <w:right w:val="nil"/>
            </w:tcBorders>
            <w:noWrap/>
            <w:hideMark/>
          </w:tcPr>
          <w:p w14:paraId="29C50B6D" w14:textId="77777777" w:rsidR="00B66C75" w:rsidRPr="00205468" w:rsidRDefault="00B66C75" w:rsidP="00B66C75">
            <w:pPr>
              <w:spacing w:line="480" w:lineRule="auto"/>
              <w:ind w:left="227"/>
              <w:rPr>
                <w:rFonts w:eastAsia="Calibri"/>
                <w:sz w:val="22"/>
                <w:szCs w:val="22"/>
              </w:rPr>
            </w:pPr>
            <w:r w:rsidRPr="00205468">
              <w:rPr>
                <w:rFonts w:eastAsia="Calibri"/>
              </w:rPr>
              <w:t>Quintile 2</w:t>
            </w:r>
          </w:p>
        </w:tc>
        <w:tc>
          <w:tcPr>
            <w:tcW w:w="2056" w:type="pct"/>
            <w:tcBorders>
              <w:top w:val="nil"/>
              <w:left w:val="nil"/>
              <w:bottom w:val="nil"/>
              <w:right w:val="nil"/>
            </w:tcBorders>
            <w:shd w:val="clear" w:color="auto" w:fill="auto"/>
            <w:noWrap/>
            <w:vAlign w:val="bottom"/>
            <w:hideMark/>
          </w:tcPr>
          <w:p w14:paraId="07541484" w14:textId="73A4464D" w:rsidR="00B66C75" w:rsidRPr="003D494A" w:rsidRDefault="00B66C75" w:rsidP="00B66C75">
            <w:pPr>
              <w:spacing w:line="480" w:lineRule="auto"/>
              <w:jc w:val="center"/>
              <w:rPr>
                <w:rFonts w:eastAsia="Calibri"/>
              </w:rPr>
            </w:pPr>
            <w:r w:rsidRPr="003D494A">
              <w:rPr>
                <w:color w:val="000000"/>
              </w:rPr>
              <w:t>333 (17.5)</w:t>
            </w:r>
          </w:p>
        </w:tc>
      </w:tr>
      <w:tr w:rsidR="00B66C75" w:rsidRPr="003D494A" w14:paraId="0B5A3277" w14:textId="77777777" w:rsidTr="00490275">
        <w:trPr>
          <w:trHeight w:val="290"/>
        </w:trPr>
        <w:tc>
          <w:tcPr>
            <w:tcW w:w="2944" w:type="pct"/>
            <w:tcBorders>
              <w:top w:val="nil"/>
              <w:left w:val="nil"/>
              <w:bottom w:val="nil"/>
              <w:right w:val="nil"/>
            </w:tcBorders>
            <w:noWrap/>
            <w:hideMark/>
          </w:tcPr>
          <w:p w14:paraId="079A94A5" w14:textId="77777777" w:rsidR="00B66C75" w:rsidRPr="00205468" w:rsidRDefault="00B66C75" w:rsidP="00B66C75">
            <w:pPr>
              <w:spacing w:line="480" w:lineRule="auto"/>
              <w:ind w:left="227"/>
              <w:rPr>
                <w:rFonts w:eastAsia="Calibri"/>
                <w:sz w:val="22"/>
                <w:szCs w:val="22"/>
              </w:rPr>
            </w:pPr>
            <w:r w:rsidRPr="00205468">
              <w:rPr>
                <w:rFonts w:eastAsia="Calibri"/>
              </w:rPr>
              <w:t>Quintile 3</w:t>
            </w:r>
          </w:p>
        </w:tc>
        <w:tc>
          <w:tcPr>
            <w:tcW w:w="2056" w:type="pct"/>
            <w:tcBorders>
              <w:top w:val="nil"/>
              <w:left w:val="nil"/>
              <w:bottom w:val="nil"/>
              <w:right w:val="nil"/>
            </w:tcBorders>
            <w:shd w:val="clear" w:color="auto" w:fill="auto"/>
            <w:noWrap/>
            <w:vAlign w:val="bottom"/>
            <w:hideMark/>
          </w:tcPr>
          <w:p w14:paraId="50453DA1" w14:textId="0029E11A" w:rsidR="00B66C75" w:rsidRPr="003D494A" w:rsidRDefault="00B66C75" w:rsidP="00B66C75">
            <w:pPr>
              <w:spacing w:line="480" w:lineRule="auto"/>
              <w:jc w:val="center"/>
              <w:rPr>
                <w:rFonts w:eastAsia="Calibri"/>
              </w:rPr>
            </w:pPr>
            <w:r w:rsidRPr="003D494A">
              <w:rPr>
                <w:color w:val="000000"/>
              </w:rPr>
              <w:t>278 (14.6)</w:t>
            </w:r>
          </w:p>
        </w:tc>
      </w:tr>
      <w:tr w:rsidR="00B66C75" w:rsidRPr="003D494A" w14:paraId="22FCD534" w14:textId="77777777" w:rsidTr="00490275">
        <w:trPr>
          <w:trHeight w:val="290"/>
        </w:trPr>
        <w:tc>
          <w:tcPr>
            <w:tcW w:w="2944" w:type="pct"/>
            <w:tcBorders>
              <w:top w:val="nil"/>
              <w:left w:val="nil"/>
              <w:bottom w:val="nil"/>
              <w:right w:val="nil"/>
            </w:tcBorders>
            <w:noWrap/>
            <w:hideMark/>
          </w:tcPr>
          <w:p w14:paraId="1E4EC511" w14:textId="77777777" w:rsidR="00B66C75" w:rsidRPr="00205468" w:rsidRDefault="00B66C75" w:rsidP="00B66C75">
            <w:pPr>
              <w:spacing w:line="480" w:lineRule="auto"/>
              <w:ind w:left="227"/>
              <w:rPr>
                <w:rFonts w:eastAsia="Calibri"/>
                <w:sz w:val="22"/>
                <w:szCs w:val="22"/>
              </w:rPr>
            </w:pPr>
            <w:r w:rsidRPr="00205468">
              <w:rPr>
                <w:rFonts w:eastAsia="Calibri"/>
              </w:rPr>
              <w:t>Quintile 4</w:t>
            </w:r>
          </w:p>
        </w:tc>
        <w:tc>
          <w:tcPr>
            <w:tcW w:w="2056" w:type="pct"/>
            <w:tcBorders>
              <w:top w:val="nil"/>
              <w:left w:val="nil"/>
              <w:bottom w:val="nil"/>
              <w:right w:val="nil"/>
            </w:tcBorders>
            <w:shd w:val="clear" w:color="auto" w:fill="auto"/>
            <w:noWrap/>
            <w:vAlign w:val="bottom"/>
            <w:hideMark/>
          </w:tcPr>
          <w:p w14:paraId="4EEADBBE" w14:textId="61AD4FED" w:rsidR="00B66C75" w:rsidRPr="003D494A" w:rsidRDefault="00B66C75" w:rsidP="00B66C75">
            <w:pPr>
              <w:spacing w:line="480" w:lineRule="auto"/>
              <w:jc w:val="center"/>
              <w:rPr>
                <w:rFonts w:eastAsia="Calibri"/>
              </w:rPr>
            </w:pPr>
            <w:r w:rsidRPr="003D494A">
              <w:rPr>
                <w:color w:val="000000"/>
              </w:rPr>
              <w:t>304 (16.0)</w:t>
            </w:r>
          </w:p>
        </w:tc>
      </w:tr>
      <w:tr w:rsidR="00B66C75" w:rsidRPr="003D494A" w14:paraId="6D585AA6" w14:textId="77777777" w:rsidTr="00490275">
        <w:trPr>
          <w:trHeight w:val="290"/>
        </w:trPr>
        <w:tc>
          <w:tcPr>
            <w:tcW w:w="2944" w:type="pct"/>
            <w:tcBorders>
              <w:top w:val="nil"/>
              <w:left w:val="nil"/>
              <w:bottom w:val="nil"/>
              <w:right w:val="nil"/>
            </w:tcBorders>
            <w:noWrap/>
            <w:hideMark/>
          </w:tcPr>
          <w:p w14:paraId="588BE2D0" w14:textId="77777777" w:rsidR="00B66C75" w:rsidRPr="00205468" w:rsidRDefault="00B66C75" w:rsidP="00B66C75">
            <w:pPr>
              <w:spacing w:line="480" w:lineRule="auto"/>
              <w:ind w:left="227"/>
              <w:rPr>
                <w:rFonts w:eastAsia="Calibri"/>
                <w:sz w:val="22"/>
                <w:szCs w:val="22"/>
              </w:rPr>
            </w:pPr>
            <w:r w:rsidRPr="00205468">
              <w:rPr>
                <w:rFonts w:eastAsia="Calibri"/>
              </w:rPr>
              <w:lastRenderedPageBreak/>
              <w:t>Quintile 5</w:t>
            </w:r>
          </w:p>
        </w:tc>
        <w:tc>
          <w:tcPr>
            <w:tcW w:w="2056" w:type="pct"/>
            <w:tcBorders>
              <w:top w:val="nil"/>
              <w:left w:val="nil"/>
              <w:bottom w:val="nil"/>
              <w:right w:val="nil"/>
            </w:tcBorders>
            <w:shd w:val="clear" w:color="auto" w:fill="auto"/>
            <w:noWrap/>
            <w:vAlign w:val="bottom"/>
            <w:hideMark/>
          </w:tcPr>
          <w:p w14:paraId="098924E0" w14:textId="50E01AC1" w:rsidR="00B66C75" w:rsidRPr="003D494A" w:rsidRDefault="00B66C75" w:rsidP="00B66C75">
            <w:pPr>
              <w:spacing w:line="480" w:lineRule="auto"/>
              <w:jc w:val="center"/>
              <w:rPr>
                <w:rFonts w:eastAsia="Calibri"/>
              </w:rPr>
            </w:pPr>
            <w:r w:rsidRPr="003D494A">
              <w:rPr>
                <w:color w:val="000000"/>
              </w:rPr>
              <w:t>354 (18.6)</w:t>
            </w:r>
          </w:p>
        </w:tc>
      </w:tr>
      <w:tr w:rsidR="00480956" w:rsidRPr="003D494A" w14:paraId="412C8C8A" w14:textId="77777777" w:rsidTr="00490275">
        <w:trPr>
          <w:trHeight w:val="290"/>
        </w:trPr>
        <w:tc>
          <w:tcPr>
            <w:tcW w:w="2944" w:type="pct"/>
            <w:tcBorders>
              <w:top w:val="nil"/>
              <w:left w:val="nil"/>
              <w:bottom w:val="nil"/>
              <w:right w:val="nil"/>
            </w:tcBorders>
            <w:noWrap/>
            <w:hideMark/>
          </w:tcPr>
          <w:p w14:paraId="719A71C3" w14:textId="77777777" w:rsidR="00480956" w:rsidRPr="00205468" w:rsidRDefault="00480956" w:rsidP="00480956">
            <w:pPr>
              <w:spacing w:line="480" w:lineRule="auto"/>
              <w:ind w:left="113"/>
              <w:rPr>
                <w:rFonts w:eastAsia="Calibri"/>
                <w:sz w:val="22"/>
                <w:szCs w:val="22"/>
              </w:rPr>
            </w:pPr>
            <w:r w:rsidRPr="00205468">
              <w:rPr>
                <w:rFonts w:eastAsia="Calibri"/>
              </w:rPr>
              <w:t>Material Deprivation</w:t>
            </w:r>
          </w:p>
        </w:tc>
        <w:tc>
          <w:tcPr>
            <w:tcW w:w="2056" w:type="pct"/>
            <w:tcBorders>
              <w:top w:val="nil"/>
              <w:left w:val="nil"/>
              <w:bottom w:val="nil"/>
              <w:right w:val="nil"/>
            </w:tcBorders>
            <w:noWrap/>
            <w:hideMark/>
          </w:tcPr>
          <w:p w14:paraId="4D0B2F90" w14:textId="77777777" w:rsidR="00480956" w:rsidRPr="003D494A" w:rsidRDefault="00480956" w:rsidP="00480956">
            <w:pPr>
              <w:spacing w:line="480" w:lineRule="auto"/>
              <w:jc w:val="center"/>
              <w:rPr>
                <w:rFonts w:eastAsia="Calibri"/>
              </w:rPr>
            </w:pPr>
          </w:p>
        </w:tc>
      </w:tr>
      <w:tr w:rsidR="00CD01A6" w:rsidRPr="003D494A" w14:paraId="1D66D82F" w14:textId="77777777" w:rsidTr="00490275">
        <w:trPr>
          <w:trHeight w:val="290"/>
        </w:trPr>
        <w:tc>
          <w:tcPr>
            <w:tcW w:w="2944" w:type="pct"/>
            <w:tcBorders>
              <w:top w:val="nil"/>
              <w:left w:val="nil"/>
              <w:bottom w:val="nil"/>
              <w:right w:val="nil"/>
            </w:tcBorders>
            <w:noWrap/>
            <w:hideMark/>
          </w:tcPr>
          <w:p w14:paraId="6518732E" w14:textId="77777777" w:rsidR="00CD01A6" w:rsidRPr="00205468" w:rsidRDefault="00CD01A6" w:rsidP="00CD01A6">
            <w:pPr>
              <w:spacing w:line="480" w:lineRule="auto"/>
              <w:ind w:left="227"/>
              <w:rPr>
                <w:rFonts w:eastAsia="Calibri"/>
                <w:sz w:val="22"/>
                <w:szCs w:val="22"/>
              </w:rPr>
            </w:pPr>
            <w:r w:rsidRPr="00205468">
              <w:rPr>
                <w:rFonts w:eastAsia="Calibri"/>
              </w:rPr>
              <w:t>Quintile 1</w:t>
            </w:r>
          </w:p>
        </w:tc>
        <w:tc>
          <w:tcPr>
            <w:tcW w:w="2056" w:type="pct"/>
            <w:tcBorders>
              <w:top w:val="nil"/>
              <w:left w:val="nil"/>
              <w:bottom w:val="nil"/>
              <w:right w:val="nil"/>
            </w:tcBorders>
            <w:shd w:val="clear" w:color="auto" w:fill="auto"/>
            <w:noWrap/>
            <w:vAlign w:val="bottom"/>
            <w:hideMark/>
          </w:tcPr>
          <w:p w14:paraId="76079EDF" w14:textId="406F364E" w:rsidR="00CD01A6" w:rsidRPr="003D494A" w:rsidRDefault="00CD01A6" w:rsidP="00CD01A6">
            <w:pPr>
              <w:spacing w:line="480" w:lineRule="auto"/>
              <w:jc w:val="center"/>
              <w:rPr>
                <w:rFonts w:eastAsia="Calibri"/>
              </w:rPr>
            </w:pPr>
            <w:r w:rsidRPr="003D494A">
              <w:rPr>
                <w:color w:val="000000"/>
              </w:rPr>
              <w:t>241 (12.7)</w:t>
            </w:r>
          </w:p>
        </w:tc>
      </w:tr>
      <w:tr w:rsidR="00CD01A6" w:rsidRPr="003D494A" w14:paraId="73B06C87" w14:textId="77777777" w:rsidTr="00490275">
        <w:trPr>
          <w:trHeight w:val="290"/>
        </w:trPr>
        <w:tc>
          <w:tcPr>
            <w:tcW w:w="2944" w:type="pct"/>
            <w:tcBorders>
              <w:top w:val="nil"/>
              <w:left w:val="nil"/>
              <w:bottom w:val="nil"/>
              <w:right w:val="nil"/>
            </w:tcBorders>
            <w:noWrap/>
            <w:hideMark/>
          </w:tcPr>
          <w:p w14:paraId="0D8050A1" w14:textId="77777777" w:rsidR="00CD01A6" w:rsidRPr="00205468" w:rsidRDefault="00CD01A6" w:rsidP="00CD01A6">
            <w:pPr>
              <w:spacing w:line="480" w:lineRule="auto"/>
              <w:ind w:left="227"/>
              <w:rPr>
                <w:rFonts w:eastAsia="Calibri"/>
                <w:sz w:val="22"/>
                <w:szCs w:val="22"/>
              </w:rPr>
            </w:pPr>
            <w:r w:rsidRPr="00205468">
              <w:rPr>
                <w:rFonts w:eastAsia="Calibri"/>
              </w:rPr>
              <w:t>Quintile 2</w:t>
            </w:r>
          </w:p>
        </w:tc>
        <w:tc>
          <w:tcPr>
            <w:tcW w:w="2056" w:type="pct"/>
            <w:tcBorders>
              <w:top w:val="nil"/>
              <w:left w:val="nil"/>
              <w:bottom w:val="nil"/>
              <w:right w:val="nil"/>
            </w:tcBorders>
            <w:shd w:val="clear" w:color="auto" w:fill="auto"/>
            <w:noWrap/>
            <w:vAlign w:val="bottom"/>
            <w:hideMark/>
          </w:tcPr>
          <w:p w14:paraId="0EA1E3E4" w14:textId="05832029" w:rsidR="00CD01A6" w:rsidRPr="003D494A" w:rsidRDefault="00CD01A6" w:rsidP="00CD01A6">
            <w:pPr>
              <w:spacing w:line="480" w:lineRule="auto"/>
              <w:jc w:val="center"/>
              <w:rPr>
                <w:rFonts w:eastAsia="Calibri"/>
              </w:rPr>
            </w:pPr>
            <w:r w:rsidRPr="003D494A">
              <w:rPr>
                <w:color w:val="000000"/>
              </w:rPr>
              <w:t>264 (13.9)</w:t>
            </w:r>
          </w:p>
        </w:tc>
      </w:tr>
      <w:tr w:rsidR="00CD01A6" w:rsidRPr="003D494A" w14:paraId="50F6F4FB" w14:textId="77777777" w:rsidTr="00490275">
        <w:trPr>
          <w:trHeight w:val="290"/>
        </w:trPr>
        <w:tc>
          <w:tcPr>
            <w:tcW w:w="2944" w:type="pct"/>
            <w:tcBorders>
              <w:top w:val="nil"/>
              <w:left w:val="nil"/>
              <w:bottom w:val="nil"/>
              <w:right w:val="nil"/>
            </w:tcBorders>
            <w:noWrap/>
            <w:hideMark/>
          </w:tcPr>
          <w:p w14:paraId="52407AEA" w14:textId="77777777" w:rsidR="00CD01A6" w:rsidRPr="00205468" w:rsidRDefault="00CD01A6" w:rsidP="00CD01A6">
            <w:pPr>
              <w:spacing w:line="480" w:lineRule="auto"/>
              <w:ind w:left="227"/>
              <w:rPr>
                <w:rFonts w:eastAsia="Calibri"/>
                <w:sz w:val="22"/>
                <w:szCs w:val="22"/>
              </w:rPr>
            </w:pPr>
            <w:r w:rsidRPr="00205468">
              <w:rPr>
                <w:rFonts w:eastAsia="Calibri"/>
              </w:rPr>
              <w:t>Quintile 3</w:t>
            </w:r>
          </w:p>
        </w:tc>
        <w:tc>
          <w:tcPr>
            <w:tcW w:w="2056" w:type="pct"/>
            <w:tcBorders>
              <w:top w:val="nil"/>
              <w:left w:val="nil"/>
              <w:bottom w:val="nil"/>
              <w:right w:val="nil"/>
            </w:tcBorders>
            <w:shd w:val="clear" w:color="auto" w:fill="auto"/>
            <w:noWrap/>
            <w:vAlign w:val="bottom"/>
            <w:hideMark/>
          </w:tcPr>
          <w:p w14:paraId="0EB8573A" w14:textId="127585DC" w:rsidR="00CD01A6" w:rsidRPr="003D494A" w:rsidRDefault="00CD01A6" w:rsidP="00CD01A6">
            <w:pPr>
              <w:spacing w:line="480" w:lineRule="auto"/>
              <w:jc w:val="center"/>
              <w:rPr>
                <w:rFonts w:eastAsia="Calibri"/>
              </w:rPr>
            </w:pPr>
            <w:r w:rsidRPr="003D494A">
              <w:rPr>
                <w:color w:val="000000"/>
              </w:rPr>
              <w:t>305 (16.0)</w:t>
            </w:r>
          </w:p>
        </w:tc>
      </w:tr>
      <w:tr w:rsidR="00CD01A6" w:rsidRPr="003D494A" w14:paraId="42016CBF" w14:textId="77777777" w:rsidTr="00490275">
        <w:trPr>
          <w:trHeight w:val="290"/>
        </w:trPr>
        <w:tc>
          <w:tcPr>
            <w:tcW w:w="2944" w:type="pct"/>
            <w:tcBorders>
              <w:top w:val="nil"/>
              <w:left w:val="nil"/>
              <w:bottom w:val="nil"/>
              <w:right w:val="nil"/>
            </w:tcBorders>
            <w:noWrap/>
            <w:hideMark/>
          </w:tcPr>
          <w:p w14:paraId="2D2121C5" w14:textId="77777777" w:rsidR="00CD01A6" w:rsidRPr="00205468" w:rsidRDefault="00CD01A6" w:rsidP="00CD01A6">
            <w:pPr>
              <w:spacing w:line="480" w:lineRule="auto"/>
              <w:ind w:left="227"/>
              <w:rPr>
                <w:rFonts w:eastAsia="Calibri"/>
                <w:sz w:val="22"/>
                <w:szCs w:val="22"/>
              </w:rPr>
            </w:pPr>
            <w:r w:rsidRPr="00205468">
              <w:rPr>
                <w:rFonts w:eastAsia="Calibri"/>
              </w:rPr>
              <w:t>Quintile 4</w:t>
            </w:r>
          </w:p>
        </w:tc>
        <w:tc>
          <w:tcPr>
            <w:tcW w:w="2056" w:type="pct"/>
            <w:tcBorders>
              <w:top w:val="nil"/>
              <w:left w:val="nil"/>
              <w:bottom w:val="nil"/>
              <w:right w:val="nil"/>
            </w:tcBorders>
            <w:shd w:val="clear" w:color="auto" w:fill="auto"/>
            <w:noWrap/>
            <w:vAlign w:val="bottom"/>
            <w:hideMark/>
          </w:tcPr>
          <w:p w14:paraId="6B193B36" w14:textId="419D0EE8" w:rsidR="00CD01A6" w:rsidRPr="003D494A" w:rsidRDefault="00CD01A6" w:rsidP="00CD01A6">
            <w:pPr>
              <w:spacing w:line="480" w:lineRule="auto"/>
              <w:jc w:val="center"/>
              <w:rPr>
                <w:rFonts w:eastAsia="Calibri"/>
              </w:rPr>
            </w:pPr>
            <w:r w:rsidRPr="003D494A">
              <w:rPr>
                <w:color w:val="000000"/>
              </w:rPr>
              <w:t>310 (16.3)</w:t>
            </w:r>
          </w:p>
        </w:tc>
      </w:tr>
      <w:tr w:rsidR="00CD01A6" w:rsidRPr="003D494A" w14:paraId="3B285108" w14:textId="77777777" w:rsidTr="00490275">
        <w:trPr>
          <w:trHeight w:val="290"/>
        </w:trPr>
        <w:tc>
          <w:tcPr>
            <w:tcW w:w="2944" w:type="pct"/>
            <w:tcBorders>
              <w:top w:val="nil"/>
              <w:left w:val="nil"/>
              <w:bottom w:val="nil"/>
              <w:right w:val="nil"/>
            </w:tcBorders>
            <w:noWrap/>
            <w:hideMark/>
          </w:tcPr>
          <w:p w14:paraId="4BB5A50A" w14:textId="77777777" w:rsidR="00CD01A6" w:rsidRPr="00205468" w:rsidRDefault="00CD01A6" w:rsidP="00CD01A6">
            <w:pPr>
              <w:spacing w:line="480" w:lineRule="auto"/>
              <w:ind w:left="227"/>
              <w:rPr>
                <w:rFonts w:eastAsia="Calibri"/>
                <w:sz w:val="22"/>
                <w:szCs w:val="22"/>
              </w:rPr>
            </w:pPr>
            <w:r w:rsidRPr="00205468">
              <w:rPr>
                <w:rFonts w:eastAsia="Calibri"/>
              </w:rPr>
              <w:t>Quintile 5</w:t>
            </w:r>
          </w:p>
        </w:tc>
        <w:tc>
          <w:tcPr>
            <w:tcW w:w="2056" w:type="pct"/>
            <w:tcBorders>
              <w:top w:val="nil"/>
              <w:left w:val="nil"/>
              <w:bottom w:val="nil"/>
              <w:right w:val="nil"/>
            </w:tcBorders>
            <w:shd w:val="clear" w:color="auto" w:fill="auto"/>
            <w:noWrap/>
            <w:vAlign w:val="bottom"/>
            <w:hideMark/>
          </w:tcPr>
          <w:p w14:paraId="12895FAE" w14:textId="4151A6C9" w:rsidR="00CD01A6" w:rsidRPr="003D494A" w:rsidRDefault="00CD01A6" w:rsidP="00CD01A6">
            <w:pPr>
              <w:spacing w:line="480" w:lineRule="auto"/>
              <w:jc w:val="center"/>
              <w:rPr>
                <w:rFonts w:eastAsia="Calibri"/>
              </w:rPr>
            </w:pPr>
            <w:r w:rsidRPr="003D494A">
              <w:rPr>
                <w:color w:val="000000"/>
              </w:rPr>
              <w:t>469 (24.7)</w:t>
            </w:r>
          </w:p>
        </w:tc>
      </w:tr>
      <w:tr w:rsidR="00480956" w:rsidRPr="003D494A" w14:paraId="36CEDFE9" w14:textId="77777777" w:rsidTr="00490275">
        <w:trPr>
          <w:trHeight w:val="290"/>
        </w:trPr>
        <w:tc>
          <w:tcPr>
            <w:tcW w:w="2944" w:type="pct"/>
            <w:tcBorders>
              <w:top w:val="nil"/>
              <w:left w:val="nil"/>
              <w:bottom w:val="nil"/>
              <w:right w:val="nil"/>
            </w:tcBorders>
            <w:noWrap/>
            <w:hideMark/>
          </w:tcPr>
          <w:p w14:paraId="14B969F0" w14:textId="77777777" w:rsidR="00480956" w:rsidRPr="00205468" w:rsidRDefault="00480956" w:rsidP="00480956">
            <w:pPr>
              <w:spacing w:line="480" w:lineRule="auto"/>
              <w:ind w:left="113"/>
              <w:rPr>
                <w:rFonts w:eastAsia="Calibri"/>
                <w:sz w:val="22"/>
                <w:szCs w:val="22"/>
              </w:rPr>
            </w:pPr>
            <w:r w:rsidRPr="00205468">
              <w:rPr>
                <w:rFonts w:eastAsia="Calibri"/>
              </w:rPr>
              <w:t>Dependency</w:t>
            </w:r>
          </w:p>
        </w:tc>
        <w:tc>
          <w:tcPr>
            <w:tcW w:w="2056" w:type="pct"/>
            <w:tcBorders>
              <w:top w:val="nil"/>
              <w:left w:val="nil"/>
              <w:bottom w:val="nil"/>
              <w:right w:val="nil"/>
            </w:tcBorders>
            <w:noWrap/>
            <w:hideMark/>
          </w:tcPr>
          <w:p w14:paraId="2821E159" w14:textId="77777777" w:rsidR="00480956" w:rsidRPr="00D24223" w:rsidRDefault="00480956" w:rsidP="00480956">
            <w:pPr>
              <w:spacing w:line="480" w:lineRule="auto"/>
              <w:jc w:val="center"/>
              <w:rPr>
                <w:rFonts w:eastAsia="Calibri"/>
              </w:rPr>
            </w:pPr>
          </w:p>
        </w:tc>
      </w:tr>
      <w:tr w:rsidR="00CD01A6" w:rsidRPr="003D494A" w14:paraId="5502C992" w14:textId="77777777" w:rsidTr="00490275">
        <w:trPr>
          <w:trHeight w:val="290"/>
        </w:trPr>
        <w:tc>
          <w:tcPr>
            <w:tcW w:w="2944" w:type="pct"/>
            <w:tcBorders>
              <w:top w:val="nil"/>
              <w:left w:val="nil"/>
              <w:bottom w:val="nil"/>
              <w:right w:val="nil"/>
            </w:tcBorders>
            <w:noWrap/>
            <w:hideMark/>
          </w:tcPr>
          <w:p w14:paraId="3970B98C" w14:textId="77777777" w:rsidR="00CD01A6" w:rsidRPr="00205468" w:rsidRDefault="00CD01A6" w:rsidP="00CD01A6">
            <w:pPr>
              <w:spacing w:line="480" w:lineRule="auto"/>
              <w:ind w:left="227"/>
              <w:rPr>
                <w:rFonts w:eastAsia="Calibri"/>
                <w:sz w:val="22"/>
                <w:szCs w:val="22"/>
              </w:rPr>
            </w:pPr>
            <w:r w:rsidRPr="00205468">
              <w:rPr>
                <w:rFonts w:eastAsia="Calibri"/>
              </w:rPr>
              <w:t>Quintile 1</w:t>
            </w:r>
          </w:p>
        </w:tc>
        <w:tc>
          <w:tcPr>
            <w:tcW w:w="2056" w:type="pct"/>
            <w:tcBorders>
              <w:top w:val="nil"/>
              <w:left w:val="nil"/>
              <w:bottom w:val="nil"/>
              <w:right w:val="nil"/>
            </w:tcBorders>
            <w:shd w:val="clear" w:color="auto" w:fill="auto"/>
            <w:noWrap/>
            <w:vAlign w:val="bottom"/>
            <w:hideMark/>
          </w:tcPr>
          <w:p w14:paraId="348B09C6" w14:textId="747831F3" w:rsidR="00CD01A6" w:rsidRPr="003D494A" w:rsidRDefault="00CD01A6" w:rsidP="00CD01A6">
            <w:pPr>
              <w:spacing w:line="480" w:lineRule="auto"/>
              <w:jc w:val="center"/>
              <w:rPr>
                <w:rFonts w:eastAsia="Calibri"/>
              </w:rPr>
            </w:pPr>
            <w:r w:rsidRPr="003D494A">
              <w:rPr>
                <w:color w:val="000000"/>
              </w:rPr>
              <w:t>271 (14.2)</w:t>
            </w:r>
          </w:p>
        </w:tc>
      </w:tr>
      <w:tr w:rsidR="00CD01A6" w:rsidRPr="003D494A" w14:paraId="553F1634" w14:textId="77777777" w:rsidTr="00490275">
        <w:trPr>
          <w:trHeight w:val="290"/>
        </w:trPr>
        <w:tc>
          <w:tcPr>
            <w:tcW w:w="2944" w:type="pct"/>
            <w:tcBorders>
              <w:top w:val="nil"/>
              <w:left w:val="nil"/>
              <w:bottom w:val="nil"/>
              <w:right w:val="nil"/>
            </w:tcBorders>
            <w:noWrap/>
            <w:hideMark/>
          </w:tcPr>
          <w:p w14:paraId="66FBBB4E" w14:textId="77777777" w:rsidR="00CD01A6" w:rsidRPr="00205468" w:rsidRDefault="00CD01A6" w:rsidP="00CD01A6">
            <w:pPr>
              <w:spacing w:line="480" w:lineRule="auto"/>
              <w:ind w:left="227"/>
              <w:rPr>
                <w:rFonts w:eastAsia="Calibri"/>
                <w:sz w:val="22"/>
                <w:szCs w:val="22"/>
              </w:rPr>
            </w:pPr>
            <w:r w:rsidRPr="00205468">
              <w:rPr>
                <w:rFonts w:eastAsia="Calibri"/>
              </w:rPr>
              <w:t>Quintile 2</w:t>
            </w:r>
          </w:p>
        </w:tc>
        <w:tc>
          <w:tcPr>
            <w:tcW w:w="2056" w:type="pct"/>
            <w:tcBorders>
              <w:top w:val="nil"/>
              <w:left w:val="nil"/>
              <w:bottom w:val="nil"/>
              <w:right w:val="nil"/>
            </w:tcBorders>
            <w:shd w:val="clear" w:color="auto" w:fill="auto"/>
            <w:noWrap/>
            <w:vAlign w:val="bottom"/>
            <w:hideMark/>
          </w:tcPr>
          <w:p w14:paraId="624D944C" w14:textId="42213BAD" w:rsidR="00CD01A6" w:rsidRPr="003D494A" w:rsidRDefault="00CD01A6" w:rsidP="00CD01A6">
            <w:pPr>
              <w:spacing w:line="480" w:lineRule="auto"/>
              <w:jc w:val="center"/>
              <w:rPr>
                <w:rFonts w:eastAsia="Calibri"/>
              </w:rPr>
            </w:pPr>
            <w:r w:rsidRPr="003D494A">
              <w:rPr>
                <w:color w:val="000000"/>
              </w:rPr>
              <w:t>290 (15.2)</w:t>
            </w:r>
          </w:p>
        </w:tc>
      </w:tr>
      <w:tr w:rsidR="00CD01A6" w:rsidRPr="003D494A" w14:paraId="60E5E329" w14:textId="77777777" w:rsidTr="00490275">
        <w:trPr>
          <w:trHeight w:val="290"/>
        </w:trPr>
        <w:tc>
          <w:tcPr>
            <w:tcW w:w="2944" w:type="pct"/>
            <w:tcBorders>
              <w:top w:val="nil"/>
              <w:left w:val="nil"/>
              <w:bottom w:val="nil"/>
              <w:right w:val="nil"/>
            </w:tcBorders>
            <w:noWrap/>
            <w:hideMark/>
          </w:tcPr>
          <w:p w14:paraId="7043A6A0" w14:textId="77777777" w:rsidR="00CD01A6" w:rsidRPr="00205468" w:rsidRDefault="00CD01A6" w:rsidP="00CD01A6">
            <w:pPr>
              <w:spacing w:line="480" w:lineRule="auto"/>
              <w:ind w:left="227"/>
              <w:rPr>
                <w:rFonts w:eastAsia="Calibri"/>
                <w:sz w:val="22"/>
                <w:szCs w:val="22"/>
              </w:rPr>
            </w:pPr>
            <w:r w:rsidRPr="00205468">
              <w:rPr>
                <w:rFonts w:eastAsia="Calibri"/>
              </w:rPr>
              <w:t>Quintile 3</w:t>
            </w:r>
          </w:p>
        </w:tc>
        <w:tc>
          <w:tcPr>
            <w:tcW w:w="2056" w:type="pct"/>
            <w:tcBorders>
              <w:top w:val="nil"/>
              <w:left w:val="nil"/>
              <w:bottom w:val="nil"/>
              <w:right w:val="nil"/>
            </w:tcBorders>
            <w:shd w:val="clear" w:color="auto" w:fill="auto"/>
            <w:noWrap/>
            <w:vAlign w:val="bottom"/>
            <w:hideMark/>
          </w:tcPr>
          <w:p w14:paraId="6E5C2AE1" w14:textId="0FFB3431" w:rsidR="00CD01A6" w:rsidRPr="003D494A" w:rsidRDefault="00CD01A6" w:rsidP="00CD01A6">
            <w:pPr>
              <w:spacing w:line="480" w:lineRule="auto"/>
              <w:jc w:val="center"/>
              <w:rPr>
                <w:rFonts w:eastAsia="Calibri"/>
              </w:rPr>
            </w:pPr>
            <w:r w:rsidRPr="003D494A">
              <w:rPr>
                <w:color w:val="000000"/>
              </w:rPr>
              <w:t>318 (16.7)</w:t>
            </w:r>
          </w:p>
        </w:tc>
      </w:tr>
      <w:tr w:rsidR="00CD01A6" w:rsidRPr="003D494A" w14:paraId="373991B5" w14:textId="77777777" w:rsidTr="00490275">
        <w:trPr>
          <w:trHeight w:val="290"/>
        </w:trPr>
        <w:tc>
          <w:tcPr>
            <w:tcW w:w="2944" w:type="pct"/>
            <w:tcBorders>
              <w:top w:val="nil"/>
              <w:left w:val="nil"/>
              <w:bottom w:val="nil"/>
              <w:right w:val="nil"/>
            </w:tcBorders>
            <w:noWrap/>
            <w:hideMark/>
          </w:tcPr>
          <w:p w14:paraId="6E488B9C" w14:textId="77777777" w:rsidR="00CD01A6" w:rsidRPr="00205468" w:rsidRDefault="00CD01A6" w:rsidP="00CD01A6">
            <w:pPr>
              <w:spacing w:line="480" w:lineRule="auto"/>
              <w:ind w:left="227"/>
              <w:rPr>
                <w:rFonts w:eastAsia="Calibri"/>
                <w:sz w:val="22"/>
                <w:szCs w:val="22"/>
              </w:rPr>
            </w:pPr>
            <w:r w:rsidRPr="00205468">
              <w:rPr>
                <w:rFonts w:eastAsia="Calibri"/>
              </w:rPr>
              <w:t>Quintile 4</w:t>
            </w:r>
          </w:p>
        </w:tc>
        <w:tc>
          <w:tcPr>
            <w:tcW w:w="2056" w:type="pct"/>
            <w:tcBorders>
              <w:top w:val="nil"/>
              <w:left w:val="nil"/>
              <w:bottom w:val="nil"/>
              <w:right w:val="nil"/>
            </w:tcBorders>
            <w:shd w:val="clear" w:color="auto" w:fill="auto"/>
            <w:noWrap/>
            <w:vAlign w:val="bottom"/>
            <w:hideMark/>
          </w:tcPr>
          <w:p w14:paraId="7020D934" w14:textId="330DF532" w:rsidR="00CD01A6" w:rsidRPr="003D494A" w:rsidRDefault="00CD01A6" w:rsidP="00CD01A6">
            <w:pPr>
              <w:spacing w:line="480" w:lineRule="auto"/>
              <w:jc w:val="center"/>
              <w:rPr>
                <w:rFonts w:eastAsia="Calibri"/>
              </w:rPr>
            </w:pPr>
            <w:r w:rsidRPr="003D494A">
              <w:rPr>
                <w:color w:val="000000"/>
              </w:rPr>
              <w:t>310 (16.3)</w:t>
            </w:r>
          </w:p>
        </w:tc>
      </w:tr>
      <w:tr w:rsidR="00CD01A6" w:rsidRPr="003D494A" w14:paraId="78325F06" w14:textId="77777777" w:rsidTr="00490275">
        <w:trPr>
          <w:trHeight w:val="290"/>
        </w:trPr>
        <w:tc>
          <w:tcPr>
            <w:tcW w:w="2944" w:type="pct"/>
            <w:tcBorders>
              <w:top w:val="nil"/>
              <w:left w:val="nil"/>
              <w:bottom w:val="nil"/>
              <w:right w:val="nil"/>
            </w:tcBorders>
            <w:noWrap/>
            <w:hideMark/>
          </w:tcPr>
          <w:p w14:paraId="3697A34C" w14:textId="77777777" w:rsidR="00CD01A6" w:rsidRPr="00205468" w:rsidRDefault="00CD01A6" w:rsidP="00CD01A6">
            <w:pPr>
              <w:spacing w:line="480" w:lineRule="auto"/>
              <w:ind w:left="227"/>
              <w:rPr>
                <w:rFonts w:eastAsia="Calibri"/>
                <w:sz w:val="22"/>
                <w:szCs w:val="22"/>
              </w:rPr>
            </w:pPr>
            <w:r w:rsidRPr="00205468">
              <w:rPr>
                <w:rFonts w:eastAsia="Calibri"/>
              </w:rPr>
              <w:t>Quintile 5</w:t>
            </w:r>
          </w:p>
        </w:tc>
        <w:tc>
          <w:tcPr>
            <w:tcW w:w="2056" w:type="pct"/>
            <w:tcBorders>
              <w:top w:val="nil"/>
              <w:left w:val="nil"/>
              <w:bottom w:val="nil"/>
              <w:right w:val="nil"/>
            </w:tcBorders>
            <w:shd w:val="clear" w:color="auto" w:fill="auto"/>
            <w:noWrap/>
            <w:vAlign w:val="bottom"/>
            <w:hideMark/>
          </w:tcPr>
          <w:p w14:paraId="72606C94" w14:textId="39845E40" w:rsidR="00CD01A6" w:rsidRPr="003D494A" w:rsidRDefault="00CD01A6" w:rsidP="00CD01A6">
            <w:pPr>
              <w:spacing w:line="480" w:lineRule="auto"/>
              <w:jc w:val="center"/>
              <w:rPr>
                <w:rFonts w:eastAsia="Calibri"/>
              </w:rPr>
            </w:pPr>
            <w:r w:rsidRPr="003D494A">
              <w:rPr>
                <w:color w:val="000000"/>
              </w:rPr>
              <w:t>400 (21.0)</w:t>
            </w:r>
          </w:p>
        </w:tc>
      </w:tr>
      <w:tr w:rsidR="00480956" w:rsidRPr="003D494A" w14:paraId="161E999B" w14:textId="77777777" w:rsidTr="00490275">
        <w:trPr>
          <w:trHeight w:val="290"/>
        </w:trPr>
        <w:tc>
          <w:tcPr>
            <w:tcW w:w="2944" w:type="pct"/>
            <w:tcBorders>
              <w:top w:val="nil"/>
              <w:left w:val="nil"/>
              <w:bottom w:val="nil"/>
              <w:right w:val="nil"/>
            </w:tcBorders>
            <w:noWrap/>
            <w:hideMark/>
          </w:tcPr>
          <w:p w14:paraId="3F7473B9" w14:textId="77777777" w:rsidR="00480956" w:rsidRPr="00205468" w:rsidRDefault="00480956" w:rsidP="00480956">
            <w:pPr>
              <w:spacing w:line="480" w:lineRule="auto"/>
              <w:ind w:left="113"/>
              <w:rPr>
                <w:rFonts w:eastAsia="Calibri"/>
                <w:sz w:val="22"/>
                <w:szCs w:val="22"/>
              </w:rPr>
            </w:pPr>
            <w:r w:rsidRPr="00205468">
              <w:rPr>
                <w:rFonts w:eastAsia="Calibri"/>
              </w:rPr>
              <w:t>Residential Instability</w:t>
            </w:r>
          </w:p>
        </w:tc>
        <w:tc>
          <w:tcPr>
            <w:tcW w:w="2056" w:type="pct"/>
            <w:tcBorders>
              <w:top w:val="nil"/>
              <w:left w:val="nil"/>
              <w:bottom w:val="nil"/>
              <w:right w:val="nil"/>
            </w:tcBorders>
            <w:noWrap/>
            <w:hideMark/>
          </w:tcPr>
          <w:p w14:paraId="71885480" w14:textId="77777777" w:rsidR="00480956" w:rsidRPr="00D24223" w:rsidRDefault="00480956" w:rsidP="00480956">
            <w:pPr>
              <w:spacing w:line="480" w:lineRule="auto"/>
              <w:jc w:val="center"/>
              <w:rPr>
                <w:rFonts w:eastAsia="Calibri"/>
              </w:rPr>
            </w:pPr>
          </w:p>
        </w:tc>
      </w:tr>
      <w:tr w:rsidR="00897D31" w:rsidRPr="003D494A" w14:paraId="29E26531" w14:textId="77777777" w:rsidTr="00490275">
        <w:trPr>
          <w:trHeight w:val="290"/>
        </w:trPr>
        <w:tc>
          <w:tcPr>
            <w:tcW w:w="2944" w:type="pct"/>
            <w:tcBorders>
              <w:top w:val="nil"/>
              <w:left w:val="nil"/>
              <w:bottom w:val="nil"/>
              <w:right w:val="nil"/>
            </w:tcBorders>
            <w:noWrap/>
            <w:hideMark/>
          </w:tcPr>
          <w:p w14:paraId="2EF78063" w14:textId="77777777" w:rsidR="00897D31" w:rsidRPr="00205468" w:rsidRDefault="00897D31" w:rsidP="00897D31">
            <w:pPr>
              <w:spacing w:line="480" w:lineRule="auto"/>
              <w:ind w:left="227"/>
              <w:rPr>
                <w:rFonts w:eastAsia="Calibri"/>
                <w:sz w:val="22"/>
                <w:szCs w:val="22"/>
              </w:rPr>
            </w:pPr>
            <w:r w:rsidRPr="00205468">
              <w:rPr>
                <w:rFonts w:eastAsia="Calibri"/>
              </w:rPr>
              <w:t>Quintile 1</w:t>
            </w:r>
          </w:p>
        </w:tc>
        <w:tc>
          <w:tcPr>
            <w:tcW w:w="2056" w:type="pct"/>
            <w:tcBorders>
              <w:top w:val="nil"/>
              <w:left w:val="nil"/>
              <w:bottom w:val="nil"/>
              <w:right w:val="nil"/>
            </w:tcBorders>
            <w:shd w:val="clear" w:color="auto" w:fill="auto"/>
            <w:noWrap/>
            <w:vAlign w:val="bottom"/>
            <w:hideMark/>
          </w:tcPr>
          <w:p w14:paraId="68052ED4" w14:textId="262083FC" w:rsidR="00897D31" w:rsidRPr="003D494A" w:rsidRDefault="00897D31" w:rsidP="00897D31">
            <w:pPr>
              <w:spacing w:line="480" w:lineRule="auto"/>
              <w:jc w:val="center"/>
              <w:rPr>
                <w:rFonts w:eastAsia="Calibri"/>
              </w:rPr>
            </w:pPr>
            <w:r w:rsidRPr="003D494A">
              <w:rPr>
                <w:color w:val="000000"/>
              </w:rPr>
              <w:t>211 (11.1)</w:t>
            </w:r>
          </w:p>
        </w:tc>
      </w:tr>
      <w:tr w:rsidR="00897D31" w:rsidRPr="003D494A" w14:paraId="7D614827" w14:textId="77777777" w:rsidTr="00490275">
        <w:trPr>
          <w:trHeight w:val="290"/>
        </w:trPr>
        <w:tc>
          <w:tcPr>
            <w:tcW w:w="2944" w:type="pct"/>
            <w:tcBorders>
              <w:top w:val="nil"/>
              <w:left w:val="nil"/>
              <w:bottom w:val="nil"/>
              <w:right w:val="nil"/>
            </w:tcBorders>
            <w:noWrap/>
            <w:hideMark/>
          </w:tcPr>
          <w:p w14:paraId="6D50CB09" w14:textId="77777777" w:rsidR="00897D31" w:rsidRPr="00205468" w:rsidRDefault="00897D31" w:rsidP="00897D31">
            <w:pPr>
              <w:spacing w:line="480" w:lineRule="auto"/>
              <w:ind w:left="227"/>
              <w:rPr>
                <w:rFonts w:eastAsia="Calibri"/>
                <w:sz w:val="22"/>
                <w:szCs w:val="22"/>
              </w:rPr>
            </w:pPr>
            <w:r w:rsidRPr="00205468">
              <w:rPr>
                <w:rFonts w:eastAsia="Calibri"/>
              </w:rPr>
              <w:t>Quintile 2</w:t>
            </w:r>
          </w:p>
        </w:tc>
        <w:tc>
          <w:tcPr>
            <w:tcW w:w="2056" w:type="pct"/>
            <w:tcBorders>
              <w:top w:val="nil"/>
              <w:left w:val="nil"/>
              <w:bottom w:val="nil"/>
              <w:right w:val="nil"/>
            </w:tcBorders>
            <w:shd w:val="clear" w:color="auto" w:fill="auto"/>
            <w:noWrap/>
            <w:vAlign w:val="bottom"/>
            <w:hideMark/>
          </w:tcPr>
          <w:p w14:paraId="4F8A07FD" w14:textId="48742001" w:rsidR="00897D31" w:rsidRPr="003D494A" w:rsidRDefault="00897D31" w:rsidP="00897D31">
            <w:pPr>
              <w:spacing w:line="480" w:lineRule="auto"/>
              <w:jc w:val="center"/>
              <w:rPr>
                <w:rFonts w:eastAsia="Calibri"/>
              </w:rPr>
            </w:pPr>
            <w:r w:rsidRPr="003D494A">
              <w:rPr>
                <w:color w:val="000000"/>
              </w:rPr>
              <w:t>282 (14.8)</w:t>
            </w:r>
          </w:p>
        </w:tc>
      </w:tr>
      <w:tr w:rsidR="00897D31" w:rsidRPr="003D494A" w14:paraId="14A3F340" w14:textId="77777777" w:rsidTr="00490275">
        <w:trPr>
          <w:trHeight w:val="290"/>
        </w:trPr>
        <w:tc>
          <w:tcPr>
            <w:tcW w:w="2944" w:type="pct"/>
            <w:tcBorders>
              <w:top w:val="nil"/>
              <w:left w:val="nil"/>
              <w:bottom w:val="nil"/>
              <w:right w:val="nil"/>
            </w:tcBorders>
            <w:noWrap/>
            <w:hideMark/>
          </w:tcPr>
          <w:p w14:paraId="1819F8CE" w14:textId="77777777" w:rsidR="00897D31" w:rsidRPr="00205468" w:rsidRDefault="00897D31" w:rsidP="00897D31">
            <w:pPr>
              <w:spacing w:line="480" w:lineRule="auto"/>
              <w:ind w:left="227"/>
              <w:rPr>
                <w:rFonts w:eastAsia="Calibri"/>
                <w:sz w:val="22"/>
                <w:szCs w:val="22"/>
              </w:rPr>
            </w:pPr>
            <w:r w:rsidRPr="00205468">
              <w:rPr>
                <w:rFonts w:eastAsia="Calibri"/>
              </w:rPr>
              <w:lastRenderedPageBreak/>
              <w:t>Quintile 3</w:t>
            </w:r>
          </w:p>
        </w:tc>
        <w:tc>
          <w:tcPr>
            <w:tcW w:w="2056" w:type="pct"/>
            <w:tcBorders>
              <w:top w:val="nil"/>
              <w:left w:val="nil"/>
              <w:bottom w:val="nil"/>
              <w:right w:val="nil"/>
            </w:tcBorders>
            <w:shd w:val="clear" w:color="auto" w:fill="auto"/>
            <w:noWrap/>
            <w:vAlign w:val="bottom"/>
            <w:hideMark/>
          </w:tcPr>
          <w:p w14:paraId="376ABB65" w14:textId="29FCAED1" w:rsidR="00897D31" w:rsidRPr="003D494A" w:rsidRDefault="00897D31" w:rsidP="00897D31">
            <w:pPr>
              <w:spacing w:line="480" w:lineRule="auto"/>
              <w:jc w:val="center"/>
              <w:rPr>
                <w:rFonts w:eastAsia="Calibri"/>
              </w:rPr>
            </w:pPr>
            <w:r w:rsidRPr="003D494A">
              <w:rPr>
                <w:color w:val="000000"/>
              </w:rPr>
              <w:t>288 (15.1)</w:t>
            </w:r>
          </w:p>
        </w:tc>
      </w:tr>
      <w:tr w:rsidR="00897D31" w:rsidRPr="003D494A" w14:paraId="222F5A25" w14:textId="77777777" w:rsidTr="00490275">
        <w:trPr>
          <w:trHeight w:val="290"/>
        </w:trPr>
        <w:tc>
          <w:tcPr>
            <w:tcW w:w="2944" w:type="pct"/>
            <w:tcBorders>
              <w:top w:val="nil"/>
              <w:left w:val="nil"/>
              <w:bottom w:val="nil"/>
              <w:right w:val="nil"/>
            </w:tcBorders>
            <w:noWrap/>
            <w:hideMark/>
          </w:tcPr>
          <w:p w14:paraId="70B7A4C1" w14:textId="77777777" w:rsidR="00897D31" w:rsidRPr="00205468" w:rsidRDefault="00897D31" w:rsidP="00897D31">
            <w:pPr>
              <w:spacing w:line="480" w:lineRule="auto"/>
              <w:ind w:left="227"/>
              <w:rPr>
                <w:rFonts w:eastAsia="Calibri"/>
                <w:sz w:val="22"/>
                <w:szCs w:val="22"/>
              </w:rPr>
            </w:pPr>
            <w:r w:rsidRPr="00205468">
              <w:rPr>
                <w:rFonts w:eastAsia="Calibri"/>
              </w:rPr>
              <w:t>Quintile 4</w:t>
            </w:r>
          </w:p>
        </w:tc>
        <w:tc>
          <w:tcPr>
            <w:tcW w:w="2056" w:type="pct"/>
            <w:tcBorders>
              <w:top w:val="nil"/>
              <w:left w:val="nil"/>
              <w:bottom w:val="nil"/>
              <w:right w:val="nil"/>
            </w:tcBorders>
            <w:shd w:val="clear" w:color="auto" w:fill="auto"/>
            <w:noWrap/>
            <w:vAlign w:val="bottom"/>
            <w:hideMark/>
          </w:tcPr>
          <w:p w14:paraId="50387D65" w14:textId="5DCB4358" w:rsidR="00897D31" w:rsidRPr="003D494A" w:rsidRDefault="00897D31" w:rsidP="00897D31">
            <w:pPr>
              <w:spacing w:line="480" w:lineRule="auto"/>
              <w:jc w:val="center"/>
              <w:rPr>
                <w:rFonts w:eastAsia="Calibri"/>
              </w:rPr>
            </w:pPr>
            <w:r w:rsidRPr="003D494A">
              <w:rPr>
                <w:color w:val="000000"/>
              </w:rPr>
              <w:t>370 (19.5)</w:t>
            </w:r>
          </w:p>
        </w:tc>
      </w:tr>
      <w:tr w:rsidR="00897D31" w:rsidRPr="003D494A" w14:paraId="2234D870" w14:textId="77777777" w:rsidTr="00490275">
        <w:trPr>
          <w:trHeight w:val="290"/>
        </w:trPr>
        <w:tc>
          <w:tcPr>
            <w:tcW w:w="2944" w:type="pct"/>
            <w:tcBorders>
              <w:top w:val="nil"/>
              <w:left w:val="nil"/>
              <w:bottom w:val="nil"/>
              <w:right w:val="nil"/>
            </w:tcBorders>
            <w:noWrap/>
            <w:hideMark/>
          </w:tcPr>
          <w:p w14:paraId="0DA1F7BD" w14:textId="77777777" w:rsidR="00897D31" w:rsidRPr="00205468" w:rsidRDefault="00897D31" w:rsidP="00897D31">
            <w:pPr>
              <w:spacing w:line="480" w:lineRule="auto"/>
              <w:ind w:left="227"/>
              <w:rPr>
                <w:rFonts w:eastAsia="Calibri"/>
                <w:sz w:val="22"/>
                <w:szCs w:val="22"/>
              </w:rPr>
            </w:pPr>
            <w:r w:rsidRPr="00205468">
              <w:rPr>
                <w:rFonts w:eastAsia="Calibri"/>
              </w:rPr>
              <w:t>Quintile 5</w:t>
            </w:r>
          </w:p>
        </w:tc>
        <w:tc>
          <w:tcPr>
            <w:tcW w:w="2056" w:type="pct"/>
            <w:tcBorders>
              <w:top w:val="nil"/>
              <w:left w:val="nil"/>
              <w:bottom w:val="nil"/>
              <w:right w:val="nil"/>
            </w:tcBorders>
            <w:shd w:val="clear" w:color="auto" w:fill="auto"/>
            <w:noWrap/>
            <w:vAlign w:val="bottom"/>
            <w:hideMark/>
          </w:tcPr>
          <w:p w14:paraId="19A9CD47" w14:textId="59E36261" w:rsidR="00897D31" w:rsidRPr="003D494A" w:rsidRDefault="00897D31" w:rsidP="00897D31">
            <w:pPr>
              <w:spacing w:line="480" w:lineRule="auto"/>
              <w:jc w:val="center"/>
              <w:rPr>
                <w:rFonts w:eastAsia="Calibri"/>
              </w:rPr>
            </w:pPr>
            <w:r w:rsidRPr="003D494A">
              <w:rPr>
                <w:color w:val="000000"/>
              </w:rPr>
              <w:t>438 (23.0)</w:t>
            </w:r>
          </w:p>
        </w:tc>
      </w:tr>
      <w:tr w:rsidR="00480956" w:rsidRPr="003D494A" w14:paraId="10485B0D" w14:textId="77777777" w:rsidTr="00490275">
        <w:trPr>
          <w:trHeight w:val="290"/>
        </w:trPr>
        <w:tc>
          <w:tcPr>
            <w:tcW w:w="2944" w:type="pct"/>
            <w:tcBorders>
              <w:top w:val="nil"/>
              <w:left w:val="nil"/>
              <w:bottom w:val="nil"/>
              <w:right w:val="nil"/>
            </w:tcBorders>
            <w:noWrap/>
            <w:hideMark/>
          </w:tcPr>
          <w:p w14:paraId="60600AA4" w14:textId="77777777" w:rsidR="00480956" w:rsidRPr="00205468" w:rsidRDefault="00480956" w:rsidP="00480956">
            <w:pPr>
              <w:spacing w:line="480" w:lineRule="auto"/>
              <w:ind w:left="113"/>
              <w:rPr>
                <w:rFonts w:eastAsia="Calibri"/>
                <w:sz w:val="22"/>
                <w:szCs w:val="22"/>
              </w:rPr>
            </w:pPr>
            <w:r w:rsidRPr="00205468">
              <w:rPr>
                <w:rFonts w:eastAsia="Calibri"/>
              </w:rPr>
              <w:t xml:space="preserve">Missing </w:t>
            </w:r>
          </w:p>
        </w:tc>
        <w:tc>
          <w:tcPr>
            <w:tcW w:w="2056" w:type="pct"/>
            <w:tcBorders>
              <w:top w:val="nil"/>
              <w:left w:val="nil"/>
              <w:bottom w:val="nil"/>
              <w:right w:val="nil"/>
            </w:tcBorders>
            <w:shd w:val="clear" w:color="auto" w:fill="auto"/>
            <w:noWrap/>
            <w:vAlign w:val="bottom"/>
            <w:hideMark/>
          </w:tcPr>
          <w:p w14:paraId="5F851A21" w14:textId="03421429" w:rsidR="00480956" w:rsidRPr="003D494A" w:rsidRDefault="00897D31" w:rsidP="00480956">
            <w:pPr>
              <w:spacing w:line="480" w:lineRule="auto"/>
              <w:jc w:val="center"/>
              <w:rPr>
                <w:rFonts w:eastAsia="Calibri"/>
              </w:rPr>
            </w:pPr>
            <w:r w:rsidRPr="00D24223">
              <w:rPr>
                <w:rFonts w:eastAsia="Times New Roman"/>
                <w:color w:val="000000"/>
              </w:rPr>
              <w:t>313 (16.5)</w:t>
            </w:r>
          </w:p>
        </w:tc>
      </w:tr>
      <w:tr w:rsidR="00480956" w:rsidRPr="003D494A" w14:paraId="03E23FD3" w14:textId="77777777" w:rsidTr="00490275">
        <w:trPr>
          <w:trHeight w:val="290"/>
        </w:trPr>
        <w:tc>
          <w:tcPr>
            <w:tcW w:w="2944" w:type="pct"/>
            <w:tcBorders>
              <w:top w:val="nil"/>
              <w:left w:val="nil"/>
              <w:bottom w:val="nil"/>
              <w:right w:val="nil"/>
            </w:tcBorders>
            <w:noWrap/>
            <w:hideMark/>
          </w:tcPr>
          <w:p w14:paraId="42D9CD40" w14:textId="77777777" w:rsidR="00480956" w:rsidRPr="00205468" w:rsidRDefault="00480956" w:rsidP="00480956">
            <w:pPr>
              <w:spacing w:line="480" w:lineRule="auto"/>
              <w:rPr>
                <w:rFonts w:eastAsia="Calibri"/>
                <w:sz w:val="22"/>
                <w:szCs w:val="22"/>
              </w:rPr>
            </w:pPr>
            <w:r w:rsidRPr="00205468">
              <w:rPr>
                <w:rFonts w:eastAsia="Calibri"/>
              </w:rPr>
              <w:t xml:space="preserve">Rurality Index for Ontario Score, N(%) </w:t>
            </w:r>
          </w:p>
        </w:tc>
        <w:tc>
          <w:tcPr>
            <w:tcW w:w="2056" w:type="pct"/>
            <w:tcBorders>
              <w:top w:val="nil"/>
              <w:left w:val="nil"/>
              <w:bottom w:val="nil"/>
              <w:right w:val="nil"/>
            </w:tcBorders>
            <w:noWrap/>
            <w:hideMark/>
          </w:tcPr>
          <w:p w14:paraId="38A3EDB0" w14:textId="77777777" w:rsidR="00480956" w:rsidRPr="00D24223" w:rsidRDefault="00480956" w:rsidP="00480956">
            <w:pPr>
              <w:spacing w:line="480" w:lineRule="auto"/>
              <w:jc w:val="center"/>
              <w:rPr>
                <w:rFonts w:eastAsia="Calibri"/>
              </w:rPr>
            </w:pPr>
          </w:p>
        </w:tc>
      </w:tr>
      <w:tr w:rsidR="00693869" w:rsidRPr="003D494A" w14:paraId="05DE0E31" w14:textId="77777777" w:rsidTr="00490275">
        <w:trPr>
          <w:trHeight w:val="290"/>
        </w:trPr>
        <w:tc>
          <w:tcPr>
            <w:tcW w:w="2944" w:type="pct"/>
            <w:tcBorders>
              <w:top w:val="nil"/>
              <w:left w:val="nil"/>
              <w:bottom w:val="nil"/>
              <w:right w:val="nil"/>
            </w:tcBorders>
            <w:noWrap/>
            <w:hideMark/>
          </w:tcPr>
          <w:p w14:paraId="19B72EB0" w14:textId="77777777" w:rsidR="00693869" w:rsidRPr="00205468" w:rsidRDefault="00693869" w:rsidP="00693869">
            <w:pPr>
              <w:spacing w:line="480" w:lineRule="auto"/>
              <w:ind w:left="113"/>
              <w:rPr>
                <w:rFonts w:eastAsia="Calibri"/>
                <w:sz w:val="22"/>
                <w:szCs w:val="22"/>
              </w:rPr>
            </w:pPr>
            <w:r w:rsidRPr="00205468">
              <w:rPr>
                <w:rFonts w:eastAsia="Calibri"/>
              </w:rPr>
              <w:t>0-30</w:t>
            </w:r>
          </w:p>
        </w:tc>
        <w:tc>
          <w:tcPr>
            <w:tcW w:w="2056" w:type="pct"/>
            <w:tcBorders>
              <w:top w:val="nil"/>
              <w:left w:val="nil"/>
              <w:bottom w:val="nil"/>
              <w:right w:val="nil"/>
            </w:tcBorders>
            <w:shd w:val="clear" w:color="auto" w:fill="auto"/>
            <w:noWrap/>
            <w:vAlign w:val="bottom"/>
            <w:hideMark/>
          </w:tcPr>
          <w:p w14:paraId="2386CFC9" w14:textId="190C121C" w:rsidR="00693869" w:rsidRPr="003D494A" w:rsidRDefault="00693869" w:rsidP="00693869">
            <w:pPr>
              <w:spacing w:line="480" w:lineRule="auto"/>
              <w:jc w:val="center"/>
              <w:rPr>
                <w:rFonts w:eastAsia="Calibri"/>
              </w:rPr>
            </w:pPr>
            <w:r w:rsidRPr="003D494A">
              <w:rPr>
                <w:color w:val="000000"/>
              </w:rPr>
              <w:t>1,592 (83.7)</w:t>
            </w:r>
          </w:p>
        </w:tc>
      </w:tr>
      <w:tr w:rsidR="00693869" w:rsidRPr="003D494A" w14:paraId="620FE69A" w14:textId="77777777" w:rsidTr="00490275">
        <w:trPr>
          <w:trHeight w:val="290"/>
        </w:trPr>
        <w:tc>
          <w:tcPr>
            <w:tcW w:w="2944" w:type="pct"/>
            <w:tcBorders>
              <w:top w:val="nil"/>
              <w:left w:val="nil"/>
              <w:bottom w:val="nil"/>
              <w:right w:val="nil"/>
            </w:tcBorders>
            <w:noWrap/>
            <w:hideMark/>
          </w:tcPr>
          <w:p w14:paraId="32D31BCF" w14:textId="77777777" w:rsidR="00693869" w:rsidRPr="00205468" w:rsidRDefault="00693869" w:rsidP="00693869">
            <w:pPr>
              <w:spacing w:line="480" w:lineRule="auto"/>
              <w:ind w:left="113"/>
              <w:rPr>
                <w:rFonts w:eastAsia="Calibri"/>
                <w:sz w:val="22"/>
                <w:szCs w:val="22"/>
              </w:rPr>
            </w:pPr>
            <w:r w:rsidRPr="00205468">
              <w:rPr>
                <w:rFonts w:eastAsia="Calibri"/>
              </w:rPr>
              <w:t>31-45</w:t>
            </w:r>
          </w:p>
        </w:tc>
        <w:tc>
          <w:tcPr>
            <w:tcW w:w="2056" w:type="pct"/>
            <w:tcBorders>
              <w:top w:val="nil"/>
              <w:left w:val="nil"/>
              <w:bottom w:val="nil"/>
              <w:right w:val="nil"/>
            </w:tcBorders>
            <w:shd w:val="clear" w:color="auto" w:fill="auto"/>
            <w:noWrap/>
            <w:vAlign w:val="bottom"/>
            <w:hideMark/>
          </w:tcPr>
          <w:p w14:paraId="67DE9BE7" w14:textId="7F1F6BE6" w:rsidR="00693869" w:rsidRPr="003D494A" w:rsidRDefault="00693869" w:rsidP="00693869">
            <w:pPr>
              <w:spacing w:line="480" w:lineRule="auto"/>
              <w:jc w:val="center"/>
              <w:rPr>
                <w:rFonts w:eastAsia="Calibri"/>
              </w:rPr>
            </w:pPr>
            <w:r w:rsidRPr="003D494A">
              <w:rPr>
                <w:color w:val="000000"/>
              </w:rPr>
              <w:t>147 (7.7)</w:t>
            </w:r>
          </w:p>
        </w:tc>
      </w:tr>
      <w:tr w:rsidR="00693869" w:rsidRPr="003D494A" w14:paraId="775AD390" w14:textId="77777777" w:rsidTr="00490275">
        <w:trPr>
          <w:trHeight w:val="290"/>
        </w:trPr>
        <w:tc>
          <w:tcPr>
            <w:tcW w:w="2944" w:type="pct"/>
            <w:tcBorders>
              <w:top w:val="nil"/>
              <w:left w:val="nil"/>
              <w:bottom w:val="nil"/>
              <w:right w:val="nil"/>
            </w:tcBorders>
            <w:noWrap/>
            <w:hideMark/>
          </w:tcPr>
          <w:p w14:paraId="170E7B30" w14:textId="77777777" w:rsidR="00693869" w:rsidRPr="00205468" w:rsidRDefault="00693869" w:rsidP="00693869">
            <w:pPr>
              <w:spacing w:line="480" w:lineRule="auto"/>
              <w:ind w:left="113"/>
              <w:rPr>
                <w:rFonts w:eastAsia="Calibri"/>
                <w:sz w:val="22"/>
                <w:szCs w:val="22"/>
              </w:rPr>
            </w:pPr>
            <w:r w:rsidRPr="00205468">
              <w:rPr>
                <w:rFonts w:eastAsia="Calibri"/>
              </w:rPr>
              <w:t>46-55</w:t>
            </w:r>
          </w:p>
        </w:tc>
        <w:tc>
          <w:tcPr>
            <w:tcW w:w="2056" w:type="pct"/>
            <w:tcBorders>
              <w:top w:val="nil"/>
              <w:left w:val="nil"/>
              <w:bottom w:val="nil"/>
              <w:right w:val="nil"/>
            </w:tcBorders>
            <w:shd w:val="clear" w:color="auto" w:fill="auto"/>
            <w:noWrap/>
            <w:vAlign w:val="bottom"/>
            <w:hideMark/>
          </w:tcPr>
          <w:p w14:paraId="2198A0BA" w14:textId="737B6271" w:rsidR="00693869" w:rsidRPr="003D494A" w:rsidRDefault="00693869" w:rsidP="00693869">
            <w:pPr>
              <w:spacing w:line="480" w:lineRule="auto"/>
              <w:jc w:val="center"/>
              <w:rPr>
                <w:rFonts w:eastAsia="Calibri"/>
              </w:rPr>
            </w:pPr>
            <w:r w:rsidRPr="003D494A">
              <w:rPr>
                <w:color w:val="000000"/>
              </w:rPr>
              <w:t>72 (3.8)</w:t>
            </w:r>
          </w:p>
        </w:tc>
      </w:tr>
      <w:tr w:rsidR="00693869" w:rsidRPr="003D494A" w14:paraId="411812E9" w14:textId="77777777" w:rsidTr="00490275">
        <w:trPr>
          <w:trHeight w:val="290"/>
        </w:trPr>
        <w:tc>
          <w:tcPr>
            <w:tcW w:w="2944" w:type="pct"/>
            <w:tcBorders>
              <w:top w:val="nil"/>
              <w:left w:val="nil"/>
              <w:bottom w:val="nil"/>
              <w:right w:val="nil"/>
            </w:tcBorders>
            <w:noWrap/>
            <w:hideMark/>
          </w:tcPr>
          <w:p w14:paraId="72732CE7" w14:textId="5F7C8E0C" w:rsidR="00693869" w:rsidRPr="00205468" w:rsidRDefault="00693869" w:rsidP="00693869">
            <w:pPr>
              <w:spacing w:line="480" w:lineRule="auto"/>
              <w:ind w:left="113"/>
              <w:rPr>
                <w:rFonts w:eastAsia="Calibri"/>
                <w:sz w:val="22"/>
                <w:szCs w:val="22"/>
              </w:rPr>
            </w:pPr>
            <w:r w:rsidRPr="00205468">
              <w:rPr>
                <w:rFonts w:eastAsia="Calibri"/>
              </w:rPr>
              <w:t>56</w:t>
            </w:r>
            <w:r w:rsidR="000F06F0">
              <w:rPr>
                <w:rFonts w:eastAsia="Calibri"/>
              </w:rPr>
              <w:t>-75</w:t>
            </w:r>
          </w:p>
        </w:tc>
        <w:tc>
          <w:tcPr>
            <w:tcW w:w="2056" w:type="pct"/>
            <w:tcBorders>
              <w:top w:val="nil"/>
              <w:left w:val="nil"/>
              <w:bottom w:val="nil"/>
              <w:right w:val="nil"/>
            </w:tcBorders>
            <w:shd w:val="clear" w:color="auto" w:fill="auto"/>
            <w:noWrap/>
            <w:vAlign w:val="bottom"/>
            <w:hideMark/>
          </w:tcPr>
          <w:p w14:paraId="478E81D8" w14:textId="48624C15" w:rsidR="00693869" w:rsidRPr="003D494A" w:rsidRDefault="00693869" w:rsidP="00693869">
            <w:pPr>
              <w:spacing w:line="480" w:lineRule="auto"/>
              <w:jc w:val="center"/>
              <w:rPr>
                <w:rFonts w:eastAsia="Calibri"/>
              </w:rPr>
            </w:pPr>
            <w:r w:rsidRPr="003D494A">
              <w:rPr>
                <w:color w:val="000000"/>
              </w:rPr>
              <w:t>40 (2.1)</w:t>
            </w:r>
          </w:p>
        </w:tc>
      </w:tr>
      <w:tr w:rsidR="00693869" w:rsidRPr="003D494A" w14:paraId="3BBBDF9D" w14:textId="77777777" w:rsidTr="00490275">
        <w:trPr>
          <w:trHeight w:val="290"/>
        </w:trPr>
        <w:tc>
          <w:tcPr>
            <w:tcW w:w="2944" w:type="pct"/>
            <w:tcBorders>
              <w:top w:val="nil"/>
              <w:left w:val="nil"/>
              <w:bottom w:val="nil"/>
              <w:right w:val="nil"/>
            </w:tcBorders>
            <w:noWrap/>
          </w:tcPr>
          <w:p w14:paraId="55074A18" w14:textId="7A9F748E" w:rsidR="00693869" w:rsidRPr="000F06F0" w:rsidRDefault="000F06F0" w:rsidP="00693869">
            <w:pPr>
              <w:spacing w:line="480" w:lineRule="auto"/>
              <w:ind w:left="113"/>
              <w:rPr>
                <w:rFonts w:eastAsia="Calibri"/>
              </w:rPr>
            </w:pPr>
            <w:r>
              <w:rPr>
                <w:rFonts w:eastAsia="Calibri"/>
              </w:rPr>
              <w:t>75+</w:t>
            </w:r>
          </w:p>
        </w:tc>
        <w:tc>
          <w:tcPr>
            <w:tcW w:w="2056" w:type="pct"/>
            <w:tcBorders>
              <w:top w:val="nil"/>
              <w:left w:val="nil"/>
              <w:bottom w:val="nil"/>
              <w:right w:val="nil"/>
            </w:tcBorders>
            <w:shd w:val="clear" w:color="auto" w:fill="auto"/>
            <w:noWrap/>
            <w:vAlign w:val="bottom"/>
          </w:tcPr>
          <w:p w14:paraId="13B256E2" w14:textId="057F82D8" w:rsidR="00693869" w:rsidRPr="00D24223" w:rsidRDefault="00693869" w:rsidP="00693869">
            <w:pPr>
              <w:spacing w:line="480" w:lineRule="auto"/>
              <w:jc w:val="center"/>
              <w:rPr>
                <w:rFonts w:eastAsia="Times New Roman"/>
                <w:color w:val="000000"/>
              </w:rPr>
            </w:pPr>
            <w:r w:rsidRPr="003D494A">
              <w:rPr>
                <w:color w:val="000000"/>
              </w:rPr>
              <w:t>23 (1.2)</w:t>
            </w:r>
          </w:p>
        </w:tc>
      </w:tr>
      <w:tr w:rsidR="00693869" w:rsidRPr="003D494A" w14:paraId="46DE57A8" w14:textId="77777777" w:rsidTr="00490275">
        <w:trPr>
          <w:trHeight w:val="290"/>
        </w:trPr>
        <w:tc>
          <w:tcPr>
            <w:tcW w:w="2944" w:type="pct"/>
            <w:tcBorders>
              <w:top w:val="nil"/>
              <w:left w:val="nil"/>
              <w:bottom w:val="nil"/>
              <w:right w:val="nil"/>
            </w:tcBorders>
            <w:noWrap/>
            <w:hideMark/>
          </w:tcPr>
          <w:p w14:paraId="539A4D82" w14:textId="77777777" w:rsidR="00693869" w:rsidRPr="00205468" w:rsidRDefault="00693869" w:rsidP="00693869">
            <w:pPr>
              <w:spacing w:line="480" w:lineRule="auto"/>
              <w:ind w:left="113"/>
              <w:rPr>
                <w:rFonts w:eastAsia="Calibri"/>
                <w:sz w:val="22"/>
                <w:szCs w:val="22"/>
              </w:rPr>
            </w:pPr>
            <w:r w:rsidRPr="00205468">
              <w:rPr>
                <w:rFonts w:eastAsia="Calibri"/>
              </w:rPr>
              <w:t xml:space="preserve">Missing </w:t>
            </w:r>
          </w:p>
        </w:tc>
        <w:tc>
          <w:tcPr>
            <w:tcW w:w="2056" w:type="pct"/>
            <w:tcBorders>
              <w:top w:val="nil"/>
              <w:left w:val="nil"/>
              <w:bottom w:val="nil"/>
              <w:right w:val="nil"/>
            </w:tcBorders>
            <w:shd w:val="clear" w:color="auto" w:fill="auto"/>
            <w:noWrap/>
            <w:vAlign w:val="bottom"/>
            <w:hideMark/>
          </w:tcPr>
          <w:p w14:paraId="619C5E66" w14:textId="7E0DA6C7" w:rsidR="00693869" w:rsidRPr="003D494A" w:rsidRDefault="000F06F0" w:rsidP="00693869">
            <w:pPr>
              <w:spacing w:line="480" w:lineRule="auto"/>
              <w:jc w:val="center"/>
              <w:rPr>
                <w:rFonts w:eastAsia="Calibri"/>
              </w:rPr>
            </w:pPr>
            <w:r w:rsidRPr="00D24223">
              <w:rPr>
                <w:rFonts w:eastAsia="Times New Roman"/>
                <w:color w:val="000000"/>
              </w:rPr>
              <w:t>28 (1.5)</w:t>
            </w:r>
          </w:p>
        </w:tc>
      </w:tr>
      <w:tr w:rsidR="00693869" w:rsidRPr="003D494A" w14:paraId="3BF04805" w14:textId="77777777" w:rsidTr="00490275">
        <w:trPr>
          <w:trHeight w:val="290"/>
        </w:trPr>
        <w:tc>
          <w:tcPr>
            <w:tcW w:w="2944" w:type="pct"/>
            <w:tcBorders>
              <w:top w:val="nil"/>
              <w:left w:val="nil"/>
              <w:bottom w:val="nil"/>
              <w:right w:val="nil"/>
            </w:tcBorders>
            <w:noWrap/>
          </w:tcPr>
          <w:p w14:paraId="5AD59162" w14:textId="77777777" w:rsidR="00693869" w:rsidRPr="00205468" w:rsidRDefault="00693869" w:rsidP="00693869">
            <w:pPr>
              <w:spacing w:line="480" w:lineRule="auto"/>
              <w:rPr>
                <w:rFonts w:eastAsia="Calibri"/>
                <w:b/>
                <w:bCs/>
                <w:sz w:val="22"/>
                <w:szCs w:val="22"/>
              </w:rPr>
            </w:pPr>
            <w:r w:rsidRPr="00205468">
              <w:rPr>
                <w:rFonts w:eastAsia="Calibri"/>
                <w:b/>
                <w:bCs/>
              </w:rPr>
              <w:t>Epilepsy Characteristics</w:t>
            </w:r>
          </w:p>
        </w:tc>
        <w:tc>
          <w:tcPr>
            <w:tcW w:w="2056" w:type="pct"/>
            <w:tcBorders>
              <w:top w:val="nil"/>
              <w:left w:val="nil"/>
              <w:bottom w:val="nil"/>
              <w:right w:val="nil"/>
            </w:tcBorders>
            <w:noWrap/>
          </w:tcPr>
          <w:p w14:paraId="4E375622" w14:textId="77777777" w:rsidR="00693869" w:rsidRPr="003D494A" w:rsidRDefault="00693869" w:rsidP="00693869">
            <w:pPr>
              <w:spacing w:line="480" w:lineRule="auto"/>
              <w:jc w:val="center"/>
              <w:rPr>
                <w:rFonts w:eastAsia="Calibri"/>
              </w:rPr>
            </w:pPr>
          </w:p>
        </w:tc>
      </w:tr>
      <w:tr w:rsidR="00693869" w:rsidRPr="003D494A" w14:paraId="44B31509" w14:textId="77777777" w:rsidTr="00490275">
        <w:trPr>
          <w:trHeight w:val="290"/>
        </w:trPr>
        <w:tc>
          <w:tcPr>
            <w:tcW w:w="2944" w:type="pct"/>
            <w:tcBorders>
              <w:top w:val="nil"/>
              <w:left w:val="nil"/>
              <w:bottom w:val="nil"/>
              <w:right w:val="nil"/>
            </w:tcBorders>
            <w:noWrap/>
            <w:hideMark/>
          </w:tcPr>
          <w:p w14:paraId="0C07B05A" w14:textId="4AAC2958" w:rsidR="00693869" w:rsidRPr="00A82102" w:rsidRDefault="00693869" w:rsidP="00693869">
            <w:pPr>
              <w:spacing w:line="480" w:lineRule="auto"/>
              <w:rPr>
                <w:rFonts w:eastAsia="Calibri"/>
                <w:sz w:val="22"/>
                <w:szCs w:val="22"/>
                <w:vertAlign w:val="superscript"/>
              </w:rPr>
            </w:pPr>
            <w:r w:rsidRPr="00205468">
              <w:rPr>
                <w:rFonts w:eastAsia="Calibri"/>
              </w:rPr>
              <w:t xml:space="preserve">Number of </w:t>
            </w:r>
            <w:r w:rsidR="008F1F9E">
              <w:rPr>
                <w:rFonts w:eastAsia="Calibri"/>
              </w:rPr>
              <w:t xml:space="preserve">hospital encounters for </w:t>
            </w:r>
            <w:r w:rsidRPr="00205468">
              <w:rPr>
                <w:rFonts w:eastAsia="Calibri"/>
              </w:rPr>
              <w:t>seizures/</w:t>
            </w:r>
            <w:proofErr w:type="spellStart"/>
            <w:r w:rsidRPr="00205468">
              <w:rPr>
                <w:rFonts w:eastAsia="Calibri"/>
              </w:rPr>
              <w:t>SE</w:t>
            </w:r>
            <w:r w:rsidRPr="00A82102">
              <w:rPr>
                <w:rFonts w:eastAsia="Calibri"/>
                <w:vertAlign w:val="superscript"/>
              </w:rPr>
              <w:t>a</w:t>
            </w:r>
            <w:proofErr w:type="spellEnd"/>
          </w:p>
        </w:tc>
        <w:tc>
          <w:tcPr>
            <w:tcW w:w="2056" w:type="pct"/>
            <w:tcBorders>
              <w:top w:val="nil"/>
              <w:left w:val="nil"/>
              <w:bottom w:val="nil"/>
              <w:right w:val="nil"/>
            </w:tcBorders>
            <w:noWrap/>
            <w:hideMark/>
          </w:tcPr>
          <w:p w14:paraId="1E051994" w14:textId="77777777" w:rsidR="00693869" w:rsidRPr="003D494A" w:rsidRDefault="00693869" w:rsidP="00693869">
            <w:pPr>
              <w:spacing w:line="480" w:lineRule="auto"/>
              <w:jc w:val="center"/>
              <w:rPr>
                <w:rFonts w:eastAsia="Calibri"/>
              </w:rPr>
            </w:pPr>
          </w:p>
        </w:tc>
      </w:tr>
      <w:tr w:rsidR="00693869" w:rsidRPr="003D494A" w14:paraId="26AB3E26" w14:textId="77777777" w:rsidTr="00490275">
        <w:trPr>
          <w:trHeight w:val="290"/>
        </w:trPr>
        <w:tc>
          <w:tcPr>
            <w:tcW w:w="2944" w:type="pct"/>
            <w:tcBorders>
              <w:top w:val="nil"/>
              <w:left w:val="nil"/>
              <w:bottom w:val="nil"/>
              <w:right w:val="nil"/>
            </w:tcBorders>
            <w:noWrap/>
            <w:hideMark/>
          </w:tcPr>
          <w:p w14:paraId="253AE50B" w14:textId="77777777" w:rsidR="00693869" w:rsidRPr="00205468" w:rsidRDefault="00693869" w:rsidP="00693869">
            <w:pPr>
              <w:spacing w:line="480" w:lineRule="auto"/>
              <w:ind w:left="113"/>
              <w:rPr>
                <w:rFonts w:eastAsia="Calibri"/>
                <w:sz w:val="22"/>
                <w:szCs w:val="22"/>
              </w:rPr>
            </w:pPr>
            <w:r w:rsidRPr="00205468">
              <w:rPr>
                <w:rFonts w:eastAsia="Calibri"/>
              </w:rPr>
              <w:t>Mean (SD)</w:t>
            </w:r>
          </w:p>
        </w:tc>
        <w:tc>
          <w:tcPr>
            <w:tcW w:w="2056" w:type="pct"/>
            <w:tcBorders>
              <w:top w:val="nil"/>
              <w:left w:val="nil"/>
              <w:bottom w:val="nil"/>
              <w:right w:val="nil"/>
            </w:tcBorders>
            <w:noWrap/>
            <w:vAlign w:val="bottom"/>
          </w:tcPr>
          <w:p w14:paraId="5F71AA9D" w14:textId="04A0DF96" w:rsidR="00693869" w:rsidRPr="003D494A" w:rsidRDefault="00755AC2" w:rsidP="00693869">
            <w:pPr>
              <w:spacing w:line="480" w:lineRule="auto"/>
              <w:jc w:val="center"/>
              <w:rPr>
                <w:rFonts w:eastAsia="Calibri"/>
              </w:rPr>
            </w:pPr>
            <w:r w:rsidRPr="00D24223">
              <w:rPr>
                <w:rFonts w:eastAsia="Times New Roman"/>
                <w:color w:val="000000"/>
              </w:rPr>
              <w:t>1.1 (1.7)</w:t>
            </w:r>
          </w:p>
        </w:tc>
      </w:tr>
      <w:tr w:rsidR="00693869" w:rsidRPr="003D494A" w14:paraId="39E5F3C8" w14:textId="77777777" w:rsidTr="00490275">
        <w:trPr>
          <w:trHeight w:val="290"/>
        </w:trPr>
        <w:tc>
          <w:tcPr>
            <w:tcW w:w="2944" w:type="pct"/>
            <w:tcBorders>
              <w:top w:val="nil"/>
              <w:left w:val="nil"/>
              <w:bottom w:val="nil"/>
              <w:right w:val="nil"/>
            </w:tcBorders>
            <w:noWrap/>
            <w:hideMark/>
          </w:tcPr>
          <w:p w14:paraId="127C0DFA" w14:textId="77777777" w:rsidR="00693869" w:rsidRPr="00205468" w:rsidRDefault="00693869" w:rsidP="00693869">
            <w:pPr>
              <w:spacing w:line="480" w:lineRule="auto"/>
              <w:ind w:left="113"/>
              <w:rPr>
                <w:rFonts w:eastAsia="Calibri"/>
                <w:sz w:val="22"/>
                <w:szCs w:val="22"/>
              </w:rPr>
            </w:pPr>
            <w:r w:rsidRPr="00205468">
              <w:rPr>
                <w:rFonts w:eastAsia="Calibri"/>
              </w:rPr>
              <w:t>Median (IQR)</w:t>
            </w:r>
          </w:p>
        </w:tc>
        <w:tc>
          <w:tcPr>
            <w:tcW w:w="2056" w:type="pct"/>
            <w:tcBorders>
              <w:top w:val="nil"/>
              <w:left w:val="nil"/>
              <w:bottom w:val="nil"/>
              <w:right w:val="nil"/>
            </w:tcBorders>
            <w:noWrap/>
            <w:vAlign w:val="bottom"/>
          </w:tcPr>
          <w:p w14:paraId="3C30DEF3" w14:textId="2AAE407B" w:rsidR="00693869" w:rsidRPr="003D494A" w:rsidRDefault="00755AC2" w:rsidP="00693869">
            <w:pPr>
              <w:spacing w:line="480" w:lineRule="auto"/>
              <w:jc w:val="center"/>
              <w:rPr>
                <w:rFonts w:eastAsia="Calibri"/>
              </w:rPr>
            </w:pPr>
            <w:r w:rsidRPr="00D24223">
              <w:rPr>
                <w:rFonts w:eastAsia="Times New Roman"/>
                <w:color w:val="000000"/>
              </w:rPr>
              <w:t>1 (0-</w:t>
            </w:r>
            <w:r w:rsidRPr="003D494A">
              <w:rPr>
                <w:rFonts w:eastAsia="Times New Roman"/>
                <w:color w:val="000000"/>
              </w:rPr>
              <w:t>2)</w:t>
            </w:r>
          </w:p>
        </w:tc>
      </w:tr>
      <w:tr w:rsidR="00693869" w:rsidRPr="003D494A" w14:paraId="7D87E0F6" w14:textId="77777777" w:rsidTr="00490275">
        <w:trPr>
          <w:trHeight w:val="290"/>
        </w:trPr>
        <w:tc>
          <w:tcPr>
            <w:tcW w:w="2944" w:type="pct"/>
            <w:tcBorders>
              <w:top w:val="nil"/>
              <w:left w:val="nil"/>
              <w:bottom w:val="nil"/>
              <w:right w:val="nil"/>
            </w:tcBorders>
            <w:noWrap/>
            <w:hideMark/>
          </w:tcPr>
          <w:p w14:paraId="5DC7F704" w14:textId="3E2D4CF4" w:rsidR="00693869" w:rsidRPr="00A75E68" w:rsidRDefault="00693869" w:rsidP="00693869">
            <w:pPr>
              <w:spacing w:line="480" w:lineRule="auto"/>
              <w:rPr>
                <w:rFonts w:eastAsia="Calibri"/>
                <w:sz w:val="22"/>
                <w:szCs w:val="22"/>
                <w:vertAlign w:val="superscript"/>
              </w:rPr>
            </w:pPr>
            <w:r w:rsidRPr="00205468">
              <w:rPr>
                <w:rFonts w:eastAsia="Calibri"/>
              </w:rPr>
              <w:t xml:space="preserve">Received an </w:t>
            </w:r>
            <w:r w:rsidR="00A75E68">
              <w:rPr>
                <w:rFonts w:eastAsia="Calibri"/>
              </w:rPr>
              <w:t>EEG</w:t>
            </w:r>
            <w:r w:rsidRPr="00A75E68">
              <w:rPr>
                <w:rFonts w:eastAsia="Calibri"/>
              </w:rPr>
              <w:t>, N(%)</w:t>
            </w:r>
            <w:r w:rsidR="000F5A0B">
              <w:rPr>
                <w:rFonts w:eastAsia="Calibri"/>
                <w:vertAlign w:val="superscript"/>
              </w:rPr>
              <w:t>b</w:t>
            </w:r>
          </w:p>
        </w:tc>
        <w:tc>
          <w:tcPr>
            <w:tcW w:w="2056" w:type="pct"/>
            <w:tcBorders>
              <w:top w:val="nil"/>
              <w:left w:val="nil"/>
              <w:bottom w:val="nil"/>
              <w:right w:val="nil"/>
            </w:tcBorders>
            <w:noWrap/>
            <w:hideMark/>
          </w:tcPr>
          <w:p w14:paraId="5B5C431F" w14:textId="1A3B042C" w:rsidR="00693869" w:rsidRPr="003D494A" w:rsidRDefault="00A75E68" w:rsidP="00693869">
            <w:pPr>
              <w:spacing w:line="480" w:lineRule="auto"/>
              <w:jc w:val="center"/>
              <w:rPr>
                <w:rFonts w:eastAsia="Calibri"/>
              </w:rPr>
            </w:pPr>
            <w:r w:rsidRPr="003D494A">
              <w:rPr>
                <w:rFonts w:eastAsia="Calibri"/>
              </w:rPr>
              <w:t>1,143 (60.1)</w:t>
            </w:r>
          </w:p>
        </w:tc>
      </w:tr>
      <w:tr w:rsidR="00693869" w:rsidRPr="003D494A" w14:paraId="7CF29E6B" w14:textId="77777777" w:rsidTr="00490275">
        <w:trPr>
          <w:trHeight w:val="290"/>
        </w:trPr>
        <w:tc>
          <w:tcPr>
            <w:tcW w:w="2944" w:type="pct"/>
            <w:tcBorders>
              <w:top w:val="nil"/>
              <w:left w:val="nil"/>
              <w:bottom w:val="nil"/>
              <w:right w:val="nil"/>
            </w:tcBorders>
            <w:noWrap/>
            <w:hideMark/>
          </w:tcPr>
          <w:p w14:paraId="32FEF652" w14:textId="794F0A4E" w:rsidR="00693869" w:rsidRPr="00A75E68" w:rsidRDefault="00A75E68" w:rsidP="000F6E06">
            <w:pPr>
              <w:spacing w:line="480" w:lineRule="auto"/>
              <w:rPr>
                <w:rFonts w:eastAsia="Calibri"/>
                <w:sz w:val="22"/>
                <w:szCs w:val="22"/>
              </w:rPr>
            </w:pPr>
            <w:r>
              <w:rPr>
                <w:rFonts w:eastAsia="Calibri"/>
              </w:rPr>
              <w:lastRenderedPageBreak/>
              <w:t xml:space="preserve">Received an </w:t>
            </w:r>
            <w:r w:rsidR="00693869" w:rsidRPr="00A75E68">
              <w:rPr>
                <w:rFonts w:eastAsia="Calibri"/>
              </w:rPr>
              <w:t>MRI</w:t>
            </w:r>
            <w:r w:rsidRPr="00A75E68">
              <w:rPr>
                <w:rFonts w:eastAsia="Calibri"/>
              </w:rPr>
              <w:t>, N(%)</w:t>
            </w:r>
            <w:r w:rsidR="000F5A0B" w:rsidRPr="00490275">
              <w:rPr>
                <w:rFonts w:eastAsia="Calibri"/>
                <w:vertAlign w:val="superscript"/>
              </w:rPr>
              <w:t>b</w:t>
            </w:r>
          </w:p>
        </w:tc>
        <w:tc>
          <w:tcPr>
            <w:tcW w:w="2056" w:type="pct"/>
            <w:tcBorders>
              <w:top w:val="nil"/>
              <w:left w:val="nil"/>
              <w:bottom w:val="nil"/>
              <w:right w:val="nil"/>
            </w:tcBorders>
            <w:shd w:val="clear" w:color="auto" w:fill="auto"/>
            <w:noWrap/>
            <w:vAlign w:val="bottom"/>
            <w:hideMark/>
          </w:tcPr>
          <w:p w14:paraId="7A3C78C9" w14:textId="0EAEAA80" w:rsidR="00693869" w:rsidRPr="003D494A" w:rsidRDefault="00EA4442" w:rsidP="00693869">
            <w:pPr>
              <w:spacing w:line="480" w:lineRule="auto"/>
              <w:jc w:val="center"/>
              <w:rPr>
                <w:rFonts w:eastAsia="Calibri"/>
              </w:rPr>
            </w:pPr>
            <w:r w:rsidRPr="004B7449">
              <w:rPr>
                <w:rFonts w:eastAsia="Times New Roman"/>
                <w:color w:val="000000"/>
              </w:rPr>
              <w:t>843 (44.3)</w:t>
            </w:r>
          </w:p>
        </w:tc>
      </w:tr>
      <w:tr w:rsidR="00693869" w:rsidRPr="003D494A" w14:paraId="52618478" w14:textId="77777777" w:rsidTr="00490275">
        <w:trPr>
          <w:trHeight w:val="290"/>
        </w:trPr>
        <w:tc>
          <w:tcPr>
            <w:tcW w:w="2944" w:type="pct"/>
            <w:tcBorders>
              <w:top w:val="nil"/>
              <w:left w:val="nil"/>
              <w:bottom w:val="nil"/>
              <w:right w:val="nil"/>
            </w:tcBorders>
            <w:noWrap/>
          </w:tcPr>
          <w:p w14:paraId="02B46231" w14:textId="5DCF9A62" w:rsidR="00693869" w:rsidRPr="00205468" w:rsidRDefault="00693869" w:rsidP="00693869">
            <w:pPr>
              <w:spacing w:line="480" w:lineRule="auto"/>
              <w:rPr>
                <w:rFonts w:eastAsia="Calibri"/>
                <w:sz w:val="22"/>
                <w:szCs w:val="22"/>
              </w:rPr>
            </w:pPr>
            <w:proofErr w:type="spellStart"/>
            <w:r w:rsidRPr="00205468">
              <w:rPr>
                <w:rFonts w:eastAsia="Calibri"/>
                <w:b/>
                <w:bCs/>
              </w:rPr>
              <w:t>Comorbidities</w:t>
            </w:r>
            <w:r w:rsidR="000F5A0B">
              <w:rPr>
                <w:rFonts w:eastAsia="Calibri"/>
                <w:b/>
                <w:bCs/>
                <w:vertAlign w:val="superscript"/>
              </w:rPr>
              <w:t>c</w:t>
            </w:r>
            <w:proofErr w:type="spellEnd"/>
          </w:p>
        </w:tc>
        <w:tc>
          <w:tcPr>
            <w:tcW w:w="2056" w:type="pct"/>
            <w:tcBorders>
              <w:top w:val="nil"/>
              <w:left w:val="nil"/>
              <w:bottom w:val="nil"/>
              <w:right w:val="nil"/>
            </w:tcBorders>
            <w:noWrap/>
          </w:tcPr>
          <w:p w14:paraId="5D2793E4" w14:textId="77777777" w:rsidR="00693869" w:rsidRPr="003D494A" w:rsidRDefault="00693869" w:rsidP="00693869">
            <w:pPr>
              <w:spacing w:line="480" w:lineRule="auto"/>
              <w:jc w:val="center"/>
              <w:rPr>
                <w:rFonts w:eastAsia="Calibri"/>
              </w:rPr>
            </w:pPr>
          </w:p>
        </w:tc>
      </w:tr>
      <w:tr w:rsidR="00693869" w:rsidRPr="003D494A" w14:paraId="523F9D7E" w14:textId="77777777" w:rsidTr="00490275">
        <w:trPr>
          <w:trHeight w:val="290"/>
        </w:trPr>
        <w:tc>
          <w:tcPr>
            <w:tcW w:w="2944" w:type="pct"/>
            <w:tcBorders>
              <w:top w:val="nil"/>
              <w:left w:val="nil"/>
              <w:bottom w:val="nil"/>
              <w:right w:val="nil"/>
            </w:tcBorders>
            <w:noWrap/>
            <w:hideMark/>
          </w:tcPr>
          <w:p w14:paraId="0223DCFE" w14:textId="77777777" w:rsidR="00693869" w:rsidRPr="00205468" w:rsidRDefault="00693869" w:rsidP="00693869">
            <w:pPr>
              <w:spacing w:line="480" w:lineRule="auto"/>
              <w:rPr>
                <w:rFonts w:eastAsia="Calibri"/>
                <w:sz w:val="22"/>
                <w:szCs w:val="22"/>
              </w:rPr>
            </w:pPr>
            <w:proofErr w:type="spellStart"/>
            <w:r w:rsidRPr="00205468">
              <w:rPr>
                <w:rFonts w:eastAsia="Calibri"/>
              </w:rPr>
              <w:t>Charlson</w:t>
            </w:r>
            <w:proofErr w:type="spellEnd"/>
            <w:r w:rsidRPr="00205468">
              <w:rPr>
                <w:rFonts w:eastAsia="Calibri"/>
              </w:rPr>
              <w:t xml:space="preserve"> </w:t>
            </w:r>
            <w:proofErr w:type="spellStart"/>
            <w:r w:rsidRPr="00205468">
              <w:rPr>
                <w:rFonts w:eastAsia="Calibri"/>
              </w:rPr>
              <w:t>Comorbidty</w:t>
            </w:r>
            <w:proofErr w:type="spellEnd"/>
            <w:r w:rsidRPr="00205468">
              <w:rPr>
                <w:rFonts w:eastAsia="Calibri"/>
              </w:rPr>
              <w:t xml:space="preserve"> Index, N(%)</w:t>
            </w:r>
          </w:p>
        </w:tc>
        <w:tc>
          <w:tcPr>
            <w:tcW w:w="2056" w:type="pct"/>
            <w:tcBorders>
              <w:top w:val="nil"/>
              <w:left w:val="nil"/>
              <w:bottom w:val="nil"/>
              <w:right w:val="nil"/>
            </w:tcBorders>
            <w:noWrap/>
            <w:hideMark/>
          </w:tcPr>
          <w:p w14:paraId="34E1B73E" w14:textId="77777777" w:rsidR="00693869" w:rsidRPr="003D494A" w:rsidRDefault="00693869" w:rsidP="00693869">
            <w:pPr>
              <w:spacing w:line="480" w:lineRule="auto"/>
              <w:jc w:val="center"/>
              <w:rPr>
                <w:rFonts w:eastAsia="Calibri"/>
              </w:rPr>
            </w:pPr>
          </w:p>
        </w:tc>
      </w:tr>
      <w:tr w:rsidR="00693869" w:rsidRPr="003D494A" w14:paraId="479027DB" w14:textId="77777777" w:rsidTr="003D494A">
        <w:trPr>
          <w:trHeight w:val="290"/>
        </w:trPr>
        <w:tc>
          <w:tcPr>
            <w:tcW w:w="2944" w:type="pct"/>
            <w:tcBorders>
              <w:top w:val="nil"/>
              <w:left w:val="nil"/>
              <w:bottom w:val="nil"/>
              <w:right w:val="nil"/>
            </w:tcBorders>
            <w:noWrap/>
            <w:hideMark/>
          </w:tcPr>
          <w:p w14:paraId="6D89BEB1" w14:textId="77777777" w:rsidR="00693869" w:rsidRPr="00205468" w:rsidRDefault="00693869" w:rsidP="00693869">
            <w:pPr>
              <w:spacing w:line="480" w:lineRule="auto"/>
              <w:ind w:left="113"/>
              <w:rPr>
                <w:rFonts w:eastAsia="Calibri"/>
                <w:sz w:val="22"/>
                <w:szCs w:val="22"/>
              </w:rPr>
            </w:pPr>
            <w:r w:rsidRPr="00205468">
              <w:rPr>
                <w:rFonts w:eastAsia="Calibri"/>
              </w:rPr>
              <w:t>0</w:t>
            </w:r>
          </w:p>
        </w:tc>
        <w:tc>
          <w:tcPr>
            <w:tcW w:w="2056" w:type="pct"/>
            <w:tcBorders>
              <w:top w:val="nil"/>
              <w:left w:val="nil"/>
              <w:bottom w:val="nil"/>
              <w:right w:val="nil"/>
            </w:tcBorders>
            <w:shd w:val="clear" w:color="auto" w:fill="auto"/>
            <w:noWrap/>
            <w:vAlign w:val="bottom"/>
          </w:tcPr>
          <w:p w14:paraId="586576EC" w14:textId="0062900D" w:rsidR="00693869" w:rsidRPr="003D494A" w:rsidRDefault="0011733B" w:rsidP="00693869">
            <w:pPr>
              <w:spacing w:line="480" w:lineRule="auto"/>
              <w:jc w:val="center"/>
              <w:rPr>
                <w:rFonts w:eastAsia="Calibri"/>
              </w:rPr>
            </w:pPr>
            <w:r>
              <w:rPr>
                <w:rFonts w:eastAsia="Times New Roman"/>
                <w:color w:val="000000"/>
              </w:rPr>
              <w:t>287 (15.1)</w:t>
            </w:r>
          </w:p>
        </w:tc>
      </w:tr>
      <w:tr w:rsidR="00693869" w:rsidRPr="003D494A" w14:paraId="1DBDF0F3" w14:textId="77777777" w:rsidTr="003D494A">
        <w:trPr>
          <w:trHeight w:val="290"/>
        </w:trPr>
        <w:tc>
          <w:tcPr>
            <w:tcW w:w="2944" w:type="pct"/>
            <w:tcBorders>
              <w:top w:val="nil"/>
              <w:left w:val="nil"/>
              <w:bottom w:val="nil"/>
              <w:right w:val="nil"/>
            </w:tcBorders>
            <w:noWrap/>
            <w:hideMark/>
          </w:tcPr>
          <w:p w14:paraId="0055DA86" w14:textId="77777777" w:rsidR="00693869" w:rsidRPr="00205468" w:rsidRDefault="00693869" w:rsidP="00693869">
            <w:pPr>
              <w:spacing w:line="480" w:lineRule="auto"/>
              <w:ind w:left="113"/>
              <w:rPr>
                <w:rFonts w:eastAsia="Calibri"/>
                <w:sz w:val="22"/>
                <w:szCs w:val="22"/>
              </w:rPr>
            </w:pPr>
            <w:r w:rsidRPr="00205468">
              <w:rPr>
                <w:rFonts w:eastAsia="Calibri"/>
              </w:rPr>
              <w:t>1</w:t>
            </w:r>
          </w:p>
        </w:tc>
        <w:tc>
          <w:tcPr>
            <w:tcW w:w="2056" w:type="pct"/>
            <w:tcBorders>
              <w:top w:val="nil"/>
              <w:left w:val="nil"/>
              <w:bottom w:val="nil"/>
              <w:right w:val="nil"/>
            </w:tcBorders>
            <w:shd w:val="clear" w:color="auto" w:fill="auto"/>
            <w:noWrap/>
            <w:vAlign w:val="bottom"/>
          </w:tcPr>
          <w:p w14:paraId="78ACF19C" w14:textId="603CEC28" w:rsidR="00693869" w:rsidRPr="003D494A" w:rsidRDefault="0011733B" w:rsidP="00693869">
            <w:pPr>
              <w:spacing w:line="480" w:lineRule="auto"/>
              <w:jc w:val="center"/>
              <w:rPr>
                <w:rFonts w:eastAsia="Calibri"/>
              </w:rPr>
            </w:pPr>
            <w:r>
              <w:rPr>
                <w:rFonts w:eastAsia="Times New Roman"/>
                <w:color w:val="000000"/>
              </w:rPr>
              <w:t>328 (17.2)</w:t>
            </w:r>
          </w:p>
        </w:tc>
      </w:tr>
      <w:tr w:rsidR="00693869" w:rsidRPr="003D494A" w14:paraId="1862244C" w14:textId="77777777" w:rsidTr="003D494A">
        <w:trPr>
          <w:trHeight w:val="290"/>
        </w:trPr>
        <w:tc>
          <w:tcPr>
            <w:tcW w:w="2944" w:type="pct"/>
            <w:tcBorders>
              <w:top w:val="nil"/>
              <w:left w:val="nil"/>
              <w:bottom w:val="nil"/>
              <w:right w:val="nil"/>
            </w:tcBorders>
            <w:noWrap/>
            <w:hideMark/>
          </w:tcPr>
          <w:p w14:paraId="1AD16522" w14:textId="77777777" w:rsidR="00693869" w:rsidRPr="00205468" w:rsidRDefault="00693869" w:rsidP="00693869">
            <w:pPr>
              <w:spacing w:line="480" w:lineRule="auto"/>
              <w:ind w:left="113"/>
              <w:rPr>
                <w:rFonts w:eastAsia="Calibri"/>
                <w:sz w:val="22"/>
                <w:szCs w:val="22"/>
              </w:rPr>
            </w:pPr>
            <w:r w:rsidRPr="00205468">
              <w:rPr>
                <w:rFonts w:eastAsia="Calibri"/>
              </w:rPr>
              <w:t>2</w:t>
            </w:r>
          </w:p>
        </w:tc>
        <w:tc>
          <w:tcPr>
            <w:tcW w:w="2056" w:type="pct"/>
            <w:tcBorders>
              <w:top w:val="nil"/>
              <w:left w:val="nil"/>
              <w:bottom w:val="nil"/>
              <w:right w:val="nil"/>
            </w:tcBorders>
            <w:shd w:val="clear" w:color="auto" w:fill="auto"/>
            <w:noWrap/>
            <w:vAlign w:val="bottom"/>
          </w:tcPr>
          <w:p w14:paraId="6E218E6F" w14:textId="1C3CA588" w:rsidR="00693869" w:rsidRPr="003D494A" w:rsidRDefault="0011733B" w:rsidP="00693869">
            <w:pPr>
              <w:spacing w:line="480" w:lineRule="auto"/>
              <w:jc w:val="center"/>
              <w:rPr>
                <w:rFonts w:eastAsia="Calibri"/>
              </w:rPr>
            </w:pPr>
            <w:r>
              <w:rPr>
                <w:rFonts w:eastAsia="Times New Roman"/>
                <w:color w:val="000000"/>
              </w:rPr>
              <w:t>192 (10.1)</w:t>
            </w:r>
          </w:p>
        </w:tc>
      </w:tr>
      <w:tr w:rsidR="00693869" w:rsidRPr="003D494A" w14:paraId="6B50A161" w14:textId="77777777" w:rsidTr="003D494A">
        <w:trPr>
          <w:trHeight w:val="290"/>
        </w:trPr>
        <w:tc>
          <w:tcPr>
            <w:tcW w:w="2944" w:type="pct"/>
            <w:tcBorders>
              <w:top w:val="nil"/>
              <w:left w:val="nil"/>
              <w:bottom w:val="nil"/>
              <w:right w:val="nil"/>
            </w:tcBorders>
            <w:noWrap/>
            <w:hideMark/>
          </w:tcPr>
          <w:p w14:paraId="081747B6" w14:textId="77777777" w:rsidR="00693869" w:rsidRPr="00205468" w:rsidRDefault="00693869" w:rsidP="00693869">
            <w:pPr>
              <w:spacing w:line="480" w:lineRule="auto"/>
              <w:ind w:left="113"/>
              <w:rPr>
                <w:rFonts w:eastAsia="Calibri"/>
                <w:sz w:val="22"/>
                <w:szCs w:val="22"/>
              </w:rPr>
            </w:pPr>
            <w:r w:rsidRPr="00205468">
              <w:rPr>
                <w:rFonts w:eastAsia="Calibri"/>
              </w:rPr>
              <w:t>≥ 3</w:t>
            </w:r>
          </w:p>
        </w:tc>
        <w:tc>
          <w:tcPr>
            <w:tcW w:w="2056" w:type="pct"/>
            <w:tcBorders>
              <w:top w:val="nil"/>
              <w:left w:val="nil"/>
              <w:bottom w:val="nil"/>
              <w:right w:val="nil"/>
            </w:tcBorders>
            <w:shd w:val="clear" w:color="auto" w:fill="auto"/>
            <w:noWrap/>
            <w:vAlign w:val="bottom"/>
          </w:tcPr>
          <w:p w14:paraId="0026CB44" w14:textId="5DA722F4" w:rsidR="00693869" w:rsidRPr="003D494A" w:rsidRDefault="0011733B" w:rsidP="00693869">
            <w:pPr>
              <w:spacing w:line="480" w:lineRule="auto"/>
              <w:jc w:val="center"/>
              <w:rPr>
                <w:rFonts w:eastAsia="Calibri"/>
              </w:rPr>
            </w:pPr>
            <w:r>
              <w:rPr>
                <w:rFonts w:eastAsia="Times New Roman"/>
                <w:color w:val="000000"/>
              </w:rPr>
              <w:t>650 (34.</w:t>
            </w:r>
            <w:r w:rsidR="00837C29">
              <w:rPr>
                <w:rFonts w:eastAsia="Times New Roman"/>
                <w:color w:val="000000"/>
              </w:rPr>
              <w:t>2)</w:t>
            </w:r>
          </w:p>
        </w:tc>
      </w:tr>
      <w:tr w:rsidR="00693869" w:rsidRPr="003D494A" w14:paraId="4826BDCD" w14:textId="77777777" w:rsidTr="003D494A">
        <w:trPr>
          <w:trHeight w:val="290"/>
        </w:trPr>
        <w:tc>
          <w:tcPr>
            <w:tcW w:w="2944" w:type="pct"/>
            <w:tcBorders>
              <w:top w:val="nil"/>
              <w:left w:val="nil"/>
              <w:bottom w:val="nil"/>
              <w:right w:val="nil"/>
            </w:tcBorders>
            <w:noWrap/>
            <w:hideMark/>
          </w:tcPr>
          <w:p w14:paraId="0F4BF07E" w14:textId="77777777" w:rsidR="00693869" w:rsidRPr="00205468" w:rsidRDefault="00693869" w:rsidP="00693869">
            <w:pPr>
              <w:spacing w:line="480" w:lineRule="auto"/>
              <w:ind w:left="113"/>
              <w:rPr>
                <w:rFonts w:eastAsia="Calibri"/>
                <w:sz w:val="22"/>
                <w:szCs w:val="22"/>
              </w:rPr>
            </w:pPr>
            <w:r w:rsidRPr="00205468">
              <w:rPr>
                <w:rFonts w:eastAsia="Calibri"/>
              </w:rPr>
              <w:t>No Hospitalizations</w:t>
            </w:r>
          </w:p>
        </w:tc>
        <w:tc>
          <w:tcPr>
            <w:tcW w:w="2056" w:type="pct"/>
            <w:tcBorders>
              <w:top w:val="nil"/>
              <w:left w:val="nil"/>
              <w:bottom w:val="nil"/>
              <w:right w:val="nil"/>
            </w:tcBorders>
            <w:shd w:val="clear" w:color="auto" w:fill="auto"/>
            <w:noWrap/>
            <w:vAlign w:val="bottom"/>
          </w:tcPr>
          <w:p w14:paraId="6F55C300" w14:textId="6FF4CE98" w:rsidR="00693869" w:rsidRPr="003D494A" w:rsidRDefault="00837C29" w:rsidP="00693869">
            <w:pPr>
              <w:spacing w:line="480" w:lineRule="auto"/>
              <w:jc w:val="center"/>
              <w:rPr>
                <w:rFonts w:eastAsia="Calibri"/>
              </w:rPr>
            </w:pPr>
            <w:r>
              <w:rPr>
                <w:rFonts w:eastAsia="Times New Roman"/>
                <w:color w:val="000000"/>
              </w:rPr>
              <w:t>445 (23.4)</w:t>
            </w:r>
          </w:p>
        </w:tc>
      </w:tr>
      <w:tr w:rsidR="00693869" w:rsidRPr="003D494A" w14:paraId="08DDDAE2" w14:textId="77777777" w:rsidTr="00490275">
        <w:trPr>
          <w:trHeight w:val="290"/>
        </w:trPr>
        <w:tc>
          <w:tcPr>
            <w:tcW w:w="2944" w:type="pct"/>
            <w:tcBorders>
              <w:top w:val="nil"/>
              <w:left w:val="nil"/>
              <w:bottom w:val="nil"/>
              <w:right w:val="nil"/>
            </w:tcBorders>
            <w:noWrap/>
            <w:hideMark/>
          </w:tcPr>
          <w:p w14:paraId="114C4368" w14:textId="77777777" w:rsidR="00693869" w:rsidRPr="00205468" w:rsidRDefault="00693869" w:rsidP="00693869">
            <w:pPr>
              <w:spacing w:line="480" w:lineRule="auto"/>
              <w:rPr>
                <w:rFonts w:eastAsia="Calibri"/>
                <w:sz w:val="22"/>
                <w:szCs w:val="22"/>
              </w:rPr>
            </w:pPr>
            <w:r w:rsidRPr="00205468">
              <w:rPr>
                <w:rFonts w:eastAsia="Calibri"/>
              </w:rPr>
              <w:t>Depression &amp; anxiety, N(%)</w:t>
            </w:r>
          </w:p>
        </w:tc>
        <w:tc>
          <w:tcPr>
            <w:tcW w:w="2056" w:type="pct"/>
            <w:tcBorders>
              <w:top w:val="nil"/>
              <w:left w:val="nil"/>
              <w:bottom w:val="nil"/>
              <w:right w:val="nil"/>
            </w:tcBorders>
            <w:shd w:val="clear" w:color="auto" w:fill="auto"/>
            <w:noWrap/>
            <w:vAlign w:val="bottom"/>
            <w:hideMark/>
          </w:tcPr>
          <w:p w14:paraId="35C2AFC5" w14:textId="1DA682E6" w:rsidR="00693869" w:rsidRPr="003D494A" w:rsidRDefault="00EA4442" w:rsidP="00693869">
            <w:pPr>
              <w:spacing w:line="480" w:lineRule="auto"/>
              <w:jc w:val="center"/>
              <w:rPr>
                <w:rFonts w:eastAsia="Calibri"/>
              </w:rPr>
            </w:pPr>
            <w:r w:rsidRPr="004B7449">
              <w:rPr>
                <w:rFonts w:eastAsia="Times New Roman"/>
                <w:color w:val="000000"/>
              </w:rPr>
              <w:t>872 (45.8)</w:t>
            </w:r>
          </w:p>
        </w:tc>
      </w:tr>
      <w:tr w:rsidR="00693869" w:rsidRPr="003D494A" w14:paraId="0801D7F7" w14:textId="77777777" w:rsidTr="00490275">
        <w:trPr>
          <w:trHeight w:val="290"/>
        </w:trPr>
        <w:tc>
          <w:tcPr>
            <w:tcW w:w="2944" w:type="pct"/>
            <w:tcBorders>
              <w:top w:val="nil"/>
              <w:left w:val="nil"/>
              <w:bottom w:val="nil"/>
              <w:right w:val="nil"/>
            </w:tcBorders>
            <w:noWrap/>
            <w:hideMark/>
          </w:tcPr>
          <w:p w14:paraId="4222BA10" w14:textId="77777777" w:rsidR="00693869" w:rsidRPr="00205468" w:rsidRDefault="00693869" w:rsidP="00693869">
            <w:pPr>
              <w:spacing w:line="480" w:lineRule="auto"/>
              <w:rPr>
                <w:rFonts w:eastAsia="Calibri"/>
                <w:sz w:val="22"/>
                <w:szCs w:val="22"/>
              </w:rPr>
            </w:pPr>
            <w:r w:rsidRPr="00205468">
              <w:rPr>
                <w:rFonts w:eastAsia="Calibri"/>
              </w:rPr>
              <w:t>Bipolar disorder &amp; schizophrenia, N(%)</w:t>
            </w:r>
          </w:p>
        </w:tc>
        <w:tc>
          <w:tcPr>
            <w:tcW w:w="2056" w:type="pct"/>
            <w:tcBorders>
              <w:top w:val="nil"/>
              <w:left w:val="nil"/>
              <w:bottom w:val="nil"/>
              <w:right w:val="nil"/>
            </w:tcBorders>
            <w:shd w:val="clear" w:color="auto" w:fill="auto"/>
            <w:noWrap/>
            <w:vAlign w:val="bottom"/>
            <w:hideMark/>
          </w:tcPr>
          <w:p w14:paraId="4948C6DD" w14:textId="3217553F" w:rsidR="00693869" w:rsidRPr="003D494A" w:rsidRDefault="00FD76C7" w:rsidP="00693869">
            <w:pPr>
              <w:spacing w:line="480" w:lineRule="auto"/>
              <w:jc w:val="center"/>
              <w:rPr>
                <w:rFonts w:eastAsia="Calibri"/>
              </w:rPr>
            </w:pPr>
            <w:r w:rsidRPr="004B7449">
              <w:rPr>
                <w:rFonts w:eastAsia="Times New Roman"/>
                <w:color w:val="000000"/>
              </w:rPr>
              <w:t>36 (1.9)</w:t>
            </w:r>
          </w:p>
        </w:tc>
      </w:tr>
      <w:tr w:rsidR="00693869" w:rsidRPr="003D494A" w14:paraId="370883E7" w14:textId="77777777" w:rsidTr="00490275">
        <w:trPr>
          <w:trHeight w:val="290"/>
        </w:trPr>
        <w:tc>
          <w:tcPr>
            <w:tcW w:w="2944" w:type="pct"/>
            <w:tcBorders>
              <w:top w:val="nil"/>
              <w:left w:val="nil"/>
              <w:bottom w:val="nil"/>
              <w:right w:val="nil"/>
            </w:tcBorders>
            <w:noWrap/>
            <w:hideMark/>
          </w:tcPr>
          <w:p w14:paraId="49C6E3BD" w14:textId="77777777" w:rsidR="00693869" w:rsidRPr="00205468" w:rsidRDefault="00693869" w:rsidP="00693869">
            <w:pPr>
              <w:spacing w:line="480" w:lineRule="auto"/>
              <w:rPr>
                <w:rFonts w:eastAsia="Calibri"/>
                <w:sz w:val="22"/>
                <w:szCs w:val="22"/>
              </w:rPr>
            </w:pPr>
            <w:r w:rsidRPr="00205468">
              <w:rPr>
                <w:rFonts w:eastAsia="Calibri"/>
              </w:rPr>
              <w:t>Diabetes,  N(%)</w:t>
            </w:r>
          </w:p>
        </w:tc>
        <w:tc>
          <w:tcPr>
            <w:tcW w:w="2056" w:type="pct"/>
            <w:tcBorders>
              <w:top w:val="nil"/>
              <w:left w:val="nil"/>
              <w:bottom w:val="nil"/>
              <w:right w:val="nil"/>
            </w:tcBorders>
            <w:shd w:val="clear" w:color="auto" w:fill="auto"/>
            <w:noWrap/>
            <w:vAlign w:val="bottom"/>
            <w:hideMark/>
          </w:tcPr>
          <w:p w14:paraId="6E1BAEA9" w14:textId="3B13C773" w:rsidR="00693869" w:rsidRPr="003D494A" w:rsidRDefault="00FD76C7" w:rsidP="00693869">
            <w:pPr>
              <w:spacing w:line="480" w:lineRule="auto"/>
              <w:jc w:val="center"/>
              <w:rPr>
                <w:rFonts w:eastAsia="Calibri"/>
              </w:rPr>
            </w:pPr>
            <w:r w:rsidRPr="003D494A">
              <w:rPr>
                <w:rFonts w:eastAsia="Times New Roman"/>
                <w:color w:val="000000"/>
              </w:rPr>
              <w:t>787 (41.4)</w:t>
            </w:r>
          </w:p>
        </w:tc>
      </w:tr>
      <w:tr w:rsidR="00693869" w:rsidRPr="003D494A" w14:paraId="1D910E12" w14:textId="77777777" w:rsidTr="00490275">
        <w:trPr>
          <w:trHeight w:val="290"/>
        </w:trPr>
        <w:tc>
          <w:tcPr>
            <w:tcW w:w="2944" w:type="pct"/>
            <w:tcBorders>
              <w:top w:val="nil"/>
              <w:left w:val="nil"/>
              <w:bottom w:val="nil"/>
              <w:right w:val="nil"/>
            </w:tcBorders>
            <w:noWrap/>
            <w:hideMark/>
          </w:tcPr>
          <w:p w14:paraId="5CB90E28" w14:textId="77777777" w:rsidR="00693869" w:rsidRPr="00205468" w:rsidRDefault="00693869" w:rsidP="00693869">
            <w:pPr>
              <w:spacing w:line="480" w:lineRule="auto"/>
              <w:rPr>
                <w:rFonts w:eastAsia="Calibri"/>
                <w:sz w:val="22"/>
                <w:szCs w:val="22"/>
              </w:rPr>
            </w:pPr>
            <w:r w:rsidRPr="00205468">
              <w:rPr>
                <w:rFonts w:eastAsia="Calibri"/>
              </w:rPr>
              <w:t>Hypertension, N(%)</w:t>
            </w:r>
          </w:p>
        </w:tc>
        <w:tc>
          <w:tcPr>
            <w:tcW w:w="2056" w:type="pct"/>
            <w:tcBorders>
              <w:top w:val="nil"/>
              <w:left w:val="nil"/>
              <w:bottom w:val="nil"/>
              <w:right w:val="nil"/>
            </w:tcBorders>
            <w:shd w:val="clear" w:color="auto" w:fill="auto"/>
            <w:noWrap/>
            <w:vAlign w:val="bottom"/>
            <w:hideMark/>
          </w:tcPr>
          <w:p w14:paraId="4260FB2F" w14:textId="00D7547B" w:rsidR="00693869" w:rsidRPr="003D494A" w:rsidRDefault="00FD76C7" w:rsidP="00693869">
            <w:pPr>
              <w:spacing w:line="480" w:lineRule="auto"/>
              <w:jc w:val="center"/>
              <w:rPr>
                <w:rFonts w:eastAsia="Calibri"/>
              </w:rPr>
            </w:pPr>
            <w:r w:rsidRPr="004B7449">
              <w:rPr>
                <w:rFonts w:eastAsia="Times New Roman"/>
                <w:color w:val="000000"/>
              </w:rPr>
              <w:t>1,608 (84.5)</w:t>
            </w:r>
          </w:p>
        </w:tc>
      </w:tr>
      <w:tr w:rsidR="00693869" w:rsidRPr="003D494A" w14:paraId="222EFF5B" w14:textId="77777777" w:rsidTr="00490275">
        <w:trPr>
          <w:trHeight w:val="290"/>
        </w:trPr>
        <w:tc>
          <w:tcPr>
            <w:tcW w:w="2944" w:type="pct"/>
            <w:tcBorders>
              <w:top w:val="nil"/>
              <w:left w:val="nil"/>
              <w:bottom w:val="nil"/>
              <w:right w:val="nil"/>
            </w:tcBorders>
            <w:noWrap/>
            <w:hideMark/>
          </w:tcPr>
          <w:p w14:paraId="60D593C4" w14:textId="77777777" w:rsidR="00693869" w:rsidRPr="00205468" w:rsidRDefault="00693869" w:rsidP="00693869">
            <w:pPr>
              <w:spacing w:line="480" w:lineRule="auto"/>
              <w:rPr>
                <w:rFonts w:eastAsia="Calibri"/>
                <w:sz w:val="22"/>
                <w:szCs w:val="22"/>
              </w:rPr>
            </w:pPr>
            <w:r w:rsidRPr="00205468">
              <w:rPr>
                <w:rFonts w:eastAsia="Calibri"/>
              </w:rPr>
              <w:t>Atrial Fibrillation, N(%)</w:t>
            </w:r>
          </w:p>
        </w:tc>
        <w:tc>
          <w:tcPr>
            <w:tcW w:w="2056" w:type="pct"/>
            <w:tcBorders>
              <w:top w:val="nil"/>
              <w:left w:val="nil"/>
              <w:bottom w:val="nil"/>
              <w:right w:val="nil"/>
            </w:tcBorders>
            <w:shd w:val="clear" w:color="auto" w:fill="auto"/>
            <w:noWrap/>
            <w:vAlign w:val="bottom"/>
            <w:hideMark/>
          </w:tcPr>
          <w:p w14:paraId="7C92AE20" w14:textId="5FD0B405" w:rsidR="00693869" w:rsidRPr="003D494A" w:rsidRDefault="00B72950" w:rsidP="00693869">
            <w:pPr>
              <w:spacing w:line="480" w:lineRule="auto"/>
              <w:jc w:val="center"/>
              <w:rPr>
                <w:rFonts w:eastAsia="Calibri"/>
              </w:rPr>
            </w:pPr>
            <w:r w:rsidRPr="004B7449">
              <w:rPr>
                <w:rFonts w:eastAsia="Times New Roman"/>
                <w:color w:val="000000"/>
              </w:rPr>
              <w:t>324 (17.0)</w:t>
            </w:r>
          </w:p>
        </w:tc>
      </w:tr>
      <w:tr w:rsidR="00693869" w:rsidRPr="003D494A" w14:paraId="30397EC4" w14:textId="77777777" w:rsidTr="00490275">
        <w:trPr>
          <w:trHeight w:val="290"/>
        </w:trPr>
        <w:tc>
          <w:tcPr>
            <w:tcW w:w="2944" w:type="pct"/>
            <w:tcBorders>
              <w:top w:val="nil"/>
              <w:left w:val="nil"/>
              <w:bottom w:val="single" w:sz="4" w:space="0" w:color="auto"/>
              <w:right w:val="nil"/>
            </w:tcBorders>
            <w:noWrap/>
          </w:tcPr>
          <w:p w14:paraId="22CE03A5" w14:textId="308CD31F" w:rsidR="00693869" w:rsidRPr="00205468" w:rsidDel="009E2AC0" w:rsidRDefault="00693869" w:rsidP="00693869">
            <w:pPr>
              <w:spacing w:line="480" w:lineRule="auto"/>
              <w:rPr>
                <w:rFonts w:eastAsia="Calibri"/>
                <w:sz w:val="22"/>
                <w:szCs w:val="22"/>
              </w:rPr>
            </w:pPr>
            <w:r w:rsidRPr="00205468">
              <w:rPr>
                <w:rFonts w:eastAsia="Calibri"/>
              </w:rPr>
              <w:t>Fractures, N(%)</w:t>
            </w:r>
          </w:p>
        </w:tc>
        <w:tc>
          <w:tcPr>
            <w:tcW w:w="2056" w:type="pct"/>
            <w:tcBorders>
              <w:top w:val="nil"/>
              <w:left w:val="nil"/>
              <w:bottom w:val="single" w:sz="4" w:space="0" w:color="auto"/>
              <w:right w:val="nil"/>
            </w:tcBorders>
            <w:shd w:val="clear" w:color="auto" w:fill="auto"/>
            <w:noWrap/>
            <w:vAlign w:val="bottom"/>
          </w:tcPr>
          <w:p w14:paraId="546E8D8F" w14:textId="258C14B8" w:rsidR="00693869" w:rsidRPr="003D494A" w:rsidRDefault="00301E36" w:rsidP="00693869">
            <w:pPr>
              <w:spacing w:line="480" w:lineRule="auto"/>
              <w:jc w:val="center"/>
              <w:rPr>
                <w:rFonts w:eastAsia="Times New Roman"/>
                <w:color w:val="000000"/>
              </w:rPr>
            </w:pPr>
            <w:r w:rsidRPr="004B7449">
              <w:rPr>
                <w:rFonts w:eastAsia="Times New Roman"/>
                <w:color w:val="000000"/>
              </w:rPr>
              <w:t>117 (6.2)</w:t>
            </w:r>
          </w:p>
        </w:tc>
      </w:tr>
      <w:tr w:rsidR="00693869" w:rsidRPr="00603516" w14:paraId="0E58A26E" w14:textId="77777777" w:rsidTr="00C76BC1">
        <w:trPr>
          <w:trHeight w:val="290"/>
        </w:trPr>
        <w:tc>
          <w:tcPr>
            <w:tcW w:w="5000" w:type="pct"/>
            <w:gridSpan w:val="2"/>
            <w:tcBorders>
              <w:top w:val="single" w:sz="4" w:space="0" w:color="auto"/>
            </w:tcBorders>
            <w:noWrap/>
          </w:tcPr>
          <w:p w14:paraId="28C0FA8C" w14:textId="4CF52177" w:rsidR="00693869" w:rsidRPr="00603516" w:rsidRDefault="00693869" w:rsidP="00E867F6">
            <w:pPr>
              <w:spacing w:line="480" w:lineRule="auto"/>
              <w:rPr>
                <w:rFonts w:eastAsia="Calibri"/>
                <w:sz w:val="22"/>
                <w:szCs w:val="22"/>
              </w:rPr>
            </w:pPr>
            <w:r w:rsidRPr="00205468">
              <w:rPr>
                <w:rFonts w:eastAsia="Calibri"/>
                <w:vertAlign w:val="superscript"/>
              </w:rPr>
              <w:t xml:space="preserve">a </w:t>
            </w:r>
            <w:r w:rsidR="008F1F9E">
              <w:rPr>
                <w:rFonts w:eastAsia="Calibri"/>
              </w:rPr>
              <w:t>B</w:t>
            </w:r>
            <w:r w:rsidRPr="00205468">
              <w:rPr>
                <w:rFonts w:eastAsia="Calibri"/>
              </w:rPr>
              <w:t xml:space="preserve">etween </w:t>
            </w:r>
            <w:r w:rsidR="00532A43">
              <w:rPr>
                <w:rFonts w:eastAsia="Calibri"/>
              </w:rPr>
              <w:t xml:space="preserve">the first seizure following </w:t>
            </w:r>
            <w:r w:rsidRPr="00532A43">
              <w:rPr>
                <w:rFonts w:eastAsia="Calibri"/>
              </w:rPr>
              <w:t xml:space="preserve">stroke and </w:t>
            </w:r>
            <w:r w:rsidRPr="00205468">
              <w:rPr>
                <w:rFonts w:eastAsia="Calibri"/>
              </w:rPr>
              <w:t xml:space="preserve">drug-resistant epilepsy diagnosis; </w:t>
            </w:r>
            <w:r w:rsidR="000F5A0B">
              <w:rPr>
                <w:rFonts w:eastAsia="Calibri"/>
                <w:vertAlign w:val="superscript"/>
              </w:rPr>
              <w:t>b</w:t>
            </w:r>
            <w:r w:rsidRPr="00205468">
              <w:rPr>
                <w:rFonts w:eastAsia="Calibri"/>
                <w:vertAlign w:val="superscript"/>
              </w:rPr>
              <w:t xml:space="preserve"> </w:t>
            </w:r>
            <w:r w:rsidRPr="00205468">
              <w:rPr>
                <w:rFonts w:eastAsia="Calibri"/>
              </w:rPr>
              <w:t xml:space="preserve">Between stroke and </w:t>
            </w:r>
            <w:r w:rsidR="00A03E18">
              <w:rPr>
                <w:rFonts w:eastAsia="Calibri"/>
              </w:rPr>
              <w:t>drug-resistant</w:t>
            </w:r>
            <w:r w:rsidRPr="00A03E18">
              <w:rPr>
                <w:rFonts w:eastAsia="Calibri"/>
              </w:rPr>
              <w:t xml:space="preserve"> epilepsy diagnosis; </w:t>
            </w:r>
            <w:r w:rsidR="000F5A0B">
              <w:rPr>
                <w:rFonts w:eastAsia="Calibri"/>
                <w:vertAlign w:val="superscript"/>
              </w:rPr>
              <w:t>c</w:t>
            </w:r>
            <w:r w:rsidR="000F5A0B" w:rsidRPr="000F5A0B">
              <w:rPr>
                <w:rFonts w:eastAsia="Calibri"/>
                <w:vertAlign w:val="superscript"/>
              </w:rPr>
              <w:t xml:space="preserve"> </w:t>
            </w:r>
            <w:r w:rsidRPr="000F5A0B">
              <w:rPr>
                <w:rFonts w:eastAsia="Calibri"/>
              </w:rPr>
              <w:t xml:space="preserve">In the two years prior to </w:t>
            </w:r>
            <w:r w:rsidRPr="00205468">
              <w:rPr>
                <w:rFonts w:eastAsia="Calibri"/>
              </w:rPr>
              <w:t>drug-resistant epilepsy diagnosis</w:t>
            </w:r>
          </w:p>
        </w:tc>
      </w:tr>
    </w:tbl>
    <w:p w14:paraId="37CDA0A3" w14:textId="5D466EBC" w:rsidR="00B3664D" w:rsidRDefault="00B3664D">
      <w:pPr>
        <w:rPr>
          <w:rFonts w:ascii="Times New Roman" w:hAnsi="Times New Roman" w:cs="Times New Roman"/>
          <w:lang w:val="en-US"/>
        </w:rPr>
      </w:pPr>
    </w:p>
    <w:p w14:paraId="29112DC1" w14:textId="572B6BA6" w:rsidR="00AF11FD" w:rsidRPr="00AF2B46" w:rsidRDefault="00BD129A" w:rsidP="00A40D22">
      <w:pPr>
        <w:pStyle w:val="ListBullet"/>
        <w:numPr>
          <w:ilvl w:val="0"/>
          <w:numId w:val="0"/>
        </w:numPr>
        <w:spacing w:after="0" w:line="480" w:lineRule="auto"/>
        <w:jc w:val="center"/>
        <w:rPr>
          <w:rFonts w:ascii="Times New Roman" w:hAnsi="Times New Roman" w:cs="Times New Roman"/>
          <w:lang w:val="en-US"/>
        </w:rPr>
      </w:pPr>
      <w:r w:rsidRPr="00AF2B46">
        <w:rPr>
          <w:rFonts w:ascii="Times New Roman" w:hAnsi="Times New Roman" w:cs="Times New Roman"/>
          <w:lang w:val="en-US"/>
        </w:rPr>
        <w:lastRenderedPageBreak/>
        <w:t>References</w:t>
      </w:r>
    </w:p>
    <w:p w14:paraId="6A4E0B2F" w14:textId="1F518C6F" w:rsidR="00C50F52" w:rsidRPr="00C50F52" w:rsidRDefault="00BD129A"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AF2B46">
        <w:rPr>
          <w:rFonts w:ascii="Times New Roman" w:hAnsi="Times New Roman" w:cs="Times New Roman"/>
          <w:lang w:val="en-US"/>
        </w:rPr>
        <w:fldChar w:fldCharType="begin" w:fldLock="1"/>
      </w:r>
      <w:r w:rsidRPr="00AF2B46">
        <w:rPr>
          <w:rFonts w:ascii="Times New Roman" w:hAnsi="Times New Roman" w:cs="Times New Roman"/>
          <w:lang w:val="en-US"/>
        </w:rPr>
        <w:instrText xml:space="preserve">ADDIN Mendeley Bibliography CSL_BIBLIOGRAPHY </w:instrText>
      </w:r>
      <w:r w:rsidRPr="00AF2B46">
        <w:rPr>
          <w:rFonts w:ascii="Times New Roman" w:hAnsi="Times New Roman" w:cs="Times New Roman"/>
          <w:lang w:val="en-US"/>
        </w:rPr>
        <w:fldChar w:fldCharType="separate"/>
      </w:r>
      <w:r w:rsidR="00C50F52" w:rsidRPr="00C50F52">
        <w:rPr>
          <w:rFonts w:ascii="Times New Roman" w:hAnsi="Times New Roman" w:cs="Times New Roman"/>
          <w:noProof/>
          <w:szCs w:val="24"/>
        </w:rPr>
        <w:t xml:space="preserve">1. </w:t>
      </w:r>
      <w:r w:rsidR="00C50F52" w:rsidRPr="00C50F52">
        <w:rPr>
          <w:rFonts w:ascii="Times New Roman" w:hAnsi="Times New Roman" w:cs="Times New Roman"/>
          <w:noProof/>
          <w:szCs w:val="24"/>
        </w:rPr>
        <w:tab/>
        <w:t>Juurlink D, Preyra C, Croxford R, Chong A, Austin P, Tu J, et al. Canadian Institute for Health Information Discharge Abstract Database: a validation study [Internet]. Toronto; 2006. Available from: https://www.ices.on.ca/Publications/Atlases-and-Reports/2006/Canadian-Institute-for-Health-Information</w:t>
      </w:r>
    </w:p>
    <w:p w14:paraId="4F100063" w14:textId="77777777"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2. </w:t>
      </w:r>
      <w:r w:rsidRPr="00C50F52">
        <w:rPr>
          <w:rFonts w:ascii="Times New Roman" w:hAnsi="Times New Roman" w:cs="Times New Roman"/>
          <w:noProof/>
          <w:szCs w:val="24"/>
        </w:rPr>
        <w:tab/>
        <w:t xml:space="preserve">Levy AR, O’Brien BJ, Sellors C, Grootendorst P, Willison D. Coding accuracy of administrative drug claims in the Ontario Drug Benefit database. Vol. 10, Can J Clin Pharmacol. 2003. p. 67–71. </w:t>
      </w:r>
    </w:p>
    <w:p w14:paraId="33EBA889" w14:textId="77777777"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3. </w:t>
      </w:r>
      <w:r w:rsidRPr="00C50F52">
        <w:rPr>
          <w:rFonts w:ascii="Times New Roman" w:hAnsi="Times New Roman" w:cs="Times New Roman"/>
          <w:noProof/>
          <w:szCs w:val="24"/>
        </w:rPr>
        <w:tab/>
        <w:t xml:space="preserve">Williams J, Young W. A summary of the quality of health care administrative databases in Canada. In: Goel V, Williams JI, Anderson GM, Blackstien-Hirsch P, Fooks C, Naylor CD, editors. Patterns of Health Care in Ontario: The ICES Practice Atlas. 2nd ed. Ottawa: Canadian Medical Association; 1996. p. 339–46. </w:t>
      </w:r>
    </w:p>
    <w:p w14:paraId="72AD700D" w14:textId="20442475"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4. </w:t>
      </w:r>
      <w:r w:rsidRPr="00C50F52">
        <w:rPr>
          <w:rFonts w:ascii="Times New Roman" w:hAnsi="Times New Roman" w:cs="Times New Roman"/>
          <w:noProof/>
          <w:szCs w:val="24"/>
        </w:rPr>
        <w:tab/>
        <w:t xml:space="preserve">Hux JE, Ivis F, Flintoft V, Bica A. Diabetes in Ontario: determination of prevalence and incidence using a validated administrative data algorithm. Diabetes Care. 2002;25:512–6. </w:t>
      </w:r>
    </w:p>
    <w:p w14:paraId="02B08C3A" w14:textId="77777777"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5. </w:t>
      </w:r>
      <w:r w:rsidRPr="00C50F52">
        <w:rPr>
          <w:rFonts w:ascii="Times New Roman" w:hAnsi="Times New Roman" w:cs="Times New Roman"/>
          <w:noProof/>
          <w:szCs w:val="24"/>
        </w:rPr>
        <w:tab/>
        <w:t xml:space="preserve">Guttmann A, Nakhla M, Henderson M, To T, Daneman D, Cauch-Dudek K, et al. Validation of a health administrative data algorithm for assessing the epidemiology of diabetes in Canadian children. Pediatr Diabetes. 2010;11(2):122–8. </w:t>
      </w:r>
    </w:p>
    <w:p w14:paraId="4A0036F4" w14:textId="713753E0"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6. </w:t>
      </w:r>
      <w:r w:rsidRPr="00C50F52">
        <w:rPr>
          <w:rFonts w:ascii="Times New Roman" w:hAnsi="Times New Roman" w:cs="Times New Roman"/>
          <w:noProof/>
          <w:szCs w:val="24"/>
        </w:rPr>
        <w:tab/>
        <w:t xml:space="preserve">Tu K, Campbell NR, Chen Z-L, Cauch-Dudek KJ, McAlister FA. Accuracy of administrative databases in identifying patients with hypertension. Open Med. 2007;1:e18-26. </w:t>
      </w:r>
    </w:p>
    <w:p w14:paraId="05491D17" w14:textId="72999B21"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7. </w:t>
      </w:r>
      <w:r w:rsidRPr="00C50F52">
        <w:rPr>
          <w:rFonts w:ascii="Times New Roman" w:hAnsi="Times New Roman" w:cs="Times New Roman"/>
          <w:noProof/>
          <w:szCs w:val="24"/>
        </w:rPr>
        <w:tab/>
        <w:t xml:space="preserve">Hall S, Schulze K, Groome P, Mackillop W, Holowaty E. Using cancer registry data for survival studies: the example of the Ontario Cancer Registry. J Clin Epidemiol. 2006;59:67–76. </w:t>
      </w:r>
    </w:p>
    <w:p w14:paraId="60EDBBCB" w14:textId="77777777"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8. </w:t>
      </w:r>
      <w:r w:rsidRPr="00C50F52">
        <w:rPr>
          <w:rFonts w:ascii="Times New Roman" w:hAnsi="Times New Roman" w:cs="Times New Roman"/>
          <w:noProof/>
          <w:szCs w:val="24"/>
        </w:rPr>
        <w:tab/>
        <w:t xml:space="preserve">Matheson FI, Dunn JR, Smith KLW, Moineddin R, Glazier RH. Ontario Marginalization Index: user guide version 1.0 [Internet]. Toronto, </w:t>
      </w:r>
      <w:r w:rsidRPr="00C50F52">
        <w:rPr>
          <w:rFonts w:ascii="Times New Roman" w:hAnsi="Times New Roman" w:cs="Times New Roman"/>
          <w:noProof/>
          <w:szCs w:val="24"/>
        </w:rPr>
        <w:lastRenderedPageBreak/>
        <w:t>Ontario; 2012. Available from: http://www.ontariohealthprofiles.ca/onmargON.php</w:t>
      </w:r>
    </w:p>
    <w:p w14:paraId="1B4A3CAE" w14:textId="77777777"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9. </w:t>
      </w:r>
      <w:r w:rsidRPr="00C50F52">
        <w:rPr>
          <w:rFonts w:ascii="Times New Roman" w:hAnsi="Times New Roman" w:cs="Times New Roman"/>
          <w:noProof/>
          <w:szCs w:val="24"/>
        </w:rPr>
        <w:tab/>
        <w:t>Matheson F, van Ingen T. 2011 Ontario Marginalization Index: technical document [Internet]. Toronto, Ontario: Ontario Agency for Health Protection and Promotion (Public Health Ontario); 2017. Available from: http://www.ontariohealthprofiles.ca/onmargON.php</w:t>
      </w:r>
    </w:p>
    <w:p w14:paraId="0A06A233" w14:textId="09E12A6B"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10. </w:t>
      </w:r>
      <w:r w:rsidRPr="00C50F52">
        <w:rPr>
          <w:rFonts w:ascii="Times New Roman" w:hAnsi="Times New Roman" w:cs="Times New Roman"/>
          <w:noProof/>
          <w:szCs w:val="24"/>
        </w:rPr>
        <w:tab/>
        <w:t xml:space="preserve">Liu L, Reeder B, Shuaib A, Mazagri R. Validity of stroke diagnosis on hospital discharge records in Saskatchewan, Canada: Implications for stroke surveillance. Cerebrovasc Dis. 1999;9:224–30. </w:t>
      </w:r>
    </w:p>
    <w:p w14:paraId="3B8940D7" w14:textId="1E24EDDD"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11. </w:t>
      </w:r>
      <w:r w:rsidRPr="00C50F52">
        <w:rPr>
          <w:rFonts w:ascii="Times New Roman" w:hAnsi="Times New Roman" w:cs="Times New Roman"/>
          <w:noProof/>
          <w:szCs w:val="24"/>
        </w:rPr>
        <w:tab/>
        <w:t xml:space="preserve">Porter J, Mondor L, Kapral MK, Fang J, Hall RE. How reliable are administrative data for capturing stroke patients and their care? Cerebrovasc Dis Extra. 2016;6:96–106. </w:t>
      </w:r>
    </w:p>
    <w:p w14:paraId="1B89486E" w14:textId="09C60A76"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12. </w:t>
      </w:r>
      <w:r w:rsidRPr="00C50F52">
        <w:rPr>
          <w:rFonts w:ascii="Times New Roman" w:hAnsi="Times New Roman" w:cs="Times New Roman"/>
          <w:noProof/>
          <w:szCs w:val="24"/>
        </w:rPr>
        <w:tab/>
        <w:t xml:space="preserve">Jette N, Beghi E, Hesdorffer D, Moshé SL, Zuberi SM, Medina MT, et al. ICD coding for epilepsy: past, present, and future - a report by the International League Against Epilepsy Task Force on ICD codes in epilepsy. Epilepsia. 2015;56:348–55. </w:t>
      </w:r>
    </w:p>
    <w:p w14:paraId="7CAC7302" w14:textId="0D8BF5CF"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13. </w:t>
      </w:r>
      <w:r w:rsidRPr="00C50F52">
        <w:rPr>
          <w:rFonts w:ascii="Times New Roman" w:hAnsi="Times New Roman" w:cs="Times New Roman"/>
          <w:noProof/>
          <w:szCs w:val="24"/>
        </w:rPr>
        <w:tab/>
        <w:t xml:space="preserve">Hasbun R, Rosenthal N, Balada-Llasat JM, Chung J, Duff S, Bozzette S, et al. Epidemiology of meningitis and encephalitis in the United States, 2011-2014. Clin Infect Dis. 2017;65:359–63. </w:t>
      </w:r>
    </w:p>
    <w:p w14:paraId="7EC505C4" w14:textId="3C44AF2E"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14. </w:t>
      </w:r>
      <w:r w:rsidRPr="00C50F52">
        <w:rPr>
          <w:rFonts w:ascii="Times New Roman" w:hAnsi="Times New Roman" w:cs="Times New Roman"/>
          <w:noProof/>
          <w:szCs w:val="24"/>
        </w:rPr>
        <w:tab/>
        <w:t xml:space="preserve">Gedeborg R, Furebring M, Michaëlsson K. Diagnosis-dependent misclassification of infections using administrative data variably affected incidence and mortality estimates in ICU patients. J Clin Epidemiol. 2007;60:155–62. </w:t>
      </w:r>
    </w:p>
    <w:p w14:paraId="677B1BB9" w14:textId="76800CF4"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15. </w:t>
      </w:r>
      <w:r w:rsidRPr="00C50F52">
        <w:rPr>
          <w:rFonts w:ascii="Times New Roman" w:hAnsi="Times New Roman" w:cs="Times New Roman"/>
          <w:noProof/>
          <w:szCs w:val="24"/>
        </w:rPr>
        <w:tab/>
        <w:t xml:space="preserve">Ahlers FS, Benros ME, Dreier JW, Christensen J. Infections and risk of epilepsy in children and young adults: a nationwide study. </w:t>
      </w:r>
      <w:r w:rsidR="009B5E6C">
        <w:rPr>
          <w:rFonts w:ascii="Times New Roman" w:hAnsi="Times New Roman" w:cs="Times New Roman"/>
          <w:noProof/>
          <w:szCs w:val="24"/>
        </w:rPr>
        <w:t xml:space="preserve">Epilepsia. </w:t>
      </w:r>
      <w:r w:rsidRPr="00C50F52">
        <w:rPr>
          <w:rFonts w:ascii="Times New Roman" w:hAnsi="Times New Roman" w:cs="Times New Roman"/>
          <w:noProof/>
          <w:szCs w:val="24"/>
        </w:rPr>
        <w:t>2018;</w:t>
      </w:r>
      <w:r w:rsidR="009B5E6C">
        <w:rPr>
          <w:rFonts w:ascii="Times New Roman" w:hAnsi="Times New Roman" w:cs="Times New Roman"/>
          <w:noProof/>
          <w:szCs w:val="24"/>
        </w:rPr>
        <w:t>60</w:t>
      </w:r>
      <w:r w:rsidRPr="00C50F52">
        <w:rPr>
          <w:rFonts w:ascii="Times New Roman" w:hAnsi="Times New Roman" w:cs="Times New Roman"/>
          <w:noProof/>
          <w:szCs w:val="24"/>
        </w:rPr>
        <w:t>:</w:t>
      </w:r>
      <w:r w:rsidR="008B7193">
        <w:rPr>
          <w:rFonts w:ascii="Times New Roman" w:hAnsi="Times New Roman" w:cs="Times New Roman"/>
          <w:noProof/>
          <w:szCs w:val="24"/>
        </w:rPr>
        <w:t>275-83</w:t>
      </w:r>
      <w:r w:rsidRPr="00C50F52">
        <w:rPr>
          <w:rFonts w:ascii="Times New Roman" w:hAnsi="Times New Roman" w:cs="Times New Roman"/>
          <w:noProof/>
          <w:szCs w:val="24"/>
        </w:rPr>
        <w:t xml:space="preserve">. </w:t>
      </w:r>
    </w:p>
    <w:p w14:paraId="78E37B38" w14:textId="297DE6A0"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16. </w:t>
      </w:r>
      <w:r w:rsidRPr="00C50F52">
        <w:rPr>
          <w:rFonts w:ascii="Times New Roman" w:hAnsi="Times New Roman" w:cs="Times New Roman"/>
          <w:noProof/>
          <w:szCs w:val="24"/>
        </w:rPr>
        <w:tab/>
        <w:t xml:space="preserve">Bazarian JJ, Veazie P, Mookerjee S, Lerner EB. Accuracy of mild traumatic brain injury case ascertainment using ICD-9 codes. Acad Emerg Med. 2006;13:31–8. </w:t>
      </w:r>
    </w:p>
    <w:p w14:paraId="49FB0C94" w14:textId="77777777"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17. </w:t>
      </w:r>
      <w:r w:rsidRPr="00C50F52">
        <w:rPr>
          <w:rFonts w:ascii="Times New Roman" w:hAnsi="Times New Roman" w:cs="Times New Roman"/>
          <w:noProof/>
          <w:szCs w:val="24"/>
        </w:rPr>
        <w:tab/>
        <w:t xml:space="preserve">McGarry L, Thompson D, Millham F, Cowell L, Snyder P, Lenderking W, et al. Outcomes and costs of acute treatment of traumatic brain </w:t>
      </w:r>
      <w:r w:rsidRPr="00C50F52">
        <w:rPr>
          <w:rFonts w:ascii="Times New Roman" w:hAnsi="Times New Roman" w:cs="Times New Roman"/>
          <w:noProof/>
          <w:szCs w:val="24"/>
        </w:rPr>
        <w:lastRenderedPageBreak/>
        <w:t xml:space="preserve">injury. J Trauma. 2002;53:1152–9. </w:t>
      </w:r>
    </w:p>
    <w:p w14:paraId="3F1E5FB5" w14:textId="5E0556E0"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18. </w:t>
      </w:r>
      <w:r w:rsidRPr="00C50F52">
        <w:rPr>
          <w:rFonts w:ascii="Times New Roman" w:hAnsi="Times New Roman" w:cs="Times New Roman"/>
          <w:noProof/>
          <w:szCs w:val="24"/>
        </w:rPr>
        <w:tab/>
        <w:t xml:space="preserve">Chen AY, Colantonio A. Defining neurotrauma in administrative data using the International Classification of Diseases Tenth Revision. Emerg Themes Epidemiol. 2011;8:1–13. </w:t>
      </w:r>
    </w:p>
    <w:p w14:paraId="0B4A89B5" w14:textId="0DE2A58C"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szCs w:val="24"/>
        </w:rPr>
      </w:pPr>
      <w:r w:rsidRPr="00C50F52">
        <w:rPr>
          <w:rFonts w:ascii="Times New Roman" w:hAnsi="Times New Roman" w:cs="Times New Roman"/>
          <w:noProof/>
          <w:szCs w:val="24"/>
        </w:rPr>
        <w:t xml:space="preserve">19. </w:t>
      </w:r>
      <w:r w:rsidRPr="00C50F52">
        <w:rPr>
          <w:rFonts w:ascii="Times New Roman" w:hAnsi="Times New Roman" w:cs="Times New Roman"/>
          <w:noProof/>
          <w:szCs w:val="24"/>
        </w:rPr>
        <w:tab/>
        <w:t xml:space="preserve">Grigoriadis S, Wilton AS, Kurdyak P, Rhodes AE, VonderPorten EH, Levitt A, et al. Perinatal suicide in Ontario, Canada: a 15-year population-based study. CMAJ. 2017;189:E1085-92. </w:t>
      </w:r>
    </w:p>
    <w:p w14:paraId="4591AE42" w14:textId="4AF59AFD" w:rsidR="00C50F52" w:rsidRPr="00C50F52" w:rsidRDefault="00C50F52" w:rsidP="00C50F52">
      <w:pPr>
        <w:widowControl w:val="0"/>
        <w:autoSpaceDE w:val="0"/>
        <w:autoSpaceDN w:val="0"/>
        <w:adjustRightInd w:val="0"/>
        <w:spacing w:after="0" w:line="480" w:lineRule="auto"/>
        <w:ind w:left="640" w:hanging="640"/>
        <w:rPr>
          <w:rFonts w:ascii="Times New Roman" w:hAnsi="Times New Roman" w:cs="Times New Roman"/>
          <w:noProof/>
        </w:rPr>
      </w:pPr>
      <w:r w:rsidRPr="00C50F52">
        <w:rPr>
          <w:rFonts w:ascii="Times New Roman" w:hAnsi="Times New Roman" w:cs="Times New Roman"/>
          <w:noProof/>
          <w:szCs w:val="24"/>
        </w:rPr>
        <w:t xml:space="preserve">20. </w:t>
      </w:r>
      <w:r w:rsidRPr="00C50F52">
        <w:rPr>
          <w:rFonts w:ascii="Times New Roman" w:hAnsi="Times New Roman" w:cs="Times New Roman"/>
          <w:noProof/>
          <w:szCs w:val="24"/>
        </w:rPr>
        <w:tab/>
        <w:t xml:space="preserve">Fiest KM, Jette N, Quan H, St Germaine-Smith C, Metcalfe A, Patten SB, et al. Systematic review and assessment of validated case definitions for depression in administrative data. BMC Psychiatry. 2014;14:1–11. </w:t>
      </w:r>
    </w:p>
    <w:p w14:paraId="526334B2" w14:textId="61A0DCBC" w:rsidR="00BD129A" w:rsidRPr="00AF2B46" w:rsidRDefault="00BD129A" w:rsidP="00A40D22">
      <w:pPr>
        <w:pStyle w:val="ListBullet"/>
        <w:numPr>
          <w:ilvl w:val="0"/>
          <w:numId w:val="0"/>
        </w:numPr>
        <w:spacing w:after="0" w:line="480" w:lineRule="auto"/>
        <w:rPr>
          <w:rFonts w:ascii="Times New Roman" w:hAnsi="Times New Roman" w:cs="Times New Roman"/>
          <w:lang w:val="en-US"/>
        </w:rPr>
      </w:pPr>
      <w:r w:rsidRPr="00AF2B46">
        <w:rPr>
          <w:rFonts w:ascii="Times New Roman" w:hAnsi="Times New Roman" w:cs="Times New Roman"/>
          <w:lang w:val="en-US"/>
        </w:rPr>
        <w:fldChar w:fldCharType="end"/>
      </w:r>
    </w:p>
    <w:sectPr w:rsidR="00BD129A" w:rsidRPr="00AF2B46" w:rsidSect="00933B8B">
      <w:head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90DC" w14:textId="77777777" w:rsidR="000B7C3E" w:rsidRDefault="000B7C3E" w:rsidP="001A1487">
      <w:pPr>
        <w:spacing w:after="0" w:line="240" w:lineRule="auto"/>
      </w:pPr>
      <w:r>
        <w:separator/>
      </w:r>
    </w:p>
  </w:endnote>
  <w:endnote w:type="continuationSeparator" w:id="0">
    <w:p w14:paraId="4C44E973" w14:textId="77777777" w:rsidR="000B7C3E" w:rsidRDefault="000B7C3E" w:rsidP="001A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9BEC" w14:textId="77777777" w:rsidR="000B7C3E" w:rsidRDefault="000B7C3E" w:rsidP="001A1487">
      <w:pPr>
        <w:spacing w:after="0" w:line="240" w:lineRule="auto"/>
      </w:pPr>
      <w:r>
        <w:separator/>
      </w:r>
    </w:p>
  </w:footnote>
  <w:footnote w:type="continuationSeparator" w:id="0">
    <w:p w14:paraId="7E139DD5" w14:textId="77777777" w:rsidR="000B7C3E" w:rsidRDefault="000B7C3E" w:rsidP="001A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6EFE" w14:textId="4C268C54" w:rsidR="001A1487" w:rsidRPr="00ED5F9B" w:rsidRDefault="00A435D1">
    <w:pPr>
      <w:pStyle w:val="Header"/>
      <w:rPr>
        <w:rFonts w:ascii="Times New Roman" w:hAnsi="Times New Roman" w:cs="Times New Roman"/>
        <w:noProof/>
      </w:rPr>
    </w:pPr>
    <w:r>
      <w:rPr>
        <w:rFonts w:ascii="Times New Roman" w:hAnsi="Times New Roman" w:cs="Times New Roman"/>
      </w:rPr>
      <w:t>Supplementary Appendix</w:t>
    </w:r>
    <w:r w:rsidR="001B4389">
      <w:rPr>
        <w:rFonts w:ascii="Times New Roman" w:hAnsi="Times New Roman" w:cs="Times New Roman"/>
      </w:rPr>
      <w:tab/>
    </w:r>
    <w:r w:rsidR="001B4389">
      <w:rPr>
        <w:rFonts w:ascii="Times New Roman" w:hAnsi="Times New Roman" w:cs="Times New Roman"/>
      </w:rPr>
      <w:ptab w:relativeTo="margin" w:alignment="right" w:leader="none"/>
    </w:r>
    <w:r w:rsidR="001B4389">
      <w:rPr>
        <w:rFonts w:ascii="Times New Roman" w:hAnsi="Times New Roman" w:cs="Times New Roman"/>
      </w:rPr>
      <w:t>A</w:t>
    </w:r>
    <w:r w:rsidR="00323024">
      <w:rPr>
        <w:rFonts w:ascii="Times New Roman" w:hAnsi="Times New Roman" w:cs="Times New Roman"/>
      </w:rPr>
      <w:t>NTAYA</w:t>
    </w:r>
    <w:r w:rsidR="001B4389" w:rsidRPr="001A1487">
      <w:rPr>
        <w:rFonts w:ascii="Times New Roman" w:hAnsi="Times New Roman" w:cs="Times New Roman"/>
      </w:rPr>
      <w:t xml:space="preserve"> </w:t>
    </w:r>
    <w:sdt>
      <w:sdtPr>
        <w:rPr>
          <w:rFonts w:ascii="Times New Roman" w:hAnsi="Times New Roman" w:cs="Times New Roman"/>
        </w:rPr>
        <w:id w:val="1342056625"/>
        <w:docPartObj>
          <w:docPartGallery w:val="Page Numbers (Top of Page)"/>
          <w:docPartUnique/>
        </w:docPartObj>
      </w:sdtPr>
      <w:sdtEndPr>
        <w:rPr>
          <w:noProof/>
        </w:rPr>
      </w:sdtEndPr>
      <w:sdtContent>
        <w:r w:rsidR="001A1487" w:rsidRPr="001A1487">
          <w:rPr>
            <w:rFonts w:ascii="Times New Roman" w:hAnsi="Times New Roman" w:cs="Times New Roman"/>
          </w:rPr>
          <w:fldChar w:fldCharType="begin"/>
        </w:r>
        <w:r w:rsidR="001A1487" w:rsidRPr="00452633">
          <w:rPr>
            <w:rFonts w:ascii="Times New Roman" w:hAnsi="Times New Roman" w:cs="Times New Roman"/>
          </w:rPr>
          <w:instrText xml:space="preserve"> PAGE   \* MERGEFORMAT </w:instrText>
        </w:r>
        <w:r w:rsidR="001A1487" w:rsidRPr="001A1487">
          <w:rPr>
            <w:rFonts w:ascii="Times New Roman" w:hAnsi="Times New Roman" w:cs="Times New Roman"/>
          </w:rPr>
          <w:fldChar w:fldCharType="separate"/>
        </w:r>
        <w:r w:rsidR="001A1487" w:rsidRPr="00452633">
          <w:rPr>
            <w:rFonts w:ascii="Times New Roman" w:hAnsi="Times New Roman" w:cs="Times New Roman"/>
            <w:noProof/>
          </w:rPr>
          <w:t>2</w:t>
        </w:r>
        <w:r w:rsidR="001A1487" w:rsidRPr="001A1487">
          <w:rPr>
            <w:rFonts w:ascii="Times New Roman" w:hAnsi="Times New Roman" w:cs="Times New Roman"/>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C40C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21B84"/>
    <w:multiLevelType w:val="hybridMultilevel"/>
    <w:tmpl w:val="BCC6A94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78F169F"/>
    <w:multiLevelType w:val="hybridMultilevel"/>
    <w:tmpl w:val="1AE64BC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E592499"/>
    <w:multiLevelType w:val="hybridMultilevel"/>
    <w:tmpl w:val="604820A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5C37D92"/>
    <w:multiLevelType w:val="hybridMultilevel"/>
    <w:tmpl w:val="911430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C60AC1"/>
    <w:multiLevelType w:val="hybridMultilevel"/>
    <w:tmpl w:val="30D853E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9732B6C"/>
    <w:multiLevelType w:val="hybridMultilevel"/>
    <w:tmpl w:val="20B2A58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8DC74D1"/>
    <w:multiLevelType w:val="hybridMultilevel"/>
    <w:tmpl w:val="8F789B4A"/>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OwNDAxBwITU1NzYyUdpeDU4uLM/DyQAkOTWgC3utBrLQAAAA=="/>
  </w:docVars>
  <w:rsids>
    <w:rsidRoot w:val="00E44C69"/>
    <w:rsid w:val="000002B9"/>
    <w:rsid w:val="00007B5A"/>
    <w:rsid w:val="000150B9"/>
    <w:rsid w:val="000150D6"/>
    <w:rsid w:val="000251B0"/>
    <w:rsid w:val="00026A6F"/>
    <w:rsid w:val="00027631"/>
    <w:rsid w:val="00027E2F"/>
    <w:rsid w:val="00042F61"/>
    <w:rsid w:val="000442F1"/>
    <w:rsid w:val="00047E4B"/>
    <w:rsid w:val="000511D2"/>
    <w:rsid w:val="000513FE"/>
    <w:rsid w:val="00052559"/>
    <w:rsid w:val="00055993"/>
    <w:rsid w:val="0005619B"/>
    <w:rsid w:val="000576B9"/>
    <w:rsid w:val="00066C31"/>
    <w:rsid w:val="00070193"/>
    <w:rsid w:val="000874D2"/>
    <w:rsid w:val="0009197C"/>
    <w:rsid w:val="000A2D63"/>
    <w:rsid w:val="000B09E7"/>
    <w:rsid w:val="000B1EED"/>
    <w:rsid w:val="000B3868"/>
    <w:rsid w:val="000B7C3E"/>
    <w:rsid w:val="000D0AD9"/>
    <w:rsid w:val="000D0CB7"/>
    <w:rsid w:val="000D4A13"/>
    <w:rsid w:val="000D5E14"/>
    <w:rsid w:val="000E0B1B"/>
    <w:rsid w:val="000E76F7"/>
    <w:rsid w:val="000F06F0"/>
    <w:rsid w:val="000F5260"/>
    <w:rsid w:val="000F5A0B"/>
    <w:rsid w:val="000F6B31"/>
    <w:rsid w:val="000F6E06"/>
    <w:rsid w:val="001024E0"/>
    <w:rsid w:val="00106F91"/>
    <w:rsid w:val="0011598E"/>
    <w:rsid w:val="00115D95"/>
    <w:rsid w:val="0011647D"/>
    <w:rsid w:val="0011733B"/>
    <w:rsid w:val="00117DF9"/>
    <w:rsid w:val="001200BB"/>
    <w:rsid w:val="00122DD5"/>
    <w:rsid w:val="00131E2E"/>
    <w:rsid w:val="00134C51"/>
    <w:rsid w:val="0013656B"/>
    <w:rsid w:val="001403A1"/>
    <w:rsid w:val="00143C48"/>
    <w:rsid w:val="001634BD"/>
    <w:rsid w:val="001661CF"/>
    <w:rsid w:val="0016791C"/>
    <w:rsid w:val="001834B0"/>
    <w:rsid w:val="00183C1C"/>
    <w:rsid w:val="00190CDA"/>
    <w:rsid w:val="001932D0"/>
    <w:rsid w:val="001934BC"/>
    <w:rsid w:val="001A1487"/>
    <w:rsid w:val="001A3F2E"/>
    <w:rsid w:val="001A64FB"/>
    <w:rsid w:val="001A7BCD"/>
    <w:rsid w:val="001B0EC2"/>
    <w:rsid w:val="001B4389"/>
    <w:rsid w:val="001C2299"/>
    <w:rsid w:val="001C5C0E"/>
    <w:rsid w:val="001E1B50"/>
    <w:rsid w:val="001F0F5D"/>
    <w:rsid w:val="001F1343"/>
    <w:rsid w:val="001F1831"/>
    <w:rsid w:val="001F2CD0"/>
    <w:rsid w:val="001F61F5"/>
    <w:rsid w:val="001F7060"/>
    <w:rsid w:val="001F77A1"/>
    <w:rsid w:val="00203A17"/>
    <w:rsid w:val="00205468"/>
    <w:rsid w:val="00210581"/>
    <w:rsid w:val="00210A70"/>
    <w:rsid w:val="00214D71"/>
    <w:rsid w:val="002201E1"/>
    <w:rsid w:val="00220986"/>
    <w:rsid w:val="00224481"/>
    <w:rsid w:val="002278D7"/>
    <w:rsid w:val="00232355"/>
    <w:rsid w:val="00233A20"/>
    <w:rsid w:val="00234343"/>
    <w:rsid w:val="00235AAF"/>
    <w:rsid w:val="002367FC"/>
    <w:rsid w:val="0024228F"/>
    <w:rsid w:val="00244E23"/>
    <w:rsid w:val="00250F09"/>
    <w:rsid w:val="002566DE"/>
    <w:rsid w:val="00256E4B"/>
    <w:rsid w:val="002674BA"/>
    <w:rsid w:val="0026764D"/>
    <w:rsid w:val="002701E6"/>
    <w:rsid w:val="00283840"/>
    <w:rsid w:val="002A00A0"/>
    <w:rsid w:val="002B2203"/>
    <w:rsid w:val="002B335F"/>
    <w:rsid w:val="002B6965"/>
    <w:rsid w:val="002D0153"/>
    <w:rsid w:val="002D1302"/>
    <w:rsid w:val="002D1DA9"/>
    <w:rsid w:val="002D1F8E"/>
    <w:rsid w:val="002D26BF"/>
    <w:rsid w:val="002D3D31"/>
    <w:rsid w:val="002D3ECA"/>
    <w:rsid w:val="002D4FE0"/>
    <w:rsid w:val="002E6248"/>
    <w:rsid w:val="002E7E15"/>
    <w:rsid w:val="002F0F6D"/>
    <w:rsid w:val="002F10AB"/>
    <w:rsid w:val="002F10ED"/>
    <w:rsid w:val="002F3219"/>
    <w:rsid w:val="002F484E"/>
    <w:rsid w:val="002F77B7"/>
    <w:rsid w:val="002F7838"/>
    <w:rsid w:val="0030000F"/>
    <w:rsid w:val="00301E36"/>
    <w:rsid w:val="00304589"/>
    <w:rsid w:val="00304BA1"/>
    <w:rsid w:val="00314C38"/>
    <w:rsid w:val="00320D88"/>
    <w:rsid w:val="00320F9B"/>
    <w:rsid w:val="00321995"/>
    <w:rsid w:val="00323024"/>
    <w:rsid w:val="00327337"/>
    <w:rsid w:val="00330106"/>
    <w:rsid w:val="003341A5"/>
    <w:rsid w:val="00337804"/>
    <w:rsid w:val="00340E7C"/>
    <w:rsid w:val="00344A7A"/>
    <w:rsid w:val="00345202"/>
    <w:rsid w:val="00350C6D"/>
    <w:rsid w:val="0036008C"/>
    <w:rsid w:val="00363F52"/>
    <w:rsid w:val="00371BCB"/>
    <w:rsid w:val="0037459C"/>
    <w:rsid w:val="003749D7"/>
    <w:rsid w:val="00375D27"/>
    <w:rsid w:val="003768E7"/>
    <w:rsid w:val="0038646A"/>
    <w:rsid w:val="00387CBE"/>
    <w:rsid w:val="00390FFE"/>
    <w:rsid w:val="00395C51"/>
    <w:rsid w:val="003A1134"/>
    <w:rsid w:val="003A62A3"/>
    <w:rsid w:val="003B2F45"/>
    <w:rsid w:val="003B3B29"/>
    <w:rsid w:val="003B561C"/>
    <w:rsid w:val="003C11A9"/>
    <w:rsid w:val="003D484B"/>
    <w:rsid w:val="003D494A"/>
    <w:rsid w:val="003D4974"/>
    <w:rsid w:val="003D7996"/>
    <w:rsid w:val="003F4CE3"/>
    <w:rsid w:val="003F5F57"/>
    <w:rsid w:val="003F7B0D"/>
    <w:rsid w:val="003F7CF8"/>
    <w:rsid w:val="0040318D"/>
    <w:rsid w:val="004106B1"/>
    <w:rsid w:val="00412723"/>
    <w:rsid w:val="00420A5F"/>
    <w:rsid w:val="0042343F"/>
    <w:rsid w:val="004243C8"/>
    <w:rsid w:val="00427113"/>
    <w:rsid w:val="0043167F"/>
    <w:rsid w:val="004358E8"/>
    <w:rsid w:val="004429A6"/>
    <w:rsid w:val="00450998"/>
    <w:rsid w:val="004522A6"/>
    <w:rsid w:val="00452633"/>
    <w:rsid w:val="00453594"/>
    <w:rsid w:val="0046006F"/>
    <w:rsid w:val="00462C07"/>
    <w:rsid w:val="00470162"/>
    <w:rsid w:val="004719BF"/>
    <w:rsid w:val="00480956"/>
    <w:rsid w:val="004829DA"/>
    <w:rsid w:val="00484EC7"/>
    <w:rsid w:val="00490275"/>
    <w:rsid w:val="00490915"/>
    <w:rsid w:val="004910AE"/>
    <w:rsid w:val="00491D04"/>
    <w:rsid w:val="00493B02"/>
    <w:rsid w:val="004A3532"/>
    <w:rsid w:val="004A47DD"/>
    <w:rsid w:val="004A4874"/>
    <w:rsid w:val="004A5214"/>
    <w:rsid w:val="004B7449"/>
    <w:rsid w:val="004B761B"/>
    <w:rsid w:val="004C4832"/>
    <w:rsid w:val="004D34F3"/>
    <w:rsid w:val="004D5646"/>
    <w:rsid w:val="004E0A45"/>
    <w:rsid w:val="004E4DD1"/>
    <w:rsid w:val="004E5041"/>
    <w:rsid w:val="004F2802"/>
    <w:rsid w:val="004F5B6C"/>
    <w:rsid w:val="00501DDC"/>
    <w:rsid w:val="005069B9"/>
    <w:rsid w:val="00512724"/>
    <w:rsid w:val="00514CB5"/>
    <w:rsid w:val="00526AC2"/>
    <w:rsid w:val="00527CE2"/>
    <w:rsid w:val="00532A43"/>
    <w:rsid w:val="00533E46"/>
    <w:rsid w:val="00540890"/>
    <w:rsid w:val="005451E5"/>
    <w:rsid w:val="00551061"/>
    <w:rsid w:val="005620DE"/>
    <w:rsid w:val="005707D0"/>
    <w:rsid w:val="005714E5"/>
    <w:rsid w:val="005730C4"/>
    <w:rsid w:val="00583B56"/>
    <w:rsid w:val="005850D4"/>
    <w:rsid w:val="00591C5A"/>
    <w:rsid w:val="005A342F"/>
    <w:rsid w:val="005A4095"/>
    <w:rsid w:val="005B1665"/>
    <w:rsid w:val="005B26A0"/>
    <w:rsid w:val="005B3227"/>
    <w:rsid w:val="005B3887"/>
    <w:rsid w:val="005B4E3A"/>
    <w:rsid w:val="005C345C"/>
    <w:rsid w:val="005C4CAE"/>
    <w:rsid w:val="005C65C9"/>
    <w:rsid w:val="005C716D"/>
    <w:rsid w:val="005D0F18"/>
    <w:rsid w:val="005D3EB3"/>
    <w:rsid w:val="005E032B"/>
    <w:rsid w:val="005E22AD"/>
    <w:rsid w:val="005E3A8F"/>
    <w:rsid w:val="005E758C"/>
    <w:rsid w:val="005F4612"/>
    <w:rsid w:val="00601AC7"/>
    <w:rsid w:val="00602C68"/>
    <w:rsid w:val="006032FB"/>
    <w:rsid w:val="00603516"/>
    <w:rsid w:val="00603D1E"/>
    <w:rsid w:val="006064A9"/>
    <w:rsid w:val="0061055D"/>
    <w:rsid w:val="0061447F"/>
    <w:rsid w:val="00614507"/>
    <w:rsid w:val="006146DC"/>
    <w:rsid w:val="00616D9F"/>
    <w:rsid w:val="00620574"/>
    <w:rsid w:val="00623C60"/>
    <w:rsid w:val="006276D6"/>
    <w:rsid w:val="00634E90"/>
    <w:rsid w:val="00654014"/>
    <w:rsid w:val="0065451F"/>
    <w:rsid w:val="00666F85"/>
    <w:rsid w:val="00666FCA"/>
    <w:rsid w:val="00673217"/>
    <w:rsid w:val="00674155"/>
    <w:rsid w:val="00682BBB"/>
    <w:rsid w:val="00691149"/>
    <w:rsid w:val="00693869"/>
    <w:rsid w:val="006954A6"/>
    <w:rsid w:val="006973A5"/>
    <w:rsid w:val="006A754F"/>
    <w:rsid w:val="006B052F"/>
    <w:rsid w:val="006B2681"/>
    <w:rsid w:val="006B2814"/>
    <w:rsid w:val="006B5786"/>
    <w:rsid w:val="006C08C9"/>
    <w:rsid w:val="006C1D68"/>
    <w:rsid w:val="006C288F"/>
    <w:rsid w:val="006C3770"/>
    <w:rsid w:val="006D0255"/>
    <w:rsid w:val="006D1F0A"/>
    <w:rsid w:val="006D2387"/>
    <w:rsid w:val="006D636D"/>
    <w:rsid w:val="006D7699"/>
    <w:rsid w:val="006E39C1"/>
    <w:rsid w:val="006E45A8"/>
    <w:rsid w:val="006F268E"/>
    <w:rsid w:val="006F2995"/>
    <w:rsid w:val="006F53EF"/>
    <w:rsid w:val="006F771A"/>
    <w:rsid w:val="007036F1"/>
    <w:rsid w:val="007054FF"/>
    <w:rsid w:val="0071324F"/>
    <w:rsid w:val="007156A0"/>
    <w:rsid w:val="00715D73"/>
    <w:rsid w:val="007173EE"/>
    <w:rsid w:val="00723C45"/>
    <w:rsid w:val="0072523A"/>
    <w:rsid w:val="00725A60"/>
    <w:rsid w:val="007343EC"/>
    <w:rsid w:val="007347AE"/>
    <w:rsid w:val="00734E89"/>
    <w:rsid w:val="007350FC"/>
    <w:rsid w:val="007361E7"/>
    <w:rsid w:val="00737A42"/>
    <w:rsid w:val="007444A5"/>
    <w:rsid w:val="00753F75"/>
    <w:rsid w:val="00754281"/>
    <w:rsid w:val="00755AC2"/>
    <w:rsid w:val="00756E03"/>
    <w:rsid w:val="00764787"/>
    <w:rsid w:val="00766A1A"/>
    <w:rsid w:val="00770718"/>
    <w:rsid w:val="0077343F"/>
    <w:rsid w:val="0077526A"/>
    <w:rsid w:val="00783852"/>
    <w:rsid w:val="00783A78"/>
    <w:rsid w:val="007900B4"/>
    <w:rsid w:val="00794367"/>
    <w:rsid w:val="007A46E9"/>
    <w:rsid w:val="007A6F05"/>
    <w:rsid w:val="007C3FCC"/>
    <w:rsid w:val="007C5EA4"/>
    <w:rsid w:val="007C646B"/>
    <w:rsid w:val="007C6932"/>
    <w:rsid w:val="007C745C"/>
    <w:rsid w:val="007E4D57"/>
    <w:rsid w:val="007E55CC"/>
    <w:rsid w:val="007E73DC"/>
    <w:rsid w:val="007E7C90"/>
    <w:rsid w:val="008056C8"/>
    <w:rsid w:val="00806128"/>
    <w:rsid w:val="0080662D"/>
    <w:rsid w:val="008143D2"/>
    <w:rsid w:val="00817C68"/>
    <w:rsid w:val="00820343"/>
    <w:rsid w:val="00821EC9"/>
    <w:rsid w:val="008260E7"/>
    <w:rsid w:val="00827305"/>
    <w:rsid w:val="00827857"/>
    <w:rsid w:val="0083506A"/>
    <w:rsid w:val="00837C29"/>
    <w:rsid w:val="00840175"/>
    <w:rsid w:val="00843F2B"/>
    <w:rsid w:val="00844707"/>
    <w:rsid w:val="00845260"/>
    <w:rsid w:val="00847E7A"/>
    <w:rsid w:val="008540AF"/>
    <w:rsid w:val="00862102"/>
    <w:rsid w:val="00865AF9"/>
    <w:rsid w:val="00867180"/>
    <w:rsid w:val="00870FFE"/>
    <w:rsid w:val="00872568"/>
    <w:rsid w:val="00873803"/>
    <w:rsid w:val="00876309"/>
    <w:rsid w:val="00881CBC"/>
    <w:rsid w:val="00885CFD"/>
    <w:rsid w:val="00885D8C"/>
    <w:rsid w:val="0089167B"/>
    <w:rsid w:val="00897D31"/>
    <w:rsid w:val="008A1130"/>
    <w:rsid w:val="008A22C4"/>
    <w:rsid w:val="008B0826"/>
    <w:rsid w:val="008B477B"/>
    <w:rsid w:val="008B7193"/>
    <w:rsid w:val="008C3842"/>
    <w:rsid w:val="008C438A"/>
    <w:rsid w:val="008C563B"/>
    <w:rsid w:val="008D0142"/>
    <w:rsid w:val="008D1824"/>
    <w:rsid w:val="008D1ABD"/>
    <w:rsid w:val="008D1C99"/>
    <w:rsid w:val="008D659C"/>
    <w:rsid w:val="008E03AF"/>
    <w:rsid w:val="008E2642"/>
    <w:rsid w:val="008E48EF"/>
    <w:rsid w:val="008E591C"/>
    <w:rsid w:val="008E71AE"/>
    <w:rsid w:val="008F1F9E"/>
    <w:rsid w:val="008F7C82"/>
    <w:rsid w:val="00900751"/>
    <w:rsid w:val="00904038"/>
    <w:rsid w:val="009042B4"/>
    <w:rsid w:val="00907F5D"/>
    <w:rsid w:val="00913797"/>
    <w:rsid w:val="0092301A"/>
    <w:rsid w:val="009339E3"/>
    <w:rsid w:val="00933B8B"/>
    <w:rsid w:val="00934DC1"/>
    <w:rsid w:val="009369DD"/>
    <w:rsid w:val="00940587"/>
    <w:rsid w:val="00941FA9"/>
    <w:rsid w:val="00942F5F"/>
    <w:rsid w:val="00944F69"/>
    <w:rsid w:val="00947DB5"/>
    <w:rsid w:val="00952ED4"/>
    <w:rsid w:val="00952FC5"/>
    <w:rsid w:val="00955AFC"/>
    <w:rsid w:val="00964518"/>
    <w:rsid w:val="009679F5"/>
    <w:rsid w:val="00971542"/>
    <w:rsid w:val="009715EA"/>
    <w:rsid w:val="00971DA2"/>
    <w:rsid w:val="009801EE"/>
    <w:rsid w:val="00987EFE"/>
    <w:rsid w:val="009906E4"/>
    <w:rsid w:val="0099109D"/>
    <w:rsid w:val="00991DC2"/>
    <w:rsid w:val="00993879"/>
    <w:rsid w:val="00993CE7"/>
    <w:rsid w:val="0099537C"/>
    <w:rsid w:val="00997E63"/>
    <w:rsid w:val="009A1861"/>
    <w:rsid w:val="009B5467"/>
    <w:rsid w:val="009B59D1"/>
    <w:rsid w:val="009B5E6C"/>
    <w:rsid w:val="009B71C4"/>
    <w:rsid w:val="009B7808"/>
    <w:rsid w:val="009C0501"/>
    <w:rsid w:val="009C71C9"/>
    <w:rsid w:val="009C79FB"/>
    <w:rsid w:val="009D0D98"/>
    <w:rsid w:val="009D235E"/>
    <w:rsid w:val="009D57F2"/>
    <w:rsid w:val="009E0878"/>
    <w:rsid w:val="009E1544"/>
    <w:rsid w:val="009E400F"/>
    <w:rsid w:val="009E6489"/>
    <w:rsid w:val="009E6F5C"/>
    <w:rsid w:val="009F0926"/>
    <w:rsid w:val="009F288A"/>
    <w:rsid w:val="009F29AF"/>
    <w:rsid w:val="009F75EC"/>
    <w:rsid w:val="00A00FF3"/>
    <w:rsid w:val="00A019F9"/>
    <w:rsid w:val="00A03E18"/>
    <w:rsid w:val="00A10AA1"/>
    <w:rsid w:val="00A16691"/>
    <w:rsid w:val="00A3277A"/>
    <w:rsid w:val="00A341EA"/>
    <w:rsid w:val="00A35DB6"/>
    <w:rsid w:val="00A403E2"/>
    <w:rsid w:val="00A40D22"/>
    <w:rsid w:val="00A41D86"/>
    <w:rsid w:val="00A435D1"/>
    <w:rsid w:val="00A440C3"/>
    <w:rsid w:val="00A447C0"/>
    <w:rsid w:val="00A45DD9"/>
    <w:rsid w:val="00A518A2"/>
    <w:rsid w:val="00A53FB1"/>
    <w:rsid w:val="00A63260"/>
    <w:rsid w:val="00A63E43"/>
    <w:rsid w:val="00A6416A"/>
    <w:rsid w:val="00A646B8"/>
    <w:rsid w:val="00A7063D"/>
    <w:rsid w:val="00A70945"/>
    <w:rsid w:val="00A718FB"/>
    <w:rsid w:val="00A75E68"/>
    <w:rsid w:val="00A82102"/>
    <w:rsid w:val="00A857E9"/>
    <w:rsid w:val="00A863B3"/>
    <w:rsid w:val="00A92CB4"/>
    <w:rsid w:val="00AA4722"/>
    <w:rsid w:val="00AA7FE2"/>
    <w:rsid w:val="00AC3966"/>
    <w:rsid w:val="00AC63D1"/>
    <w:rsid w:val="00AC676A"/>
    <w:rsid w:val="00AC6A8F"/>
    <w:rsid w:val="00AD1F7F"/>
    <w:rsid w:val="00AD3AD1"/>
    <w:rsid w:val="00AD3E54"/>
    <w:rsid w:val="00AD6FDB"/>
    <w:rsid w:val="00AE28B2"/>
    <w:rsid w:val="00AE5244"/>
    <w:rsid w:val="00AF11FD"/>
    <w:rsid w:val="00AF202C"/>
    <w:rsid w:val="00AF2B46"/>
    <w:rsid w:val="00AF3940"/>
    <w:rsid w:val="00B02602"/>
    <w:rsid w:val="00B069DC"/>
    <w:rsid w:val="00B0779E"/>
    <w:rsid w:val="00B10A37"/>
    <w:rsid w:val="00B1255E"/>
    <w:rsid w:val="00B15FFA"/>
    <w:rsid w:val="00B171DC"/>
    <w:rsid w:val="00B32168"/>
    <w:rsid w:val="00B32F0B"/>
    <w:rsid w:val="00B3664D"/>
    <w:rsid w:val="00B442F2"/>
    <w:rsid w:val="00B45BA9"/>
    <w:rsid w:val="00B549F9"/>
    <w:rsid w:val="00B62919"/>
    <w:rsid w:val="00B63DC7"/>
    <w:rsid w:val="00B6411F"/>
    <w:rsid w:val="00B66C75"/>
    <w:rsid w:val="00B70CA3"/>
    <w:rsid w:val="00B710D1"/>
    <w:rsid w:val="00B72950"/>
    <w:rsid w:val="00B767BA"/>
    <w:rsid w:val="00B93136"/>
    <w:rsid w:val="00B959FA"/>
    <w:rsid w:val="00BA5DCB"/>
    <w:rsid w:val="00BB30AD"/>
    <w:rsid w:val="00BB65B3"/>
    <w:rsid w:val="00BB6804"/>
    <w:rsid w:val="00BC0811"/>
    <w:rsid w:val="00BC3E4A"/>
    <w:rsid w:val="00BC7E0C"/>
    <w:rsid w:val="00BD129A"/>
    <w:rsid w:val="00BD20B3"/>
    <w:rsid w:val="00BD654C"/>
    <w:rsid w:val="00BE0F3B"/>
    <w:rsid w:val="00BE35AF"/>
    <w:rsid w:val="00BE3643"/>
    <w:rsid w:val="00BE70C3"/>
    <w:rsid w:val="00BF0F45"/>
    <w:rsid w:val="00BF6BAE"/>
    <w:rsid w:val="00BF79C9"/>
    <w:rsid w:val="00C01332"/>
    <w:rsid w:val="00C01422"/>
    <w:rsid w:val="00C01F5B"/>
    <w:rsid w:val="00C03BDE"/>
    <w:rsid w:val="00C10115"/>
    <w:rsid w:val="00C1328E"/>
    <w:rsid w:val="00C210D6"/>
    <w:rsid w:val="00C2761A"/>
    <w:rsid w:val="00C27F83"/>
    <w:rsid w:val="00C456E9"/>
    <w:rsid w:val="00C469EE"/>
    <w:rsid w:val="00C50D69"/>
    <w:rsid w:val="00C50F52"/>
    <w:rsid w:val="00C61A04"/>
    <w:rsid w:val="00C6265A"/>
    <w:rsid w:val="00C65C5F"/>
    <w:rsid w:val="00C669A6"/>
    <w:rsid w:val="00C735AE"/>
    <w:rsid w:val="00C74516"/>
    <w:rsid w:val="00C76BC1"/>
    <w:rsid w:val="00C90C18"/>
    <w:rsid w:val="00C9158C"/>
    <w:rsid w:val="00C93B79"/>
    <w:rsid w:val="00C95EF3"/>
    <w:rsid w:val="00C96165"/>
    <w:rsid w:val="00CA1630"/>
    <w:rsid w:val="00CB5859"/>
    <w:rsid w:val="00CC0D17"/>
    <w:rsid w:val="00CC2241"/>
    <w:rsid w:val="00CC559C"/>
    <w:rsid w:val="00CC63B5"/>
    <w:rsid w:val="00CD01A6"/>
    <w:rsid w:val="00CD5BE1"/>
    <w:rsid w:val="00CE1517"/>
    <w:rsid w:val="00CE3579"/>
    <w:rsid w:val="00CE5B23"/>
    <w:rsid w:val="00CF303A"/>
    <w:rsid w:val="00CF4D0B"/>
    <w:rsid w:val="00CF4F81"/>
    <w:rsid w:val="00D03196"/>
    <w:rsid w:val="00D05179"/>
    <w:rsid w:val="00D21F6D"/>
    <w:rsid w:val="00D24223"/>
    <w:rsid w:val="00D400B8"/>
    <w:rsid w:val="00D448D2"/>
    <w:rsid w:val="00D456C5"/>
    <w:rsid w:val="00D47138"/>
    <w:rsid w:val="00D55CAA"/>
    <w:rsid w:val="00D6688E"/>
    <w:rsid w:val="00D81D82"/>
    <w:rsid w:val="00D85112"/>
    <w:rsid w:val="00D85D45"/>
    <w:rsid w:val="00D91513"/>
    <w:rsid w:val="00D91906"/>
    <w:rsid w:val="00DB407B"/>
    <w:rsid w:val="00DC17D8"/>
    <w:rsid w:val="00DC6BA5"/>
    <w:rsid w:val="00DD3283"/>
    <w:rsid w:val="00DD5E62"/>
    <w:rsid w:val="00DE1289"/>
    <w:rsid w:val="00DE28FD"/>
    <w:rsid w:val="00DE3AFE"/>
    <w:rsid w:val="00DE7834"/>
    <w:rsid w:val="00DF2FF9"/>
    <w:rsid w:val="00E22199"/>
    <w:rsid w:val="00E25AF4"/>
    <w:rsid w:val="00E26DE2"/>
    <w:rsid w:val="00E32902"/>
    <w:rsid w:val="00E32BB2"/>
    <w:rsid w:val="00E33A4E"/>
    <w:rsid w:val="00E36BD7"/>
    <w:rsid w:val="00E36D35"/>
    <w:rsid w:val="00E37C93"/>
    <w:rsid w:val="00E41B47"/>
    <w:rsid w:val="00E44C69"/>
    <w:rsid w:val="00E74D2B"/>
    <w:rsid w:val="00E751C4"/>
    <w:rsid w:val="00E7591E"/>
    <w:rsid w:val="00E75BED"/>
    <w:rsid w:val="00E76B43"/>
    <w:rsid w:val="00E80979"/>
    <w:rsid w:val="00E83753"/>
    <w:rsid w:val="00E851CA"/>
    <w:rsid w:val="00E867F6"/>
    <w:rsid w:val="00E87B86"/>
    <w:rsid w:val="00E906A0"/>
    <w:rsid w:val="00E91B33"/>
    <w:rsid w:val="00E94ECD"/>
    <w:rsid w:val="00E96FCD"/>
    <w:rsid w:val="00EA1E46"/>
    <w:rsid w:val="00EA3EED"/>
    <w:rsid w:val="00EA4442"/>
    <w:rsid w:val="00EB3041"/>
    <w:rsid w:val="00EB503B"/>
    <w:rsid w:val="00EC0DDC"/>
    <w:rsid w:val="00EC6CB6"/>
    <w:rsid w:val="00ED3414"/>
    <w:rsid w:val="00ED3E01"/>
    <w:rsid w:val="00ED5F9B"/>
    <w:rsid w:val="00EE0547"/>
    <w:rsid w:val="00EE2C29"/>
    <w:rsid w:val="00EE4340"/>
    <w:rsid w:val="00EE66D3"/>
    <w:rsid w:val="00EE68F1"/>
    <w:rsid w:val="00EF1881"/>
    <w:rsid w:val="00EF55D9"/>
    <w:rsid w:val="00F04196"/>
    <w:rsid w:val="00F06EAC"/>
    <w:rsid w:val="00F1604B"/>
    <w:rsid w:val="00F2116C"/>
    <w:rsid w:val="00F21C0D"/>
    <w:rsid w:val="00F25421"/>
    <w:rsid w:val="00F25B90"/>
    <w:rsid w:val="00F25F4F"/>
    <w:rsid w:val="00F27718"/>
    <w:rsid w:val="00F31AB4"/>
    <w:rsid w:val="00F32543"/>
    <w:rsid w:val="00F37472"/>
    <w:rsid w:val="00F400FD"/>
    <w:rsid w:val="00F502E9"/>
    <w:rsid w:val="00F55F4D"/>
    <w:rsid w:val="00F57DD0"/>
    <w:rsid w:val="00F60702"/>
    <w:rsid w:val="00F667E3"/>
    <w:rsid w:val="00F80358"/>
    <w:rsid w:val="00F841FF"/>
    <w:rsid w:val="00F874F3"/>
    <w:rsid w:val="00F96161"/>
    <w:rsid w:val="00FA518A"/>
    <w:rsid w:val="00FC4DAC"/>
    <w:rsid w:val="00FD3735"/>
    <w:rsid w:val="00FD75CB"/>
    <w:rsid w:val="00FD76C7"/>
    <w:rsid w:val="00FE7821"/>
    <w:rsid w:val="00FF2478"/>
    <w:rsid w:val="00FF7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213B2"/>
  <w15:chartTrackingRefBased/>
  <w15:docId w15:val="{6EBF7FBA-3678-444A-A46B-13DF5448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A37"/>
    <w:rPr>
      <w:sz w:val="16"/>
      <w:szCs w:val="16"/>
    </w:rPr>
  </w:style>
  <w:style w:type="paragraph" w:styleId="CommentText">
    <w:name w:val="annotation text"/>
    <w:basedOn w:val="Normal"/>
    <w:link w:val="CommentTextChar"/>
    <w:uiPriority w:val="99"/>
    <w:semiHidden/>
    <w:unhideWhenUsed/>
    <w:rsid w:val="00B10A37"/>
    <w:pPr>
      <w:spacing w:line="240" w:lineRule="auto"/>
    </w:pPr>
    <w:rPr>
      <w:sz w:val="20"/>
      <w:szCs w:val="20"/>
    </w:rPr>
  </w:style>
  <w:style w:type="character" w:customStyle="1" w:styleId="CommentTextChar">
    <w:name w:val="Comment Text Char"/>
    <w:basedOn w:val="DefaultParagraphFont"/>
    <w:link w:val="CommentText"/>
    <w:uiPriority w:val="99"/>
    <w:semiHidden/>
    <w:rsid w:val="00B10A37"/>
    <w:rPr>
      <w:sz w:val="20"/>
      <w:szCs w:val="20"/>
    </w:rPr>
  </w:style>
  <w:style w:type="paragraph" w:styleId="BalloonText">
    <w:name w:val="Balloon Text"/>
    <w:basedOn w:val="Normal"/>
    <w:link w:val="BalloonTextChar"/>
    <w:uiPriority w:val="99"/>
    <w:semiHidden/>
    <w:unhideWhenUsed/>
    <w:rsid w:val="00B10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37"/>
    <w:rPr>
      <w:rFonts w:ascii="Segoe UI" w:hAnsi="Segoe UI" w:cs="Segoe UI"/>
      <w:sz w:val="18"/>
      <w:szCs w:val="18"/>
    </w:rPr>
  </w:style>
  <w:style w:type="paragraph" w:styleId="ListBullet">
    <w:name w:val="List Bullet"/>
    <w:basedOn w:val="Normal"/>
    <w:uiPriority w:val="99"/>
    <w:unhideWhenUsed/>
    <w:rsid w:val="00AF11FD"/>
    <w:pPr>
      <w:numPr>
        <w:numId w:val="1"/>
      </w:numPr>
      <w:contextualSpacing/>
    </w:pPr>
  </w:style>
  <w:style w:type="paragraph" w:styleId="CommentSubject">
    <w:name w:val="annotation subject"/>
    <w:basedOn w:val="CommentText"/>
    <w:next w:val="CommentText"/>
    <w:link w:val="CommentSubjectChar"/>
    <w:uiPriority w:val="99"/>
    <w:semiHidden/>
    <w:unhideWhenUsed/>
    <w:rsid w:val="004522A6"/>
    <w:rPr>
      <w:b/>
      <w:bCs/>
    </w:rPr>
  </w:style>
  <w:style w:type="character" w:customStyle="1" w:styleId="CommentSubjectChar">
    <w:name w:val="Comment Subject Char"/>
    <w:basedOn w:val="CommentTextChar"/>
    <w:link w:val="CommentSubject"/>
    <w:uiPriority w:val="99"/>
    <w:semiHidden/>
    <w:rsid w:val="004522A6"/>
    <w:rPr>
      <w:b/>
      <w:bCs/>
      <w:sz w:val="20"/>
      <w:szCs w:val="20"/>
    </w:rPr>
  </w:style>
  <w:style w:type="table" w:customStyle="1" w:styleId="TableGrid1">
    <w:name w:val="Table Grid1"/>
    <w:basedOn w:val="TableNormal"/>
    <w:next w:val="TableGrid"/>
    <w:uiPriority w:val="39"/>
    <w:rsid w:val="006B268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050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87"/>
  </w:style>
  <w:style w:type="paragraph" w:styleId="Footer">
    <w:name w:val="footer"/>
    <w:basedOn w:val="Normal"/>
    <w:link w:val="FooterChar"/>
    <w:uiPriority w:val="99"/>
    <w:unhideWhenUsed/>
    <w:rsid w:val="001A1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87"/>
  </w:style>
  <w:style w:type="paragraph" w:styleId="ListParagraph">
    <w:name w:val="List Paragraph"/>
    <w:basedOn w:val="Normal"/>
    <w:uiPriority w:val="34"/>
    <w:qFormat/>
    <w:rsid w:val="00A440C3"/>
    <w:pPr>
      <w:ind w:left="720"/>
      <w:contextualSpacing/>
    </w:pPr>
  </w:style>
  <w:style w:type="paragraph" w:styleId="Revision">
    <w:name w:val="Revision"/>
    <w:hidden/>
    <w:uiPriority w:val="99"/>
    <w:semiHidden/>
    <w:rsid w:val="00967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7687">
      <w:bodyDiv w:val="1"/>
      <w:marLeft w:val="0"/>
      <w:marRight w:val="0"/>
      <w:marTop w:val="0"/>
      <w:marBottom w:val="0"/>
      <w:divBdr>
        <w:top w:val="none" w:sz="0" w:space="0" w:color="auto"/>
        <w:left w:val="none" w:sz="0" w:space="0" w:color="auto"/>
        <w:bottom w:val="none" w:sz="0" w:space="0" w:color="auto"/>
        <w:right w:val="none" w:sz="0" w:space="0" w:color="auto"/>
      </w:divBdr>
    </w:div>
    <w:div w:id="550194959">
      <w:bodyDiv w:val="1"/>
      <w:marLeft w:val="0"/>
      <w:marRight w:val="0"/>
      <w:marTop w:val="0"/>
      <w:marBottom w:val="0"/>
      <w:divBdr>
        <w:top w:val="none" w:sz="0" w:space="0" w:color="auto"/>
        <w:left w:val="none" w:sz="0" w:space="0" w:color="auto"/>
        <w:bottom w:val="none" w:sz="0" w:space="0" w:color="auto"/>
        <w:right w:val="none" w:sz="0" w:space="0" w:color="auto"/>
      </w:divBdr>
    </w:div>
    <w:div w:id="796223172">
      <w:bodyDiv w:val="1"/>
      <w:marLeft w:val="0"/>
      <w:marRight w:val="0"/>
      <w:marTop w:val="0"/>
      <w:marBottom w:val="0"/>
      <w:divBdr>
        <w:top w:val="none" w:sz="0" w:space="0" w:color="auto"/>
        <w:left w:val="none" w:sz="0" w:space="0" w:color="auto"/>
        <w:bottom w:val="none" w:sz="0" w:space="0" w:color="auto"/>
        <w:right w:val="none" w:sz="0" w:space="0" w:color="auto"/>
      </w:divBdr>
    </w:div>
    <w:div w:id="1183471772">
      <w:bodyDiv w:val="1"/>
      <w:marLeft w:val="0"/>
      <w:marRight w:val="0"/>
      <w:marTop w:val="0"/>
      <w:marBottom w:val="0"/>
      <w:divBdr>
        <w:top w:val="none" w:sz="0" w:space="0" w:color="auto"/>
        <w:left w:val="none" w:sz="0" w:space="0" w:color="auto"/>
        <w:bottom w:val="none" w:sz="0" w:space="0" w:color="auto"/>
        <w:right w:val="none" w:sz="0" w:space="0" w:color="auto"/>
      </w:divBdr>
    </w:div>
    <w:div w:id="1442988404">
      <w:bodyDiv w:val="1"/>
      <w:marLeft w:val="0"/>
      <w:marRight w:val="0"/>
      <w:marTop w:val="0"/>
      <w:marBottom w:val="0"/>
      <w:divBdr>
        <w:top w:val="none" w:sz="0" w:space="0" w:color="auto"/>
        <w:left w:val="none" w:sz="0" w:space="0" w:color="auto"/>
        <w:bottom w:val="none" w:sz="0" w:space="0" w:color="auto"/>
        <w:right w:val="none" w:sz="0" w:space="0" w:color="auto"/>
      </w:divBdr>
    </w:div>
    <w:div w:id="1836143122">
      <w:bodyDiv w:val="1"/>
      <w:marLeft w:val="0"/>
      <w:marRight w:val="0"/>
      <w:marTop w:val="0"/>
      <w:marBottom w:val="0"/>
      <w:divBdr>
        <w:top w:val="none" w:sz="0" w:space="0" w:color="auto"/>
        <w:left w:val="none" w:sz="0" w:space="0" w:color="auto"/>
        <w:bottom w:val="none" w:sz="0" w:space="0" w:color="auto"/>
        <w:right w:val="none" w:sz="0" w:space="0" w:color="auto"/>
      </w:divBdr>
    </w:div>
    <w:div w:id="19575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7e237d-0e03-4983-8143-e8808f5eaa28">
      <Terms xmlns="http://schemas.microsoft.com/office/infopath/2007/PartnerControls"/>
    </lcf76f155ced4ddcb4097134ff3c332f>
    <TaxCatchAll xmlns="50da71a4-74d1-4dca-aa4f-07d8771416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380778999AA419883819F553FC8BC" ma:contentTypeVersion="15" ma:contentTypeDescription="Create a new document." ma:contentTypeScope="" ma:versionID="369f106bf98b65c4120e57724ee1097d">
  <xsd:schema xmlns:xsd="http://www.w3.org/2001/XMLSchema" xmlns:xs="http://www.w3.org/2001/XMLSchema" xmlns:p="http://schemas.microsoft.com/office/2006/metadata/properties" xmlns:ns2="3e7e237d-0e03-4983-8143-e8808f5eaa28" xmlns:ns3="50da71a4-74d1-4dca-aa4f-07d87714163d" targetNamespace="http://schemas.microsoft.com/office/2006/metadata/properties" ma:root="true" ma:fieldsID="718d8dd86054e1f4ddbe526407d013ad" ns2:_="" ns3:_="">
    <xsd:import namespace="3e7e237d-0e03-4983-8143-e8808f5eaa28"/>
    <xsd:import namespace="50da71a4-74d1-4dca-aa4f-07d8771416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e237d-0e03-4983-8143-e8808f5ea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06f274-7af8-4e05-8564-eff9e2e21b1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a71a4-74d1-4dca-aa4f-07d8771416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8c2b46-831a-40e9-94a3-c6daef9f9fdc}" ma:internalName="TaxCatchAll" ma:showField="CatchAllData" ma:web="50da71a4-74d1-4dca-aa4f-07d8771416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EE3B-1941-4B47-99BA-E7BBB29C65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95A5A-51FC-4EF3-963C-CF2FDEB084C1}"/>
</file>

<file path=customXml/itemProps3.xml><?xml version="1.0" encoding="utf-8"?>
<ds:datastoreItem xmlns:ds="http://schemas.openxmlformats.org/officeDocument/2006/customXml" ds:itemID="{9B87468C-2941-464F-826D-8B47EDFF2F2F}">
  <ds:schemaRefs>
    <ds:schemaRef ds:uri="http://schemas.microsoft.com/sharepoint/v3/contenttype/forms"/>
  </ds:schemaRefs>
</ds:datastoreItem>
</file>

<file path=customXml/itemProps4.xml><?xml version="1.0" encoding="utf-8"?>
<ds:datastoreItem xmlns:ds="http://schemas.openxmlformats.org/officeDocument/2006/customXml" ds:itemID="{BEDD1270-9016-4CD7-B8E5-3310348F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11439</Words>
  <Characters>65208</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Qureshi</dc:creator>
  <cp:keywords/>
  <dc:description/>
  <cp:lastModifiedBy>Tresah Clara Marie Antaya</cp:lastModifiedBy>
  <cp:revision>21</cp:revision>
  <dcterms:created xsi:type="dcterms:W3CDTF">2022-06-14T21:39:00Z</dcterms:created>
  <dcterms:modified xsi:type="dcterms:W3CDTF">2022-07-06T16:46:00Z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0x0101001D3380778999AA419883819F553FC8BC</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http://www.zotero.org/styles/annals-of-neurology</vt:lpwstr>
  </property>
  <property fmtid="{D5CDD505-2E9C-101B-9397-08002B2CF9AE}" pid="6" name="Mendeley Recent Style Name 1_1">
    <vt:lpwstr>Annals of Neurology</vt:lpwstr>
  </property>
  <property fmtid="{D5CDD505-2E9C-101B-9397-08002B2CF9AE}" pid="7" name="Mendeley Recent Style Id 2_1">
    <vt:lpwstr>http://www.zotero.org/styles/epilepsia</vt:lpwstr>
  </property>
  <property fmtid="{D5CDD505-2E9C-101B-9397-08002B2CF9AE}" pid="8" name="Mendeley Recent Style Name 2_1">
    <vt:lpwstr>Epilepsia</vt:lpwstr>
  </property>
  <property fmtid="{D5CDD505-2E9C-101B-9397-08002B2CF9AE}" pid="9" name="Mendeley Recent Style Id 3_1">
    <vt:lpwstr>http://www.zotero.org/styles/jama</vt:lpwstr>
  </property>
  <property fmtid="{D5CDD505-2E9C-101B-9397-08002B2CF9AE}" pid="10" name="Mendeley Recent Style Name 3_1">
    <vt:lpwstr>JAMA (The Journal of the American Medical Association)</vt:lpwstr>
  </property>
  <property fmtid="{D5CDD505-2E9C-101B-9397-08002B2CF9AE}" pid="11" name="Mendeley Recent Style Id 4_1">
    <vt:lpwstr>http://www.zotero.org/styles/journal-of-neurology-neurosurgery-and-psychiatry</vt:lpwstr>
  </property>
  <property fmtid="{D5CDD505-2E9C-101B-9397-08002B2CF9AE}" pid="12" name="Mendeley Recent Style Name 4_1">
    <vt:lpwstr>Journal of Neurology, Neurosurgery, and Psychiatry</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http://www.zotero.org/styles/national-library-of-medicine</vt:lpwstr>
  </property>
  <property fmtid="{D5CDD505-2E9C-101B-9397-08002B2CF9AE}" pid="18" name="Mendeley Recent Style Name 7_1">
    <vt:lpwstr>National Library of Medicine</vt:lpwstr>
  </property>
  <property fmtid="{D5CDD505-2E9C-101B-9397-08002B2CF9AE}" pid="19" name="Mendeley Recent Style Id 8_1">
    <vt:lpwstr>http://www.zotero.org/styles/neurology</vt:lpwstr>
  </property>
  <property fmtid="{D5CDD505-2E9C-101B-9397-08002B2CF9AE}" pid="20" name="Mendeley Recent Style Name 8_1">
    <vt:lpwstr>Neurology</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58504cc3-29f2-313f-936a-b186b0277df9</vt:lpwstr>
  </property>
  <property fmtid="{D5CDD505-2E9C-101B-9397-08002B2CF9AE}" pid="25" name="Mendeley Citation Style_1">
    <vt:lpwstr>http://www.zotero.org/styles/national-library-of-medicine</vt:lpwstr>
  </property>
</Properties>
</file>