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FD63" w14:textId="70B5D37B" w:rsidR="001975BE" w:rsidRPr="00484C00" w:rsidRDefault="00AF03C1" w:rsidP="00AF03C1">
      <w:pPr>
        <w:jc w:val="center"/>
        <w:rPr>
          <w:rFonts w:ascii="Times New Roman" w:hAnsi="Times New Roman" w:cs="Times New Roman"/>
          <w:b/>
          <w:bCs/>
          <w:u w:val="single"/>
        </w:rPr>
      </w:pPr>
      <w:r w:rsidRPr="00484C00">
        <w:rPr>
          <w:rFonts w:ascii="Times New Roman" w:hAnsi="Times New Roman" w:cs="Times New Roman"/>
          <w:b/>
          <w:bCs/>
          <w:u w:val="single"/>
        </w:rPr>
        <w:t>Supplemental Materials</w:t>
      </w:r>
    </w:p>
    <w:p w14:paraId="1FCBEFBA" w14:textId="77777777" w:rsidR="00505F98" w:rsidRPr="00484C00" w:rsidRDefault="00505F98">
      <w:pPr>
        <w:rPr>
          <w:rFonts w:ascii="Times New Roman" w:hAnsi="Times New Roman" w:cs="Times New Roman"/>
        </w:rPr>
      </w:pPr>
    </w:p>
    <w:p w14:paraId="2B7A2B8B" w14:textId="2031EBC5" w:rsidR="00AF03C1" w:rsidRPr="00484C00" w:rsidRDefault="00AF03C1">
      <w:pPr>
        <w:rPr>
          <w:rFonts w:ascii="Times New Roman" w:hAnsi="Times New Roman" w:cs="Times New Roman"/>
        </w:rPr>
      </w:pPr>
      <w:r w:rsidRPr="00484C00">
        <w:rPr>
          <w:rFonts w:ascii="Times New Roman" w:hAnsi="Times New Roman" w:cs="Times New Roman"/>
        </w:rPr>
        <w:t xml:space="preserve">Number of Tables: </w:t>
      </w:r>
      <w:r w:rsidR="00F93FBF" w:rsidRPr="00484C00">
        <w:rPr>
          <w:rFonts w:ascii="Times New Roman" w:hAnsi="Times New Roman" w:cs="Times New Roman"/>
        </w:rPr>
        <w:t>6</w:t>
      </w:r>
    </w:p>
    <w:p w14:paraId="29FBA604" w14:textId="361CB6CE" w:rsidR="00AF03C1" w:rsidRPr="00484C00" w:rsidRDefault="00AF03C1">
      <w:pPr>
        <w:rPr>
          <w:rFonts w:ascii="Times New Roman" w:hAnsi="Times New Roman" w:cs="Times New Roman"/>
        </w:rPr>
      </w:pPr>
    </w:p>
    <w:p w14:paraId="069DBE07" w14:textId="5D64B2F6" w:rsidR="00AF03C1" w:rsidRPr="00484C00" w:rsidRDefault="00AF03C1">
      <w:pPr>
        <w:rPr>
          <w:rFonts w:ascii="Times New Roman" w:hAnsi="Times New Roman" w:cs="Times New Roman"/>
        </w:rPr>
      </w:pPr>
      <w:r w:rsidRPr="00484C00">
        <w:rPr>
          <w:rFonts w:ascii="Times New Roman" w:hAnsi="Times New Roman" w:cs="Times New Roman"/>
        </w:rPr>
        <w:t xml:space="preserve">Number of Figures: </w:t>
      </w:r>
      <w:r w:rsidR="00BD28A3" w:rsidRPr="00484C00">
        <w:rPr>
          <w:rFonts w:ascii="Times New Roman" w:hAnsi="Times New Roman" w:cs="Times New Roman"/>
        </w:rPr>
        <w:t>2</w:t>
      </w:r>
    </w:p>
    <w:p w14:paraId="41A2613A" w14:textId="0D78BE8C" w:rsidR="00AF03C1" w:rsidRPr="00484C00" w:rsidRDefault="00AF03C1">
      <w:pPr>
        <w:rPr>
          <w:rFonts w:ascii="Times New Roman" w:hAnsi="Times New Roman" w:cs="Times New Roman"/>
        </w:rPr>
      </w:pPr>
    </w:p>
    <w:p w14:paraId="6C32B77B" w14:textId="5CAE5B55" w:rsidR="006D7C3C" w:rsidRPr="00484C00" w:rsidRDefault="006D7C3C">
      <w:pPr>
        <w:rPr>
          <w:rFonts w:ascii="Times New Roman" w:hAnsi="Times New Roman" w:cs="Times New Roman"/>
        </w:rPr>
      </w:pPr>
      <w:r w:rsidRPr="00484C00">
        <w:rPr>
          <w:rFonts w:ascii="Times New Roman" w:hAnsi="Times New Roman" w:cs="Times New Roman"/>
        </w:rPr>
        <w:br w:type="page"/>
      </w:r>
    </w:p>
    <w:p w14:paraId="5D96CA22" w14:textId="4EB6C088" w:rsidR="0043413F" w:rsidRPr="00484C00" w:rsidRDefault="0043413F" w:rsidP="00ED25D6">
      <w:pPr>
        <w:rPr>
          <w:rFonts w:ascii="Times New Roman" w:hAnsi="Times New Roman" w:cs="Times New Roman"/>
          <w:b/>
          <w:bCs/>
        </w:rPr>
      </w:pPr>
      <w:r w:rsidRPr="00484C00">
        <w:rPr>
          <w:rFonts w:ascii="Times New Roman" w:hAnsi="Times New Roman" w:cs="Times New Roman"/>
          <w:b/>
          <w:bCs/>
        </w:rPr>
        <w:lastRenderedPageBreak/>
        <w:t xml:space="preserve">TABLES </w:t>
      </w:r>
    </w:p>
    <w:p w14:paraId="2384FEC1" w14:textId="77777777" w:rsidR="0043413F" w:rsidRPr="00484C00" w:rsidRDefault="0043413F" w:rsidP="00ED25D6">
      <w:pPr>
        <w:rPr>
          <w:rFonts w:ascii="Times New Roman" w:hAnsi="Times New Roman" w:cs="Times New Roman"/>
        </w:rPr>
      </w:pPr>
    </w:p>
    <w:p w14:paraId="57363D9A" w14:textId="2CF567AB" w:rsidR="006D7C3C" w:rsidRPr="00484C00" w:rsidRDefault="006D7C3C" w:rsidP="00ED25D6">
      <w:pPr>
        <w:rPr>
          <w:rFonts w:ascii="Times New Roman" w:hAnsi="Times New Roman" w:cs="Times New Roman"/>
        </w:rPr>
      </w:pPr>
      <w:r w:rsidRPr="00484C00">
        <w:rPr>
          <w:rFonts w:ascii="Times New Roman" w:hAnsi="Times New Roman" w:cs="Times New Roman"/>
          <w:u w:val="single"/>
        </w:rPr>
        <w:t>Supplemental Materials Table-1</w:t>
      </w:r>
      <w:r w:rsidRPr="00484C00">
        <w:rPr>
          <w:rFonts w:ascii="Times New Roman" w:hAnsi="Times New Roman" w:cs="Times New Roman"/>
        </w:rPr>
        <w:t>: Number of Canadian adult neurology programs or non-neurology programs applied to per medical student during the 2020-2021 match cycle.</w:t>
      </w:r>
    </w:p>
    <w:tbl>
      <w:tblPr>
        <w:tblStyle w:val="TableGrid"/>
        <w:tblW w:w="0" w:type="auto"/>
        <w:tblLook w:val="04A0" w:firstRow="1" w:lastRow="0" w:firstColumn="1" w:lastColumn="0" w:noHBand="0" w:noVBand="1"/>
      </w:tblPr>
      <w:tblGrid>
        <w:gridCol w:w="3116"/>
        <w:gridCol w:w="3117"/>
        <w:gridCol w:w="3117"/>
      </w:tblGrid>
      <w:tr w:rsidR="006D7C3C" w:rsidRPr="00484C00" w14:paraId="78228C67" w14:textId="77777777" w:rsidTr="00555BB8">
        <w:tc>
          <w:tcPr>
            <w:tcW w:w="3116" w:type="dxa"/>
          </w:tcPr>
          <w:p w14:paraId="595E0BFE" w14:textId="7BED1F22" w:rsidR="006D7C3C" w:rsidRPr="00484C00" w:rsidRDefault="006D7C3C" w:rsidP="00555BB8">
            <w:pPr>
              <w:rPr>
                <w:rFonts w:ascii="Times New Roman" w:hAnsi="Times New Roman" w:cs="Times New Roman"/>
                <w:b/>
                <w:bCs/>
              </w:rPr>
            </w:pPr>
            <w:r w:rsidRPr="00484C00">
              <w:rPr>
                <w:rFonts w:ascii="Times New Roman" w:hAnsi="Times New Roman" w:cs="Times New Roman"/>
                <w:b/>
                <w:bCs/>
              </w:rPr>
              <w:t>Number of programs per person</w:t>
            </w:r>
          </w:p>
          <w:p w14:paraId="4FC7718B" w14:textId="4D97F34F" w:rsidR="006D7C3C" w:rsidRPr="00484C00" w:rsidRDefault="006D7C3C" w:rsidP="00555BB8">
            <w:pPr>
              <w:rPr>
                <w:rFonts w:ascii="Times New Roman" w:hAnsi="Times New Roman" w:cs="Times New Roman"/>
                <w:b/>
                <w:bCs/>
              </w:rPr>
            </w:pPr>
          </w:p>
        </w:tc>
        <w:tc>
          <w:tcPr>
            <w:tcW w:w="3117" w:type="dxa"/>
          </w:tcPr>
          <w:p w14:paraId="315BC9B9" w14:textId="77777777" w:rsidR="006D7C3C" w:rsidRPr="00484C00" w:rsidRDefault="006D7C3C" w:rsidP="00555BB8">
            <w:pPr>
              <w:rPr>
                <w:rFonts w:ascii="Times New Roman" w:hAnsi="Times New Roman" w:cs="Times New Roman"/>
                <w:b/>
                <w:bCs/>
              </w:rPr>
            </w:pPr>
            <w:r w:rsidRPr="00484C00">
              <w:rPr>
                <w:rFonts w:ascii="Times New Roman" w:hAnsi="Times New Roman" w:cs="Times New Roman"/>
                <w:b/>
                <w:bCs/>
              </w:rPr>
              <w:t xml:space="preserve">Non-neurology programs </w:t>
            </w:r>
          </w:p>
        </w:tc>
        <w:tc>
          <w:tcPr>
            <w:tcW w:w="3117" w:type="dxa"/>
          </w:tcPr>
          <w:p w14:paraId="29568B16" w14:textId="77777777" w:rsidR="006D7C3C" w:rsidRPr="00484C00" w:rsidRDefault="006D7C3C" w:rsidP="00555BB8">
            <w:pPr>
              <w:rPr>
                <w:rFonts w:ascii="Times New Roman" w:hAnsi="Times New Roman" w:cs="Times New Roman"/>
                <w:b/>
                <w:bCs/>
              </w:rPr>
            </w:pPr>
            <w:r w:rsidRPr="00484C00">
              <w:rPr>
                <w:rFonts w:ascii="Times New Roman" w:hAnsi="Times New Roman" w:cs="Times New Roman"/>
                <w:b/>
                <w:bCs/>
              </w:rPr>
              <w:t>Adult neurology programs</w:t>
            </w:r>
          </w:p>
        </w:tc>
      </w:tr>
      <w:tr w:rsidR="006D7C3C" w:rsidRPr="00484C00" w14:paraId="313C5173" w14:textId="77777777" w:rsidTr="00555BB8">
        <w:tc>
          <w:tcPr>
            <w:tcW w:w="3116" w:type="dxa"/>
          </w:tcPr>
          <w:p w14:paraId="60713B3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0-1</w:t>
            </w:r>
          </w:p>
        </w:tc>
        <w:tc>
          <w:tcPr>
            <w:tcW w:w="3117" w:type="dxa"/>
          </w:tcPr>
          <w:p w14:paraId="72F960C1"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7/31 (22.6%)</w:t>
            </w:r>
          </w:p>
        </w:tc>
        <w:tc>
          <w:tcPr>
            <w:tcW w:w="3117" w:type="dxa"/>
          </w:tcPr>
          <w:p w14:paraId="6401B9A8"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2/31 (6.5%)</w:t>
            </w:r>
          </w:p>
        </w:tc>
      </w:tr>
      <w:tr w:rsidR="006D7C3C" w:rsidRPr="00484C00" w14:paraId="56ED12E6" w14:textId="77777777" w:rsidTr="00555BB8">
        <w:tc>
          <w:tcPr>
            <w:tcW w:w="3116" w:type="dxa"/>
          </w:tcPr>
          <w:p w14:paraId="720D866F"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3-5</w:t>
            </w:r>
          </w:p>
        </w:tc>
        <w:tc>
          <w:tcPr>
            <w:tcW w:w="3117" w:type="dxa"/>
          </w:tcPr>
          <w:p w14:paraId="0BEB527A"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11/31 (35.5%)</w:t>
            </w:r>
          </w:p>
        </w:tc>
        <w:tc>
          <w:tcPr>
            <w:tcW w:w="3117" w:type="dxa"/>
          </w:tcPr>
          <w:p w14:paraId="5DC7D96D"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2/31 (6.5%)</w:t>
            </w:r>
          </w:p>
        </w:tc>
      </w:tr>
      <w:tr w:rsidR="006D7C3C" w:rsidRPr="00484C00" w14:paraId="39E05C5A" w14:textId="77777777" w:rsidTr="00555BB8">
        <w:tc>
          <w:tcPr>
            <w:tcW w:w="3116" w:type="dxa"/>
          </w:tcPr>
          <w:p w14:paraId="5FFAD56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6-8</w:t>
            </w:r>
          </w:p>
        </w:tc>
        <w:tc>
          <w:tcPr>
            <w:tcW w:w="3117" w:type="dxa"/>
          </w:tcPr>
          <w:p w14:paraId="34D98DB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6/31 (19.4%)</w:t>
            </w:r>
          </w:p>
        </w:tc>
        <w:tc>
          <w:tcPr>
            <w:tcW w:w="3117" w:type="dxa"/>
          </w:tcPr>
          <w:p w14:paraId="191E48ED"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3/31 (9.7%)</w:t>
            </w:r>
          </w:p>
        </w:tc>
      </w:tr>
      <w:tr w:rsidR="006D7C3C" w:rsidRPr="00484C00" w14:paraId="0DD80D96" w14:textId="77777777" w:rsidTr="00555BB8">
        <w:tc>
          <w:tcPr>
            <w:tcW w:w="3116" w:type="dxa"/>
          </w:tcPr>
          <w:p w14:paraId="6F43C1A2"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9-11</w:t>
            </w:r>
          </w:p>
        </w:tc>
        <w:tc>
          <w:tcPr>
            <w:tcW w:w="3117" w:type="dxa"/>
          </w:tcPr>
          <w:p w14:paraId="156854FF"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2/31 (6.5%)</w:t>
            </w:r>
          </w:p>
        </w:tc>
        <w:tc>
          <w:tcPr>
            <w:tcW w:w="3117" w:type="dxa"/>
          </w:tcPr>
          <w:p w14:paraId="5E9178E7"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13/31 (41.9%)</w:t>
            </w:r>
          </w:p>
        </w:tc>
      </w:tr>
      <w:tr w:rsidR="006D7C3C" w:rsidRPr="00484C00" w14:paraId="2517D462" w14:textId="77777777" w:rsidTr="00555BB8">
        <w:tc>
          <w:tcPr>
            <w:tcW w:w="3116" w:type="dxa"/>
          </w:tcPr>
          <w:p w14:paraId="348DFAE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12 or more</w:t>
            </w:r>
          </w:p>
        </w:tc>
        <w:tc>
          <w:tcPr>
            <w:tcW w:w="3117" w:type="dxa"/>
          </w:tcPr>
          <w:p w14:paraId="45DF275D"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5/31 (16.1%)</w:t>
            </w:r>
          </w:p>
        </w:tc>
        <w:tc>
          <w:tcPr>
            <w:tcW w:w="3117" w:type="dxa"/>
          </w:tcPr>
          <w:p w14:paraId="1CF60483"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11/31 (35.5%)</w:t>
            </w:r>
          </w:p>
        </w:tc>
      </w:tr>
    </w:tbl>
    <w:p w14:paraId="27D86A9C" w14:textId="45789C2A" w:rsidR="006D7C3C" w:rsidRPr="00484C00" w:rsidRDefault="006D7C3C" w:rsidP="006D7C3C">
      <w:pPr>
        <w:spacing w:line="480" w:lineRule="auto"/>
        <w:rPr>
          <w:rFonts w:ascii="Times New Roman" w:hAnsi="Times New Roman" w:cs="Times New Roman"/>
        </w:rPr>
      </w:pPr>
    </w:p>
    <w:p w14:paraId="545B6AE1" w14:textId="77777777" w:rsidR="00D41DDB" w:rsidRPr="00484C00" w:rsidRDefault="00D41DDB">
      <w:pPr>
        <w:rPr>
          <w:rFonts w:ascii="Times New Roman" w:hAnsi="Times New Roman" w:cs="Times New Roman"/>
        </w:rPr>
      </w:pPr>
      <w:r w:rsidRPr="00484C00">
        <w:rPr>
          <w:rFonts w:ascii="Times New Roman" w:hAnsi="Times New Roman" w:cs="Times New Roman"/>
        </w:rPr>
        <w:br w:type="page"/>
      </w:r>
    </w:p>
    <w:p w14:paraId="3CECD1DA" w14:textId="4811223D" w:rsidR="006D7C3C" w:rsidRPr="00484C00" w:rsidRDefault="006D7C3C" w:rsidP="00ED25D6">
      <w:pPr>
        <w:rPr>
          <w:rFonts w:ascii="Times New Roman" w:hAnsi="Times New Roman" w:cs="Times New Roman"/>
        </w:rPr>
      </w:pPr>
      <w:r w:rsidRPr="00484C00">
        <w:rPr>
          <w:rFonts w:ascii="Times New Roman" w:hAnsi="Times New Roman" w:cs="Times New Roman"/>
          <w:u w:val="single"/>
        </w:rPr>
        <w:lastRenderedPageBreak/>
        <w:t>Supplemental Materials Table-2:</w:t>
      </w:r>
      <w:r w:rsidRPr="00484C00">
        <w:rPr>
          <w:rFonts w:ascii="Times New Roman" w:hAnsi="Times New Roman" w:cs="Times New Roman"/>
        </w:rPr>
        <w:t xml:space="preserve"> Number of Canadian pediatric neurology programs applied to per medical student during the 2020-2021 match cycle.</w:t>
      </w:r>
    </w:p>
    <w:tbl>
      <w:tblPr>
        <w:tblStyle w:val="TableGrid"/>
        <w:tblW w:w="0" w:type="auto"/>
        <w:tblLook w:val="04A0" w:firstRow="1" w:lastRow="0" w:firstColumn="1" w:lastColumn="0" w:noHBand="0" w:noVBand="1"/>
      </w:tblPr>
      <w:tblGrid>
        <w:gridCol w:w="3821"/>
        <w:gridCol w:w="3822"/>
      </w:tblGrid>
      <w:tr w:rsidR="006D7C3C" w:rsidRPr="00484C00" w14:paraId="1FED72BE" w14:textId="77777777" w:rsidTr="006D7C3C">
        <w:trPr>
          <w:trHeight w:val="680"/>
        </w:trPr>
        <w:tc>
          <w:tcPr>
            <w:tcW w:w="3821" w:type="dxa"/>
          </w:tcPr>
          <w:p w14:paraId="0D9D5693" w14:textId="1D48DE4C" w:rsidR="006D7C3C" w:rsidRPr="00484C00" w:rsidRDefault="006D7C3C" w:rsidP="006D7C3C">
            <w:pPr>
              <w:rPr>
                <w:rFonts w:ascii="Times New Roman" w:hAnsi="Times New Roman" w:cs="Times New Roman"/>
                <w:b/>
                <w:bCs/>
              </w:rPr>
            </w:pPr>
            <w:r w:rsidRPr="00484C00">
              <w:rPr>
                <w:rFonts w:ascii="Times New Roman" w:hAnsi="Times New Roman" w:cs="Times New Roman"/>
                <w:b/>
                <w:bCs/>
              </w:rPr>
              <w:t>Number of programs per person</w:t>
            </w:r>
          </w:p>
        </w:tc>
        <w:tc>
          <w:tcPr>
            <w:tcW w:w="3822" w:type="dxa"/>
          </w:tcPr>
          <w:p w14:paraId="680EEED6" w14:textId="77777777" w:rsidR="006D7C3C" w:rsidRPr="00484C00" w:rsidRDefault="006D7C3C" w:rsidP="006D7C3C">
            <w:pPr>
              <w:rPr>
                <w:rFonts w:ascii="Times New Roman" w:hAnsi="Times New Roman" w:cs="Times New Roman"/>
                <w:b/>
                <w:bCs/>
              </w:rPr>
            </w:pPr>
            <w:r w:rsidRPr="00484C00">
              <w:rPr>
                <w:rFonts w:ascii="Times New Roman" w:hAnsi="Times New Roman" w:cs="Times New Roman"/>
                <w:b/>
                <w:bCs/>
              </w:rPr>
              <w:t>Pediatric neurology programs</w:t>
            </w:r>
          </w:p>
        </w:tc>
      </w:tr>
      <w:tr w:rsidR="006D7C3C" w:rsidRPr="00484C00" w14:paraId="471F4A18" w14:textId="77777777" w:rsidTr="006D7C3C">
        <w:trPr>
          <w:trHeight w:val="356"/>
        </w:trPr>
        <w:tc>
          <w:tcPr>
            <w:tcW w:w="3821" w:type="dxa"/>
          </w:tcPr>
          <w:p w14:paraId="7357A52F"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0-1</w:t>
            </w:r>
          </w:p>
        </w:tc>
        <w:tc>
          <w:tcPr>
            <w:tcW w:w="3822" w:type="dxa"/>
          </w:tcPr>
          <w:p w14:paraId="0468E4D4"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26/31 (83.9%)</w:t>
            </w:r>
          </w:p>
        </w:tc>
      </w:tr>
      <w:tr w:rsidR="006D7C3C" w:rsidRPr="00484C00" w14:paraId="37DC2393" w14:textId="77777777" w:rsidTr="006D7C3C">
        <w:trPr>
          <w:trHeight w:val="340"/>
        </w:trPr>
        <w:tc>
          <w:tcPr>
            <w:tcW w:w="3821" w:type="dxa"/>
          </w:tcPr>
          <w:p w14:paraId="166A539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2-3</w:t>
            </w:r>
          </w:p>
        </w:tc>
        <w:tc>
          <w:tcPr>
            <w:tcW w:w="3822" w:type="dxa"/>
          </w:tcPr>
          <w:p w14:paraId="0815654E"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1/31 (3.2%)</w:t>
            </w:r>
          </w:p>
        </w:tc>
      </w:tr>
      <w:tr w:rsidR="006D7C3C" w:rsidRPr="00484C00" w14:paraId="4EE5DB9B" w14:textId="77777777" w:rsidTr="006D7C3C">
        <w:trPr>
          <w:trHeight w:val="340"/>
        </w:trPr>
        <w:tc>
          <w:tcPr>
            <w:tcW w:w="3821" w:type="dxa"/>
          </w:tcPr>
          <w:p w14:paraId="134D87C3"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4-5</w:t>
            </w:r>
          </w:p>
        </w:tc>
        <w:tc>
          <w:tcPr>
            <w:tcW w:w="3822" w:type="dxa"/>
          </w:tcPr>
          <w:p w14:paraId="205DF0A6"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1/31 (3.2%)</w:t>
            </w:r>
          </w:p>
        </w:tc>
      </w:tr>
      <w:tr w:rsidR="006D7C3C" w:rsidRPr="00484C00" w14:paraId="3841EEFD" w14:textId="77777777" w:rsidTr="006D7C3C">
        <w:trPr>
          <w:trHeight w:val="340"/>
        </w:trPr>
        <w:tc>
          <w:tcPr>
            <w:tcW w:w="3821" w:type="dxa"/>
          </w:tcPr>
          <w:p w14:paraId="6326B833"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6-7</w:t>
            </w:r>
          </w:p>
        </w:tc>
        <w:tc>
          <w:tcPr>
            <w:tcW w:w="3822" w:type="dxa"/>
          </w:tcPr>
          <w:p w14:paraId="5F757622" w14:textId="77777777" w:rsidR="006D7C3C" w:rsidRPr="00484C00" w:rsidRDefault="006D7C3C" w:rsidP="00555BB8">
            <w:pPr>
              <w:rPr>
                <w:rFonts w:ascii="Times New Roman" w:hAnsi="Times New Roman" w:cs="Times New Roman"/>
              </w:rPr>
            </w:pPr>
            <w:r w:rsidRPr="00484C00">
              <w:rPr>
                <w:rFonts w:ascii="Times New Roman" w:hAnsi="Times New Roman" w:cs="Times New Roman"/>
              </w:rPr>
              <w:t xml:space="preserve">3/31 (9.7%) </w:t>
            </w:r>
          </w:p>
        </w:tc>
      </w:tr>
    </w:tbl>
    <w:p w14:paraId="3F0BD43F" w14:textId="2ED8FA34" w:rsidR="006D7C3C" w:rsidRPr="00484C00" w:rsidRDefault="006D7C3C" w:rsidP="006D7C3C">
      <w:pPr>
        <w:spacing w:line="480" w:lineRule="auto"/>
        <w:rPr>
          <w:rFonts w:ascii="Times New Roman" w:hAnsi="Times New Roman" w:cs="Times New Roman"/>
        </w:rPr>
      </w:pPr>
    </w:p>
    <w:p w14:paraId="1164189E" w14:textId="77777777" w:rsidR="00D41DDB" w:rsidRPr="00484C00" w:rsidRDefault="00D41DDB">
      <w:pPr>
        <w:rPr>
          <w:rFonts w:ascii="Times New Roman" w:hAnsi="Times New Roman" w:cs="Times New Roman"/>
        </w:rPr>
      </w:pPr>
      <w:r w:rsidRPr="00484C00">
        <w:rPr>
          <w:rFonts w:ascii="Times New Roman" w:hAnsi="Times New Roman" w:cs="Times New Roman"/>
        </w:rPr>
        <w:br w:type="page"/>
      </w:r>
    </w:p>
    <w:p w14:paraId="61B24915" w14:textId="150C3BF0" w:rsidR="00750FAE" w:rsidRPr="00484C00" w:rsidRDefault="00750FAE" w:rsidP="00750FAE">
      <w:pPr>
        <w:rPr>
          <w:rFonts w:ascii="Times New Roman" w:hAnsi="Times New Roman" w:cs="Times New Roman"/>
        </w:rPr>
      </w:pPr>
      <w:r w:rsidRPr="00484C00">
        <w:rPr>
          <w:rFonts w:ascii="Times New Roman" w:hAnsi="Times New Roman" w:cs="Times New Roman"/>
          <w:u w:val="single"/>
        </w:rPr>
        <w:lastRenderedPageBreak/>
        <w:t>Supplemental Materials Table-3</w:t>
      </w:r>
      <w:r w:rsidRPr="00484C00">
        <w:rPr>
          <w:rFonts w:ascii="Times New Roman" w:hAnsi="Times New Roman" w:cs="Times New Roman"/>
        </w:rPr>
        <w:t xml:space="preserve">: Average ranking scores of pre-interview modalities </w:t>
      </w:r>
      <w:r w:rsidR="00D05A8D" w:rsidRPr="00484C00">
        <w:rPr>
          <w:rFonts w:ascii="Times New Roman" w:hAnsi="Times New Roman" w:cs="Times New Roman"/>
        </w:rPr>
        <w:t xml:space="preserve">compared to each other </w:t>
      </w:r>
      <w:r w:rsidRPr="00484C00">
        <w:rPr>
          <w:rFonts w:ascii="Times New Roman" w:hAnsi="Times New Roman" w:cs="Times New Roman"/>
        </w:rPr>
        <w:t xml:space="preserve">after conversion to percentage scale (1-100). Evaluation of each intervention is presented as the mean </w:t>
      </w:r>
      <w:r w:rsidRPr="00484C00">
        <w:rPr>
          <w:rFonts w:ascii="Times New Roman" w:hAnsi="Times New Roman" w:cs="Times New Roman"/>
        </w:rPr>
        <w:sym w:font="Symbol" w:char="F0B1"/>
      </w:r>
      <w:r w:rsidRPr="00484C00">
        <w:rPr>
          <w:rFonts w:ascii="Times New Roman" w:hAnsi="Times New Roman" w:cs="Times New Roman"/>
        </w:rPr>
        <w:t xml:space="preserve"> standard deviation. </w:t>
      </w:r>
    </w:p>
    <w:tbl>
      <w:tblPr>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1685"/>
        <w:gridCol w:w="1685"/>
      </w:tblGrid>
      <w:tr w:rsidR="00750FAE" w:rsidRPr="00484C00" w14:paraId="1A07347E" w14:textId="77777777" w:rsidTr="0077125E">
        <w:trPr>
          <w:trHeight w:val="436"/>
        </w:trPr>
        <w:tc>
          <w:tcPr>
            <w:tcW w:w="3954" w:type="dxa"/>
            <w:shd w:val="clear" w:color="auto" w:fill="auto"/>
            <w:noWrap/>
            <w:vAlign w:val="bottom"/>
            <w:hideMark/>
          </w:tcPr>
          <w:p w14:paraId="146B6466" w14:textId="77777777" w:rsidR="00750FAE" w:rsidRPr="00484C00" w:rsidRDefault="00750FAE" w:rsidP="00750FAE">
            <w:pPr>
              <w:rPr>
                <w:rFonts w:ascii="Times New Roman" w:eastAsia="Times New Roman" w:hAnsi="Times New Roman" w:cs="Times New Roman"/>
                <w:lang w:val="en-CA"/>
              </w:rPr>
            </w:pPr>
          </w:p>
        </w:tc>
        <w:tc>
          <w:tcPr>
            <w:tcW w:w="1685" w:type="dxa"/>
            <w:shd w:val="clear" w:color="auto" w:fill="auto"/>
            <w:noWrap/>
            <w:vAlign w:val="bottom"/>
            <w:hideMark/>
          </w:tcPr>
          <w:p w14:paraId="76F747D6" w14:textId="19E12E6B" w:rsidR="00750FAE" w:rsidRPr="00484C00" w:rsidRDefault="00750FAE" w:rsidP="00532D27">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Medical Students</w:t>
            </w:r>
          </w:p>
        </w:tc>
        <w:tc>
          <w:tcPr>
            <w:tcW w:w="1685" w:type="dxa"/>
            <w:shd w:val="clear" w:color="auto" w:fill="auto"/>
            <w:noWrap/>
            <w:vAlign w:val="bottom"/>
            <w:hideMark/>
          </w:tcPr>
          <w:p w14:paraId="078BD215" w14:textId="1FF56A9C" w:rsidR="00750FAE" w:rsidRPr="00484C00" w:rsidRDefault="00750FAE" w:rsidP="00532D27">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Residency Programs</w:t>
            </w:r>
          </w:p>
        </w:tc>
      </w:tr>
      <w:tr w:rsidR="00750FAE" w:rsidRPr="00484C00" w14:paraId="39EB0259" w14:textId="77777777" w:rsidTr="0077125E">
        <w:trPr>
          <w:trHeight w:val="436"/>
        </w:trPr>
        <w:tc>
          <w:tcPr>
            <w:tcW w:w="3954" w:type="dxa"/>
            <w:shd w:val="clear" w:color="auto" w:fill="auto"/>
            <w:noWrap/>
            <w:vAlign w:val="bottom"/>
            <w:hideMark/>
          </w:tcPr>
          <w:p w14:paraId="2175767B"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Social Media</w:t>
            </w:r>
          </w:p>
        </w:tc>
        <w:tc>
          <w:tcPr>
            <w:tcW w:w="1685" w:type="dxa"/>
            <w:shd w:val="clear" w:color="auto" w:fill="auto"/>
            <w:noWrap/>
            <w:vAlign w:val="bottom"/>
          </w:tcPr>
          <w:p w14:paraId="324F02B5" w14:textId="37DF6740"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62.9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26.3</w:t>
            </w:r>
          </w:p>
        </w:tc>
        <w:tc>
          <w:tcPr>
            <w:tcW w:w="1685" w:type="dxa"/>
            <w:shd w:val="clear" w:color="auto" w:fill="auto"/>
            <w:noWrap/>
            <w:vAlign w:val="bottom"/>
          </w:tcPr>
          <w:p w14:paraId="1C27B22C" w14:textId="01DFA80F" w:rsidR="00750FAE" w:rsidRPr="00484C00" w:rsidRDefault="00A62CDF"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63.8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27.4</w:t>
            </w:r>
          </w:p>
        </w:tc>
      </w:tr>
      <w:tr w:rsidR="00750FAE" w:rsidRPr="00484C00" w14:paraId="5FB9E180" w14:textId="77777777" w:rsidTr="0077125E">
        <w:trPr>
          <w:trHeight w:val="436"/>
        </w:trPr>
        <w:tc>
          <w:tcPr>
            <w:tcW w:w="3954" w:type="dxa"/>
            <w:shd w:val="clear" w:color="auto" w:fill="auto"/>
            <w:noWrap/>
            <w:vAlign w:val="bottom"/>
            <w:hideMark/>
          </w:tcPr>
          <w:p w14:paraId="07C5EB4C"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Web-based Platforms</w:t>
            </w:r>
          </w:p>
        </w:tc>
        <w:tc>
          <w:tcPr>
            <w:tcW w:w="1685" w:type="dxa"/>
            <w:shd w:val="clear" w:color="auto" w:fill="auto"/>
            <w:noWrap/>
            <w:vAlign w:val="bottom"/>
          </w:tcPr>
          <w:p w14:paraId="4EE089B7" w14:textId="4A3AAFB9"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60.1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27.5</w:t>
            </w:r>
          </w:p>
        </w:tc>
        <w:tc>
          <w:tcPr>
            <w:tcW w:w="1685" w:type="dxa"/>
            <w:shd w:val="clear" w:color="auto" w:fill="auto"/>
            <w:noWrap/>
            <w:vAlign w:val="bottom"/>
          </w:tcPr>
          <w:p w14:paraId="171019C9" w14:textId="18713DBF" w:rsidR="00750FAE" w:rsidRPr="00484C00" w:rsidRDefault="00527DFB"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57.4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27.6</w:t>
            </w:r>
          </w:p>
        </w:tc>
      </w:tr>
      <w:tr w:rsidR="00750FAE" w:rsidRPr="00484C00" w14:paraId="185DF8CF" w14:textId="77777777" w:rsidTr="0077125E">
        <w:trPr>
          <w:trHeight w:val="436"/>
        </w:trPr>
        <w:tc>
          <w:tcPr>
            <w:tcW w:w="3954" w:type="dxa"/>
            <w:shd w:val="clear" w:color="auto" w:fill="auto"/>
            <w:noWrap/>
            <w:vAlign w:val="bottom"/>
            <w:hideMark/>
          </w:tcPr>
          <w:p w14:paraId="790CCF27"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Small Group Information Sessions</w:t>
            </w:r>
          </w:p>
        </w:tc>
        <w:tc>
          <w:tcPr>
            <w:tcW w:w="1685" w:type="dxa"/>
            <w:shd w:val="clear" w:color="auto" w:fill="auto"/>
            <w:noWrap/>
            <w:vAlign w:val="bottom"/>
          </w:tcPr>
          <w:p w14:paraId="7B73FB55" w14:textId="58AF1F0E"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45.1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24.6</w:t>
            </w:r>
          </w:p>
        </w:tc>
        <w:tc>
          <w:tcPr>
            <w:tcW w:w="1685" w:type="dxa"/>
            <w:shd w:val="clear" w:color="auto" w:fill="auto"/>
            <w:noWrap/>
            <w:vAlign w:val="bottom"/>
          </w:tcPr>
          <w:p w14:paraId="2B7DE8F0" w14:textId="30E0CB05" w:rsidR="00750FAE" w:rsidRPr="00484C00" w:rsidRDefault="00527DFB"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52.1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31.3</w:t>
            </w:r>
          </w:p>
        </w:tc>
      </w:tr>
      <w:tr w:rsidR="00750FAE" w:rsidRPr="00484C00" w14:paraId="0B6ECDC0" w14:textId="77777777" w:rsidTr="0077125E">
        <w:trPr>
          <w:trHeight w:val="436"/>
        </w:trPr>
        <w:tc>
          <w:tcPr>
            <w:tcW w:w="3954" w:type="dxa"/>
            <w:shd w:val="clear" w:color="auto" w:fill="auto"/>
            <w:noWrap/>
            <w:vAlign w:val="bottom"/>
            <w:hideMark/>
          </w:tcPr>
          <w:p w14:paraId="681EEAD3"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Large Group Information Sessions</w:t>
            </w:r>
          </w:p>
        </w:tc>
        <w:tc>
          <w:tcPr>
            <w:tcW w:w="1685" w:type="dxa"/>
            <w:shd w:val="clear" w:color="auto" w:fill="auto"/>
            <w:noWrap/>
            <w:vAlign w:val="bottom"/>
          </w:tcPr>
          <w:p w14:paraId="05238164" w14:textId="72F9F870"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62.3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25.1</w:t>
            </w:r>
          </w:p>
        </w:tc>
        <w:tc>
          <w:tcPr>
            <w:tcW w:w="1685" w:type="dxa"/>
            <w:shd w:val="clear" w:color="auto" w:fill="auto"/>
            <w:noWrap/>
            <w:vAlign w:val="bottom"/>
          </w:tcPr>
          <w:p w14:paraId="3E27798C" w14:textId="070DED03" w:rsidR="00527DFB" w:rsidRPr="00484C00" w:rsidRDefault="00527DFB" w:rsidP="00527DFB">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66.0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25.5</w:t>
            </w:r>
          </w:p>
        </w:tc>
      </w:tr>
      <w:tr w:rsidR="00750FAE" w:rsidRPr="00484C00" w14:paraId="46BB6CC3" w14:textId="77777777" w:rsidTr="0077125E">
        <w:trPr>
          <w:trHeight w:val="436"/>
        </w:trPr>
        <w:tc>
          <w:tcPr>
            <w:tcW w:w="3954" w:type="dxa"/>
            <w:shd w:val="clear" w:color="auto" w:fill="auto"/>
            <w:noWrap/>
            <w:vAlign w:val="bottom"/>
            <w:hideMark/>
          </w:tcPr>
          <w:p w14:paraId="34D7E2B7"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One-on-one Meetings</w:t>
            </w:r>
          </w:p>
        </w:tc>
        <w:tc>
          <w:tcPr>
            <w:tcW w:w="1685" w:type="dxa"/>
            <w:shd w:val="clear" w:color="auto" w:fill="auto"/>
            <w:noWrap/>
            <w:vAlign w:val="bottom"/>
          </w:tcPr>
          <w:p w14:paraId="59216783" w14:textId="6EC0E0B0"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52.9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31.2</w:t>
            </w:r>
          </w:p>
        </w:tc>
        <w:tc>
          <w:tcPr>
            <w:tcW w:w="1685" w:type="dxa"/>
            <w:shd w:val="clear" w:color="auto" w:fill="auto"/>
            <w:noWrap/>
            <w:vAlign w:val="bottom"/>
          </w:tcPr>
          <w:p w14:paraId="718CEF0B" w14:textId="12338C0E" w:rsidR="00750FAE" w:rsidRPr="00484C00" w:rsidRDefault="00527DFB"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74.7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26.4</w:t>
            </w:r>
          </w:p>
        </w:tc>
      </w:tr>
      <w:tr w:rsidR="00750FAE" w:rsidRPr="00484C00" w14:paraId="0C066F4A" w14:textId="77777777" w:rsidTr="0077125E">
        <w:trPr>
          <w:trHeight w:val="436"/>
        </w:trPr>
        <w:tc>
          <w:tcPr>
            <w:tcW w:w="3954" w:type="dxa"/>
            <w:shd w:val="clear" w:color="auto" w:fill="auto"/>
            <w:noWrap/>
            <w:vAlign w:val="bottom"/>
            <w:hideMark/>
          </w:tcPr>
          <w:p w14:paraId="1F4840BF" w14:textId="77777777" w:rsidR="00750FAE" w:rsidRPr="00484C00" w:rsidRDefault="00750FAE" w:rsidP="00750FAE">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Teaching Sessions</w:t>
            </w:r>
          </w:p>
        </w:tc>
        <w:tc>
          <w:tcPr>
            <w:tcW w:w="1685" w:type="dxa"/>
            <w:shd w:val="clear" w:color="auto" w:fill="auto"/>
            <w:noWrap/>
            <w:vAlign w:val="bottom"/>
          </w:tcPr>
          <w:p w14:paraId="31E892F0" w14:textId="51F21C9A" w:rsidR="00750FAE" w:rsidRPr="00484C00" w:rsidRDefault="00421206"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71.3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32.1</w:t>
            </w:r>
          </w:p>
        </w:tc>
        <w:tc>
          <w:tcPr>
            <w:tcW w:w="1685" w:type="dxa"/>
            <w:shd w:val="clear" w:color="auto" w:fill="auto"/>
            <w:noWrap/>
            <w:vAlign w:val="bottom"/>
          </w:tcPr>
          <w:p w14:paraId="4259D9D4" w14:textId="2D2AAE89" w:rsidR="00750FAE" w:rsidRPr="00484C00" w:rsidRDefault="00527DFB" w:rsidP="00A62CDF">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68.5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28.0</w:t>
            </w:r>
          </w:p>
        </w:tc>
      </w:tr>
    </w:tbl>
    <w:p w14:paraId="25EEE902" w14:textId="402DEA76" w:rsidR="00750FAE" w:rsidRPr="00484C00" w:rsidRDefault="00750FAE" w:rsidP="006D7C3C">
      <w:pPr>
        <w:spacing w:line="480" w:lineRule="auto"/>
        <w:rPr>
          <w:rFonts w:ascii="Times New Roman" w:hAnsi="Times New Roman" w:cs="Times New Roman"/>
        </w:rPr>
      </w:pPr>
    </w:p>
    <w:p w14:paraId="5E1DFBBD" w14:textId="77777777" w:rsidR="002D28CC" w:rsidRPr="00484C00" w:rsidRDefault="002D28CC">
      <w:pPr>
        <w:rPr>
          <w:rFonts w:ascii="Times New Roman" w:hAnsi="Times New Roman" w:cs="Times New Roman"/>
        </w:rPr>
      </w:pPr>
      <w:r w:rsidRPr="00484C00">
        <w:rPr>
          <w:rFonts w:ascii="Times New Roman" w:hAnsi="Times New Roman" w:cs="Times New Roman"/>
        </w:rPr>
        <w:br w:type="page"/>
      </w:r>
    </w:p>
    <w:p w14:paraId="6F069D05" w14:textId="160E7C37" w:rsidR="002D28CC" w:rsidRPr="00484C00" w:rsidRDefault="002D28CC" w:rsidP="002D28CC">
      <w:pPr>
        <w:rPr>
          <w:rFonts w:ascii="Times New Roman" w:hAnsi="Times New Roman" w:cs="Times New Roman"/>
        </w:rPr>
      </w:pPr>
      <w:r w:rsidRPr="00484C00">
        <w:rPr>
          <w:rFonts w:ascii="Times New Roman" w:hAnsi="Times New Roman" w:cs="Times New Roman"/>
          <w:u w:val="single"/>
        </w:rPr>
        <w:lastRenderedPageBreak/>
        <w:t xml:space="preserve">Supplemental Materials Table-4: </w:t>
      </w:r>
      <w:r w:rsidRPr="00484C00">
        <w:rPr>
          <w:rFonts w:ascii="Times New Roman" w:hAnsi="Times New Roman" w:cs="Times New Roman"/>
        </w:rPr>
        <w:t>Average ranking scores of interview period modalities</w:t>
      </w:r>
      <w:r w:rsidR="00D05A8D" w:rsidRPr="00484C00">
        <w:rPr>
          <w:rFonts w:ascii="Times New Roman" w:hAnsi="Times New Roman" w:cs="Times New Roman"/>
        </w:rPr>
        <w:t xml:space="preserve"> compared to each other</w:t>
      </w:r>
      <w:r w:rsidRPr="00484C00">
        <w:rPr>
          <w:rFonts w:ascii="Times New Roman" w:hAnsi="Times New Roman" w:cs="Times New Roman"/>
        </w:rPr>
        <w:t xml:space="preserve"> after conversion to percentage scale (1-100). Evaluation of each intervention is presented as the mean </w:t>
      </w:r>
      <w:r w:rsidRPr="00484C00">
        <w:rPr>
          <w:rFonts w:ascii="Times New Roman" w:hAnsi="Times New Roman" w:cs="Times New Roman"/>
        </w:rPr>
        <w:sym w:font="Symbol" w:char="F0B1"/>
      </w:r>
      <w:r w:rsidRPr="00484C00">
        <w:rPr>
          <w:rFonts w:ascii="Times New Roman" w:hAnsi="Times New Roman" w:cs="Times New Roman"/>
        </w:rPr>
        <w:t xml:space="preserve"> standard deviation. </w:t>
      </w:r>
    </w:p>
    <w:p w14:paraId="44C001A7" w14:textId="77777777" w:rsidR="00D41DDB" w:rsidRPr="00484C00" w:rsidRDefault="00D41DDB" w:rsidP="002D28CC">
      <w:pPr>
        <w:rPr>
          <w:rFonts w:ascii="Times New Roman" w:hAnsi="Times New Roman" w:cs="Times New Roman"/>
        </w:rPr>
      </w:pPr>
    </w:p>
    <w:tbl>
      <w:tblPr>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1685"/>
        <w:gridCol w:w="1685"/>
      </w:tblGrid>
      <w:tr w:rsidR="002D28CC" w:rsidRPr="00484C00" w14:paraId="01E53264" w14:textId="77777777" w:rsidTr="00120030">
        <w:trPr>
          <w:trHeight w:val="436"/>
        </w:trPr>
        <w:tc>
          <w:tcPr>
            <w:tcW w:w="3954" w:type="dxa"/>
            <w:shd w:val="clear" w:color="auto" w:fill="auto"/>
            <w:noWrap/>
            <w:vAlign w:val="bottom"/>
            <w:hideMark/>
          </w:tcPr>
          <w:p w14:paraId="3F4F6773" w14:textId="77777777" w:rsidR="002D28CC" w:rsidRPr="00484C00" w:rsidRDefault="002D28CC" w:rsidP="00555BB8">
            <w:pPr>
              <w:rPr>
                <w:rFonts w:ascii="Times New Roman" w:eastAsia="Times New Roman" w:hAnsi="Times New Roman" w:cs="Times New Roman"/>
                <w:lang w:val="en-CA"/>
              </w:rPr>
            </w:pPr>
          </w:p>
        </w:tc>
        <w:tc>
          <w:tcPr>
            <w:tcW w:w="1685" w:type="dxa"/>
            <w:shd w:val="clear" w:color="auto" w:fill="auto"/>
            <w:noWrap/>
            <w:vAlign w:val="bottom"/>
            <w:hideMark/>
          </w:tcPr>
          <w:p w14:paraId="64408A94" w14:textId="77777777"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Medical Students</w:t>
            </w:r>
          </w:p>
        </w:tc>
        <w:tc>
          <w:tcPr>
            <w:tcW w:w="1685" w:type="dxa"/>
            <w:shd w:val="clear" w:color="auto" w:fill="auto"/>
            <w:noWrap/>
            <w:vAlign w:val="bottom"/>
            <w:hideMark/>
          </w:tcPr>
          <w:p w14:paraId="1B114DDF" w14:textId="77777777"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Residency Programs</w:t>
            </w:r>
          </w:p>
        </w:tc>
      </w:tr>
      <w:tr w:rsidR="002D28CC" w:rsidRPr="00484C00" w14:paraId="0DF04485" w14:textId="77777777" w:rsidTr="00120030">
        <w:trPr>
          <w:trHeight w:val="436"/>
        </w:trPr>
        <w:tc>
          <w:tcPr>
            <w:tcW w:w="3954" w:type="dxa"/>
            <w:shd w:val="clear" w:color="auto" w:fill="auto"/>
            <w:noWrap/>
            <w:vAlign w:val="bottom"/>
            <w:hideMark/>
          </w:tcPr>
          <w:p w14:paraId="50CAD9A7" w14:textId="5E0CF990" w:rsidR="002D28CC" w:rsidRPr="00484C00" w:rsidRDefault="002D28CC" w:rsidP="00555BB8">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Interview</w:t>
            </w:r>
          </w:p>
        </w:tc>
        <w:tc>
          <w:tcPr>
            <w:tcW w:w="1685" w:type="dxa"/>
            <w:shd w:val="clear" w:color="auto" w:fill="auto"/>
            <w:noWrap/>
            <w:vAlign w:val="bottom"/>
          </w:tcPr>
          <w:p w14:paraId="110CC5C6" w14:textId="4309F11E"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52.3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26.3</w:t>
            </w:r>
          </w:p>
        </w:tc>
        <w:tc>
          <w:tcPr>
            <w:tcW w:w="1685" w:type="dxa"/>
            <w:shd w:val="clear" w:color="auto" w:fill="auto"/>
            <w:noWrap/>
            <w:vAlign w:val="bottom"/>
          </w:tcPr>
          <w:p w14:paraId="320BE8D7" w14:textId="06C6E83D" w:rsidR="002D28CC" w:rsidRPr="00484C00" w:rsidRDefault="00A62CDF"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65.4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29.4</w:t>
            </w:r>
          </w:p>
        </w:tc>
      </w:tr>
      <w:tr w:rsidR="002D28CC" w:rsidRPr="00484C00" w14:paraId="354D7FBD" w14:textId="77777777" w:rsidTr="00120030">
        <w:trPr>
          <w:trHeight w:val="436"/>
        </w:trPr>
        <w:tc>
          <w:tcPr>
            <w:tcW w:w="3954" w:type="dxa"/>
            <w:shd w:val="clear" w:color="auto" w:fill="auto"/>
            <w:noWrap/>
            <w:vAlign w:val="bottom"/>
            <w:hideMark/>
          </w:tcPr>
          <w:p w14:paraId="55814F92" w14:textId="4C9EA7C5" w:rsidR="002D28CC" w:rsidRPr="00484C00" w:rsidRDefault="002D28CC" w:rsidP="00555BB8">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Information session</w:t>
            </w:r>
          </w:p>
        </w:tc>
        <w:tc>
          <w:tcPr>
            <w:tcW w:w="1685" w:type="dxa"/>
            <w:shd w:val="clear" w:color="auto" w:fill="auto"/>
            <w:noWrap/>
            <w:vAlign w:val="bottom"/>
          </w:tcPr>
          <w:p w14:paraId="5CD68927" w14:textId="3BFDE073"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63.3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25.7</w:t>
            </w:r>
          </w:p>
        </w:tc>
        <w:tc>
          <w:tcPr>
            <w:tcW w:w="1685" w:type="dxa"/>
            <w:shd w:val="clear" w:color="auto" w:fill="auto"/>
            <w:noWrap/>
            <w:vAlign w:val="bottom"/>
          </w:tcPr>
          <w:p w14:paraId="2D587356" w14:textId="3D7587ED" w:rsidR="002D28CC" w:rsidRPr="00484C00" w:rsidRDefault="00A62CDF"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63.2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29.5</w:t>
            </w:r>
          </w:p>
        </w:tc>
      </w:tr>
      <w:tr w:rsidR="002D28CC" w:rsidRPr="00484C00" w14:paraId="5973AB4F" w14:textId="77777777" w:rsidTr="00120030">
        <w:trPr>
          <w:trHeight w:val="436"/>
        </w:trPr>
        <w:tc>
          <w:tcPr>
            <w:tcW w:w="3954" w:type="dxa"/>
            <w:shd w:val="clear" w:color="auto" w:fill="auto"/>
            <w:noWrap/>
            <w:vAlign w:val="bottom"/>
            <w:hideMark/>
          </w:tcPr>
          <w:p w14:paraId="792A32CC" w14:textId="2D4DBC75" w:rsidR="002D28CC" w:rsidRPr="00484C00" w:rsidRDefault="002D28CC" w:rsidP="00555BB8">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Virtual hospital tour</w:t>
            </w:r>
          </w:p>
        </w:tc>
        <w:tc>
          <w:tcPr>
            <w:tcW w:w="1685" w:type="dxa"/>
            <w:shd w:val="clear" w:color="auto" w:fill="auto"/>
            <w:noWrap/>
            <w:vAlign w:val="bottom"/>
          </w:tcPr>
          <w:p w14:paraId="62EBC4B4" w14:textId="17D51B7A"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78.6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32.9</w:t>
            </w:r>
          </w:p>
        </w:tc>
        <w:tc>
          <w:tcPr>
            <w:tcW w:w="1685" w:type="dxa"/>
            <w:shd w:val="clear" w:color="auto" w:fill="auto"/>
            <w:noWrap/>
            <w:vAlign w:val="bottom"/>
          </w:tcPr>
          <w:p w14:paraId="09E60C54" w14:textId="2FF05276" w:rsidR="002D28CC" w:rsidRPr="00484C00" w:rsidRDefault="00A62CDF"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63.5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31.7</w:t>
            </w:r>
          </w:p>
        </w:tc>
      </w:tr>
      <w:tr w:rsidR="002D28CC" w:rsidRPr="00484C00" w14:paraId="14E3C044" w14:textId="77777777" w:rsidTr="00120030">
        <w:trPr>
          <w:trHeight w:val="436"/>
        </w:trPr>
        <w:tc>
          <w:tcPr>
            <w:tcW w:w="3954" w:type="dxa"/>
            <w:shd w:val="clear" w:color="auto" w:fill="auto"/>
            <w:noWrap/>
            <w:vAlign w:val="bottom"/>
            <w:hideMark/>
          </w:tcPr>
          <w:p w14:paraId="457FE9C3" w14:textId="6174936B" w:rsidR="002D28CC" w:rsidRPr="00484C00" w:rsidRDefault="002D28CC" w:rsidP="00555BB8">
            <w:pP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Virtual social</w:t>
            </w:r>
          </w:p>
        </w:tc>
        <w:tc>
          <w:tcPr>
            <w:tcW w:w="1685" w:type="dxa"/>
            <w:shd w:val="clear" w:color="auto" w:fill="auto"/>
            <w:noWrap/>
            <w:vAlign w:val="bottom"/>
          </w:tcPr>
          <w:p w14:paraId="5737C58A" w14:textId="465935FB" w:rsidR="002D28CC" w:rsidRPr="00484C00" w:rsidRDefault="002D28CC"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60.3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22.9</w:t>
            </w:r>
          </w:p>
        </w:tc>
        <w:tc>
          <w:tcPr>
            <w:tcW w:w="1685" w:type="dxa"/>
            <w:shd w:val="clear" w:color="auto" w:fill="auto"/>
            <w:noWrap/>
            <w:vAlign w:val="bottom"/>
          </w:tcPr>
          <w:p w14:paraId="11A227F6" w14:textId="4345076D" w:rsidR="002D28CC" w:rsidRPr="00484C00" w:rsidRDefault="00A62CDF" w:rsidP="002D28CC">
            <w:pPr>
              <w:jc w:val="center"/>
              <w:rPr>
                <w:rFonts w:ascii="Times New Roman" w:eastAsia="Times New Roman" w:hAnsi="Times New Roman" w:cs="Times New Roman"/>
                <w:color w:val="000000"/>
                <w:lang w:val="en-CA"/>
              </w:rPr>
            </w:pPr>
            <w:r w:rsidRPr="00484C00">
              <w:rPr>
                <w:rFonts w:ascii="Times New Roman" w:eastAsia="Times New Roman" w:hAnsi="Times New Roman" w:cs="Times New Roman"/>
                <w:color w:val="000000"/>
                <w:lang w:val="en-CA"/>
              </w:rPr>
              <w:t xml:space="preserve">67.0 </w:t>
            </w:r>
            <w:r w:rsidRPr="00484C00">
              <w:rPr>
                <w:rFonts w:ascii="Times New Roman" w:eastAsia="Times New Roman" w:hAnsi="Times New Roman" w:cs="Times New Roman"/>
                <w:color w:val="000000"/>
                <w:lang w:val="en-CA"/>
              </w:rPr>
              <w:sym w:font="Symbol" w:char="F0B1"/>
            </w:r>
            <w:r w:rsidRPr="00484C00">
              <w:rPr>
                <w:rFonts w:ascii="Times New Roman" w:eastAsia="Times New Roman" w:hAnsi="Times New Roman" w:cs="Times New Roman"/>
                <w:color w:val="000000"/>
                <w:lang w:val="en-CA"/>
              </w:rPr>
              <w:t xml:space="preserve"> 24.0</w:t>
            </w:r>
          </w:p>
        </w:tc>
      </w:tr>
    </w:tbl>
    <w:p w14:paraId="7CE295D7" w14:textId="77777777" w:rsidR="00163361" w:rsidRPr="00484C00" w:rsidRDefault="00163361">
      <w:pPr>
        <w:rPr>
          <w:rFonts w:ascii="Times New Roman" w:hAnsi="Times New Roman" w:cs="Times New Roman"/>
        </w:rPr>
      </w:pPr>
    </w:p>
    <w:p w14:paraId="784193C6" w14:textId="77777777" w:rsidR="00D41DDB" w:rsidRPr="00484C00" w:rsidRDefault="00D41DDB">
      <w:pPr>
        <w:rPr>
          <w:rFonts w:ascii="Times New Roman" w:hAnsi="Times New Roman" w:cs="Times New Roman"/>
        </w:rPr>
      </w:pPr>
      <w:r w:rsidRPr="00484C00">
        <w:rPr>
          <w:rFonts w:ascii="Times New Roman" w:hAnsi="Times New Roman" w:cs="Times New Roman"/>
        </w:rPr>
        <w:br w:type="page"/>
      </w:r>
    </w:p>
    <w:p w14:paraId="3C887B1F" w14:textId="06CF001B" w:rsidR="0043413F" w:rsidRPr="00484C00" w:rsidRDefault="00163361">
      <w:pPr>
        <w:rPr>
          <w:rFonts w:ascii="Times New Roman" w:hAnsi="Times New Roman" w:cs="Times New Roman"/>
        </w:rPr>
      </w:pPr>
      <w:r w:rsidRPr="00484C00">
        <w:rPr>
          <w:rFonts w:ascii="Times New Roman" w:hAnsi="Times New Roman" w:cs="Times New Roman"/>
          <w:u w:val="single"/>
        </w:rPr>
        <w:lastRenderedPageBreak/>
        <w:t>Supplemental Materials Table-5</w:t>
      </w:r>
      <w:r w:rsidRPr="00484C00">
        <w:rPr>
          <w:rFonts w:ascii="Times New Roman" w:hAnsi="Times New Roman" w:cs="Times New Roman"/>
        </w:rPr>
        <w:t>: Description of virtual socials hosted by institutions during the 2020-2021 match cycle.</w:t>
      </w:r>
    </w:p>
    <w:p w14:paraId="4E43B1F2" w14:textId="77777777" w:rsidR="00D41DDB" w:rsidRPr="00484C00" w:rsidRDefault="00D41DD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163361" w:rsidRPr="00484C00" w14:paraId="599B6E0D" w14:textId="77777777" w:rsidTr="00555BB8">
        <w:tc>
          <w:tcPr>
            <w:tcW w:w="4675" w:type="dxa"/>
          </w:tcPr>
          <w:p w14:paraId="761A2E48" w14:textId="77777777" w:rsidR="00163361" w:rsidRPr="00484C00" w:rsidRDefault="00163361" w:rsidP="00555BB8">
            <w:pPr>
              <w:jc w:val="center"/>
              <w:rPr>
                <w:rFonts w:ascii="Times New Roman" w:hAnsi="Times New Roman" w:cs="Times New Roman"/>
                <w:b/>
                <w:bCs/>
              </w:rPr>
            </w:pPr>
            <w:r w:rsidRPr="00484C00">
              <w:rPr>
                <w:rFonts w:ascii="Times New Roman" w:hAnsi="Times New Roman" w:cs="Times New Roman"/>
                <w:b/>
                <w:bCs/>
              </w:rPr>
              <w:t>Applications/ Programs used</w:t>
            </w:r>
          </w:p>
        </w:tc>
        <w:tc>
          <w:tcPr>
            <w:tcW w:w="4675" w:type="dxa"/>
          </w:tcPr>
          <w:p w14:paraId="656E756B" w14:textId="77777777" w:rsidR="00163361" w:rsidRPr="00484C00" w:rsidRDefault="00163361" w:rsidP="00555BB8">
            <w:pPr>
              <w:jc w:val="center"/>
              <w:rPr>
                <w:rFonts w:ascii="Times New Roman" w:hAnsi="Times New Roman" w:cs="Times New Roman"/>
                <w:b/>
                <w:bCs/>
              </w:rPr>
            </w:pPr>
            <w:r w:rsidRPr="00484C00">
              <w:rPr>
                <w:rFonts w:ascii="Times New Roman" w:hAnsi="Times New Roman" w:cs="Times New Roman"/>
                <w:b/>
                <w:bCs/>
              </w:rPr>
              <w:t>Description</w:t>
            </w:r>
          </w:p>
        </w:tc>
      </w:tr>
      <w:tr w:rsidR="00163361" w:rsidRPr="00484C00" w14:paraId="7A419A22" w14:textId="77777777" w:rsidTr="00555BB8">
        <w:tc>
          <w:tcPr>
            <w:tcW w:w="4675" w:type="dxa"/>
          </w:tcPr>
          <w:p w14:paraId="3AD9BCF1"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Wonder</w:t>
            </w:r>
          </w:p>
        </w:tc>
        <w:tc>
          <w:tcPr>
            <w:tcW w:w="4675" w:type="dxa"/>
          </w:tcPr>
          <w:p w14:paraId="4E3249AF"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“rooftop” social where people choose an avatar and walk around the “roof” to chat with other candidates and residents from the program</w:t>
            </w:r>
          </w:p>
        </w:tc>
      </w:tr>
      <w:tr w:rsidR="00163361" w:rsidRPr="00484C00" w14:paraId="5BC41A34" w14:textId="77777777" w:rsidTr="00555BB8">
        <w:tc>
          <w:tcPr>
            <w:tcW w:w="4675" w:type="dxa"/>
          </w:tcPr>
          <w:p w14:paraId="41C30935" w14:textId="77777777" w:rsidR="00163361" w:rsidRPr="00484C00" w:rsidRDefault="00163361" w:rsidP="00555BB8">
            <w:pPr>
              <w:rPr>
                <w:rFonts w:ascii="Times New Roman" w:hAnsi="Times New Roman" w:cs="Times New Roman"/>
              </w:rPr>
            </w:pPr>
            <w:proofErr w:type="spellStart"/>
            <w:r w:rsidRPr="00484C00">
              <w:rPr>
                <w:rFonts w:ascii="Times New Roman" w:hAnsi="Times New Roman" w:cs="Times New Roman"/>
              </w:rPr>
              <w:t>Kumospace</w:t>
            </w:r>
            <w:proofErr w:type="spellEnd"/>
          </w:p>
        </w:tc>
        <w:tc>
          <w:tcPr>
            <w:tcW w:w="4675" w:type="dxa"/>
          </w:tcPr>
          <w:p w14:paraId="7244FDA8"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 xml:space="preserve">Combination video chat and video games </w:t>
            </w:r>
          </w:p>
        </w:tc>
      </w:tr>
      <w:tr w:rsidR="00163361" w:rsidRPr="00484C00" w14:paraId="282C7498" w14:textId="77777777" w:rsidTr="00555BB8">
        <w:tc>
          <w:tcPr>
            <w:tcW w:w="4675" w:type="dxa"/>
          </w:tcPr>
          <w:p w14:paraId="0D2E269E"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 xml:space="preserve">Zoom </w:t>
            </w:r>
          </w:p>
        </w:tc>
        <w:tc>
          <w:tcPr>
            <w:tcW w:w="4675" w:type="dxa"/>
          </w:tcPr>
          <w:p w14:paraId="3E8C3A30"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 xml:space="preserve">Breakout rooms for question and answer </w:t>
            </w:r>
          </w:p>
          <w:p w14:paraId="24A12585"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Breakout rooms for small group interactions</w:t>
            </w:r>
          </w:p>
          <w:p w14:paraId="5529303D"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 xml:space="preserve">Virtual trivia </w:t>
            </w:r>
          </w:p>
        </w:tc>
      </w:tr>
      <w:tr w:rsidR="00163361" w:rsidRPr="00484C00" w14:paraId="2136F372" w14:textId="77777777" w:rsidTr="00555BB8">
        <w:tc>
          <w:tcPr>
            <w:tcW w:w="4675" w:type="dxa"/>
          </w:tcPr>
          <w:p w14:paraId="4C81BC4A"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Microsoft Teams</w:t>
            </w:r>
          </w:p>
        </w:tc>
        <w:tc>
          <w:tcPr>
            <w:tcW w:w="4675" w:type="dxa"/>
          </w:tcPr>
          <w:p w14:paraId="28215141"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 xml:space="preserve">Information session </w:t>
            </w:r>
          </w:p>
        </w:tc>
      </w:tr>
      <w:tr w:rsidR="00163361" w:rsidRPr="00484C00" w14:paraId="26ABD3D7" w14:textId="77777777" w:rsidTr="00555BB8">
        <w:tc>
          <w:tcPr>
            <w:tcW w:w="4675" w:type="dxa"/>
          </w:tcPr>
          <w:p w14:paraId="5426252B" w14:textId="77777777" w:rsidR="00163361" w:rsidRPr="00484C00" w:rsidRDefault="00163361" w:rsidP="00555BB8">
            <w:pPr>
              <w:rPr>
                <w:rFonts w:ascii="Times New Roman" w:hAnsi="Times New Roman" w:cs="Times New Roman"/>
              </w:rPr>
            </w:pPr>
            <w:proofErr w:type="spellStart"/>
            <w:r w:rsidRPr="00484C00">
              <w:rPr>
                <w:rFonts w:ascii="Times New Roman" w:hAnsi="Times New Roman" w:cs="Times New Roman"/>
              </w:rPr>
              <w:t>DoorDash</w:t>
            </w:r>
            <w:proofErr w:type="spellEnd"/>
          </w:p>
        </w:tc>
        <w:tc>
          <w:tcPr>
            <w:tcW w:w="4675" w:type="dxa"/>
          </w:tcPr>
          <w:p w14:paraId="566CCAC5" w14:textId="77777777" w:rsidR="00163361" w:rsidRPr="00484C00" w:rsidRDefault="00163361" w:rsidP="00555BB8">
            <w:pPr>
              <w:rPr>
                <w:rFonts w:ascii="Times New Roman" w:hAnsi="Times New Roman" w:cs="Times New Roman"/>
              </w:rPr>
            </w:pPr>
            <w:r w:rsidRPr="00484C00">
              <w:rPr>
                <w:rFonts w:ascii="Times New Roman" w:hAnsi="Times New Roman" w:cs="Times New Roman"/>
              </w:rPr>
              <w:t>Gift cards for evening “happy hour” social</w:t>
            </w:r>
          </w:p>
        </w:tc>
      </w:tr>
      <w:tr w:rsidR="00163361" w:rsidRPr="00484C00" w14:paraId="3AAE5483" w14:textId="77777777" w:rsidTr="00555BB8">
        <w:tc>
          <w:tcPr>
            <w:tcW w:w="4675" w:type="dxa"/>
          </w:tcPr>
          <w:p w14:paraId="28EAA4A4" w14:textId="77777777" w:rsidR="00163361" w:rsidRPr="00484C00" w:rsidRDefault="00163361" w:rsidP="00555BB8">
            <w:pPr>
              <w:rPr>
                <w:rFonts w:ascii="Times New Roman" w:hAnsi="Times New Roman" w:cs="Times New Roman"/>
                <w:color w:val="000000" w:themeColor="text1"/>
              </w:rPr>
            </w:pPr>
            <w:proofErr w:type="spellStart"/>
            <w:r w:rsidRPr="00484C00">
              <w:rPr>
                <w:rFonts w:ascii="Times New Roman" w:hAnsi="Times New Roman" w:cs="Times New Roman"/>
                <w:color w:val="000000" w:themeColor="text1"/>
              </w:rPr>
              <w:t>UberEats</w:t>
            </w:r>
            <w:proofErr w:type="spellEnd"/>
            <w:r w:rsidRPr="00484C00">
              <w:rPr>
                <w:rFonts w:ascii="Times New Roman" w:hAnsi="Times New Roman" w:cs="Times New Roman"/>
                <w:color w:val="000000" w:themeColor="text1"/>
              </w:rPr>
              <w:t xml:space="preserve"> </w:t>
            </w:r>
          </w:p>
        </w:tc>
        <w:tc>
          <w:tcPr>
            <w:tcW w:w="4675" w:type="dxa"/>
          </w:tcPr>
          <w:p w14:paraId="4CBAF0A2" w14:textId="77777777" w:rsidR="00163361" w:rsidRPr="00484C00" w:rsidRDefault="00163361" w:rsidP="00555BB8">
            <w:pPr>
              <w:rPr>
                <w:rFonts w:ascii="Times New Roman" w:hAnsi="Times New Roman" w:cs="Times New Roman"/>
                <w:color w:val="000000" w:themeColor="text1"/>
              </w:rPr>
            </w:pPr>
            <w:r w:rsidRPr="00484C00">
              <w:rPr>
                <w:rFonts w:ascii="Times New Roman" w:hAnsi="Times New Roman" w:cs="Times New Roman"/>
                <w:color w:val="000000" w:themeColor="text1"/>
              </w:rPr>
              <w:t>Gift cards for food/ drinks</w:t>
            </w:r>
          </w:p>
        </w:tc>
      </w:tr>
      <w:tr w:rsidR="00163361" w:rsidRPr="00484C00" w14:paraId="03C64E06" w14:textId="77777777" w:rsidTr="00555BB8">
        <w:tc>
          <w:tcPr>
            <w:tcW w:w="4675" w:type="dxa"/>
          </w:tcPr>
          <w:p w14:paraId="4CED0160" w14:textId="1C83579C" w:rsidR="00163361" w:rsidRPr="00484C00" w:rsidRDefault="00163361" w:rsidP="00555BB8">
            <w:pPr>
              <w:rPr>
                <w:rFonts w:ascii="Times New Roman" w:hAnsi="Times New Roman" w:cs="Times New Roman"/>
                <w:color w:val="000000" w:themeColor="text1"/>
              </w:rPr>
            </w:pPr>
            <w:r w:rsidRPr="00484C00">
              <w:rPr>
                <w:rFonts w:ascii="Times New Roman" w:hAnsi="Times New Roman" w:cs="Times New Roman"/>
                <w:color w:val="000000" w:themeColor="text1"/>
              </w:rPr>
              <w:t xml:space="preserve">Gather/ Town </w:t>
            </w:r>
          </w:p>
        </w:tc>
        <w:tc>
          <w:tcPr>
            <w:tcW w:w="4675" w:type="dxa"/>
          </w:tcPr>
          <w:p w14:paraId="3B5AAD45" w14:textId="77777777" w:rsidR="00163361" w:rsidRPr="00484C00" w:rsidRDefault="00163361" w:rsidP="00555BB8">
            <w:pPr>
              <w:rPr>
                <w:rFonts w:ascii="Times New Roman" w:hAnsi="Times New Roman" w:cs="Times New Roman"/>
                <w:color w:val="000000" w:themeColor="text1"/>
              </w:rPr>
            </w:pPr>
            <w:r w:rsidRPr="00484C00">
              <w:rPr>
                <w:rFonts w:ascii="Times New Roman" w:hAnsi="Times New Roman" w:cs="Times New Roman"/>
                <w:color w:val="000000" w:themeColor="text1"/>
                <w:shd w:val="clear" w:color="auto" w:fill="FFFFFF"/>
              </w:rPr>
              <w:t>Video-calling space that lets multiple people hold separate conversations in parallel, walking in and out of those conversations</w:t>
            </w:r>
          </w:p>
          <w:p w14:paraId="20B61167" w14:textId="77777777" w:rsidR="00163361" w:rsidRPr="00484C00" w:rsidRDefault="00163361" w:rsidP="00555BB8">
            <w:pPr>
              <w:rPr>
                <w:rFonts w:ascii="Times New Roman" w:hAnsi="Times New Roman" w:cs="Times New Roman"/>
                <w:color w:val="000000" w:themeColor="text1"/>
              </w:rPr>
            </w:pPr>
          </w:p>
        </w:tc>
      </w:tr>
    </w:tbl>
    <w:p w14:paraId="1A696A2B" w14:textId="77777777" w:rsidR="0038362C" w:rsidRPr="00484C00" w:rsidRDefault="0038362C">
      <w:pPr>
        <w:rPr>
          <w:rFonts w:ascii="Times New Roman" w:hAnsi="Times New Roman" w:cs="Times New Roman"/>
          <w:b/>
          <w:bCs/>
        </w:rPr>
      </w:pPr>
    </w:p>
    <w:p w14:paraId="3B83D410" w14:textId="77777777" w:rsidR="00F93FBF" w:rsidRPr="00484C00" w:rsidRDefault="00F93FBF">
      <w:pPr>
        <w:rPr>
          <w:rFonts w:ascii="Times New Roman" w:hAnsi="Times New Roman" w:cs="Times New Roman"/>
          <w:b/>
          <w:bCs/>
        </w:rPr>
      </w:pPr>
      <w:r w:rsidRPr="00484C00">
        <w:rPr>
          <w:rFonts w:ascii="Times New Roman" w:hAnsi="Times New Roman" w:cs="Times New Roman"/>
          <w:b/>
          <w:bCs/>
        </w:rPr>
        <w:br w:type="page"/>
      </w:r>
    </w:p>
    <w:p w14:paraId="4B6B4C31" w14:textId="47940253" w:rsidR="00F93FBF" w:rsidRPr="00484C00" w:rsidRDefault="00F93FBF" w:rsidP="00F93FBF">
      <w:pPr>
        <w:pStyle w:val="NoSpacing"/>
        <w:rPr>
          <w:rFonts w:ascii="Times New Roman" w:hAnsi="Times New Roman" w:cs="Times New Roman"/>
        </w:rPr>
      </w:pPr>
      <w:r w:rsidRPr="00484C00">
        <w:rPr>
          <w:rFonts w:ascii="Times New Roman" w:hAnsi="Times New Roman" w:cs="Times New Roman"/>
          <w:u w:val="single"/>
        </w:rPr>
        <w:lastRenderedPageBreak/>
        <w:t>Supplemental Materials Table-6.</w:t>
      </w:r>
      <w:r w:rsidRPr="00484C00">
        <w:rPr>
          <w:rFonts w:ascii="Times New Roman" w:hAnsi="Times New Roman" w:cs="Times New Roman"/>
        </w:rPr>
        <w:t xml:space="preserve"> Feedback from medical students and residency program stakeholders in terms of what could have improved the match experience this year. Numbers in brackets represent the number of respondents who gave the same feedback.</w:t>
      </w:r>
    </w:p>
    <w:tbl>
      <w:tblPr>
        <w:tblStyle w:val="TableGrid"/>
        <w:tblW w:w="0" w:type="auto"/>
        <w:tblLook w:val="04A0" w:firstRow="1" w:lastRow="0" w:firstColumn="1" w:lastColumn="0" w:noHBand="0" w:noVBand="1"/>
      </w:tblPr>
      <w:tblGrid>
        <w:gridCol w:w="1980"/>
        <w:gridCol w:w="3827"/>
        <w:gridCol w:w="3543"/>
      </w:tblGrid>
      <w:tr w:rsidR="00F93FBF" w:rsidRPr="00484C00" w14:paraId="3F2182F9" w14:textId="77777777" w:rsidTr="008F7997">
        <w:tc>
          <w:tcPr>
            <w:tcW w:w="1980" w:type="dxa"/>
          </w:tcPr>
          <w:p w14:paraId="6E56E098" w14:textId="77777777" w:rsidR="00F93FBF" w:rsidRPr="00484C00" w:rsidRDefault="00F93FBF" w:rsidP="008F7997">
            <w:pPr>
              <w:tabs>
                <w:tab w:val="left" w:pos="993"/>
              </w:tabs>
              <w:rPr>
                <w:rFonts w:ascii="Times New Roman" w:hAnsi="Times New Roman" w:cs="Times New Roman"/>
                <w:b/>
                <w:bCs/>
              </w:rPr>
            </w:pPr>
            <w:r w:rsidRPr="00484C00">
              <w:rPr>
                <w:rFonts w:ascii="Times New Roman" w:hAnsi="Times New Roman" w:cs="Times New Roman"/>
                <w:b/>
                <w:bCs/>
              </w:rPr>
              <w:t>Category</w:t>
            </w:r>
          </w:p>
        </w:tc>
        <w:tc>
          <w:tcPr>
            <w:tcW w:w="3827" w:type="dxa"/>
          </w:tcPr>
          <w:p w14:paraId="15F31D89" w14:textId="77777777" w:rsidR="00F93FBF" w:rsidRPr="00484C00" w:rsidRDefault="00F93FBF" w:rsidP="008F7997">
            <w:pPr>
              <w:tabs>
                <w:tab w:val="left" w:pos="993"/>
              </w:tabs>
              <w:jc w:val="center"/>
              <w:rPr>
                <w:rFonts w:ascii="Times New Roman" w:hAnsi="Times New Roman" w:cs="Times New Roman"/>
                <w:b/>
                <w:bCs/>
              </w:rPr>
            </w:pPr>
            <w:r w:rsidRPr="00484C00">
              <w:rPr>
                <w:rFonts w:ascii="Times New Roman" w:hAnsi="Times New Roman" w:cs="Times New Roman"/>
                <w:b/>
                <w:bCs/>
              </w:rPr>
              <w:t>Medical Student Feedback</w:t>
            </w:r>
          </w:p>
        </w:tc>
        <w:tc>
          <w:tcPr>
            <w:tcW w:w="3543" w:type="dxa"/>
          </w:tcPr>
          <w:p w14:paraId="2AC0BD0E" w14:textId="77777777" w:rsidR="00F93FBF" w:rsidRPr="00484C00" w:rsidRDefault="00F93FBF" w:rsidP="008F7997">
            <w:pPr>
              <w:tabs>
                <w:tab w:val="left" w:pos="993"/>
              </w:tabs>
              <w:jc w:val="center"/>
              <w:rPr>
                <w:rFonts w:ascii="Times New Roman" w:hAnsi="Times New Roman" w:cs="Times New Roman"/>
                <w:b/>
                <w:bCs/>
              </w:rPr>
            </w:pPr>
            <w:r w:rsidRPr="00484C00">
              <w:rPr>
                <w:rFonts w:ascii="Times New Roman" w:hAnsi="Times New Roman" w:cs="Times New Roman"/>
                <w:b/>
                <w:bCs/>
              </w:rPr>
              <w:t>Residency Program Feedback</w:t>
            </w:r>
          </w:p>
        </w:tc>
      </w:tr>
      <w:tr w:rsidR="00F93FBF" w:rsidRPr="00484C00" w14:paraId="22CBF3E2" w14:textId="77777777" w:rsidTr="008F7997">
        <w:tc>
          <w:tcPr>
            <w:tcW w:w="1980" w:type="dxa"/>
          </w:tcPr>
          <w:p w14:paraId="03AA6FD7" w14:textId="77777777" w:rsidR="00F93FBF" w:rsidRPr="00484C00" w:rsidRDefault="00F93FBF" w:rsidP="008F7997">
            <w:pPr>
              <w:tabs>
                <w:tab w:val="left" w:pos="993"/>
              </w:tabs>
              <w:rPr>
                <w:rFonts w:ascii="Times New Roman" w:hAnsi="Times New Roman" w:cs="Times New Roman"/>
                <w:b/>
                <w:bCs/>
              </w:rPr>
            </w:pPr>
            <w:r w:rsidRPr="00484C00">
              <w:rPr>
                <w:rFonts w:ascii="Times New Roman" w:hAnsi="Times New Roman" w:cs="Times New Roman"/>
                <w:b/>
                <w:bCs/>
              </w:rPr>
              <w:t xml:space="preserve">Pre-Interview Period </w:t>
            </w:r>
          </w:p>
        </w:tc>
        <w:tc>
          <w:tcPr>
            <w:tcW w:w="3827" w:type="dxa"/>
          </w:tcPr>
          <w:p w14:paraId="3C91355E"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Invitations to more AHD/ teaching sessions</w:t>
            </w:r>
          </w:p>
          <w:p w14:paraId="29B91BB6"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Invitation to grand rounds – only one school I interviewed at </w:t>
            </w:r>
            <w:proofErr w:type="gramStart"/>
            <w:r w:rsidRPr="00484C00">
              <w:rPr>
                <w:rFonts w:ascii="Times New Roman" w:hAnsi="Times New Roman" w:cs="Times New Roman"/>
              </w:rPr>
              <w:t>actually invited</w:t>
            </w:r>
            <w:proofErr w:type="gramEnd"/>
            <w:r w:rsidRPr="00484C00">
              <w:rPr>
                <w:rFonts w:ascii="Times New Roman" w:hAnsi="Times New Roman" w:cs="Times New Roman"/>
              </w:rPr>
              <w:t xml:space="preserve"> the candidates to grand rounds</w:t>
            </w:r>
          </w:p>
          <w:p w14:paraId="3D68D050"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Virtual information sessions offered by all programs before the </w:t>
            </w:r>
            <w:proofErr w:type="spellStart"/>
            <w:r w:rsidRPr="00484C00">
              <w:rPr>
                <w:rFonts w:ascii="Times New Roman" w:hAnsi="Times New Roman" w:cs="Times New Roman"/>
              </w:rPr>
              <w:t>CaRMS</w:t>
            </w:r>
            <w:proofErr w:type="spellEnd"/>
            <w:r w:rsidRPr="00484C00">
              <w:rPr>
                <w:rFonts w:ascii="Times New Roman" w:hAnsi="Times New Roman" w:cs="Times New Roman"/>
              </w:rPr>
              <w:t xml:space="preserve"> interview process</w:t>
            </w:r>
          </w:p>
          <w:p w14:paraId="790C5391"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Being able to do in-person visiting electives (5) </w:t>
            </w:r>
          </w:p>
          <w:p w14:paraId="68EEDEF4"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Virtual elective opportunities in the form of case-based learning or virtual clinics</w:t>
            </w:r>
          </w:p>
          <w:p w14:paraId="2EEC2B75"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Programs collaborating on an apples-to-apples comparison (</w:t>
            </w:r>
            <w:proofErr w:type="gramStart"/>
            <w:r w:rsidRPr="00484C00">
              <w:rPr>
                <w:rFonts w:ascii="Times New Roman" w:hAnsi="Times New Roman" w:cs="Times New Roman"/>
              </w:rPr>
              <w:t>i.e.</w:t>
            </w:r>
            <w:proofErr w:type="gramEnd"/>
            <w:r w:rsidRPr="00484C00">
              <w:rPr>
                <w:rFonts w:ascii="Times New Roman" w:hAnsi="Times New Roman" w:cs="Times New Roman"/>
              </w:rPr>
              <w:t xml:space="preserve"> responding to a survey about varying features of residency [call, academic half days, what the culture is like, top 3-7 reasons residents would recommend the program, description of day-to-day experience on service])</w:t>
            </w:r>
          </w:p>
          <w:p w14:paraId="354BE1CD"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Opportunity to meet other residents virtually outside of a residency social</w:t>
            </w:r>
          </w:p>
        </w:tc>
        <w:tc>
          <w:tcPr>
            <w:tcW w:w="3543" w:type="dxa"/>
          </w:tcPr>
          <w:p w14:paraId="3B223516"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Availability of elective scheduling </w:t>
            </w:r>
          </w:p>
          <w:p w14:paraId="2A5B6F00"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Visiting electives would have been helpful to see how people would fit in (3)</w:t>
            </w:r>
          </w:p>
          <w:p w14:paraId="10BE1CF5"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Dedicated country-wide medical student teaching sessions</w:t>
            </w:r>
          </w:p>
          <w:p w14:paraId="6869A131"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Better use of websites earlier in the </w:t>
            </w:r>
            <w:proofErr w:type="spellStart"/>
            <w:r w:rsidRPr="00484C00">
              <w:rPr>
                <w:rFonts w:ascii="Times New Roman" w:hAnsi="Times New Roman" w:cs="Times New Roman"/>
              </w:rPr>
              <w:t>CaRMS</w:t>
            </w:r>
            <w:proofErr w:type="spellEnd"/>
            <w:r w:rsidRPr="00484C00">
              <w:rPr>
                <w:rFonts w:ascii="Times New Roman" w:hAnsi="Times New Roman" w:cs="Times New Roman"/>
              </w:rPr>
              <w:t xml:space="preserve"> cycle </w:t>
            </w:r>
          </w:p>
          <w:p w14:paraId="3759CBDD"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More information sessions with fewer people </w:t>
            </w:r>
          </w:p>
          <w:p w14:paraId="0AEEA8D1"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More exposure to applicants from other schools before the interview process – challenging to assess what it’s like to work with applicants from other schools when they were not able to do electives</w:t>
            </w:r>
          </w:p>
          <w:p w14:paraId="00CF1101"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Developing more ways for candidates to get to know the program </w:t>
            </w:r>
          </w:p>
        </w:tc>
      </w:tr>
      <w:tr w:rsidR="00F93FBF" w:rsidRPr="00484C00" w14:paraId="79A7ADB7" w14:textId="77777777" w:rsidTr="008F7997">
        <w:tc>
          <w:tcPr>
            <w:tcW w:w="1980" w:type="dxa"/>
          </w:tcPr>
          <w:p w14:paraId="0557F880" w14:textId="77777777" w:rsidR="00F93FBF" w:rsidRPr="00484C00" w:rsidRDefault="00F93FBF" w:rsidP="008F7997">
            <w:pPr>
              <w:tabs>
                <w:tab w:val="left" w:pos="993"/>
              </w:tabs>
              <w:rPr>
                <w:rFonts w:ascii="Times New Roman" w:hAnsi="Times New Roman" w:cs="Times New Roman"/>
                <w:b/>
                <w:bCs/>
              </w:rPr>
            </w:pPr>
            <w:r w:rsidRPr="00484C00">
              <w:rPr>
                <w:rFonts w:ascii="Times New Roman" w:hAnsi="Times New Roman" w:cs="Times New Roman"/>
                <w:b/>
                <w:bCs/>
              </w:rPr>
              <w:t xml:space="preserve">Interview Period </w:t>
            </w:r>
          </w:p>
        </w:tc>
        <w:tc>
          <w:tcPr>
            <w:tcW w:w="3827" w:type="dxa"/>
          </w:tcPr>
          <w:p w14:paraId="1AE50BD9"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Program X’s [social] was fun, but it would have been better to mingle more with residents and not just in one group </w:t>
            </w:r>
          </w:p>
          <w:p w14:paraId="60044EA5"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Social events with activities (not just more information sessions)</w:t>
            </w:r>
          </w:p>
          <w:p w14:paraId="204A0B17"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Socials were difficult because they were virtual </w:t>
            </w:r>
          </w:p>
          <w:p w14:paraId="539825CE"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Use of better platforms for social activities </w:t>
            </w:r>
          </w:p>
          <w:p w14:paraId="0EEF2F5F"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Some virtual information sessions were scheduled on days during which students were on call or had other academic duties. It would have been great if sessions were recorded and made </w:t>
            </w:r>
            <w:r w:rsidRPr="00484C00">
              <w:rPr>
                <w:rFonts w:ascii="Times New Roman" w:hAnsi="Times New Roman" w:cs="Times New Roman"/>
              </w:rPr>
              <w:lastRenderedPageBreak/>
              <w:t>available to all interested students.</w:t>
            </w:r>
          </w:p>
          <w:p w14:paraId="08F919B2"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Difficult to get to know other applicants well, since most of the socials are aimed at trying to get to know the programs (2)</w:t>
            </w:r>
          </w:p>
          <w:p w14:paraId="575B6E65"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More communication between schools to arrange socials that don’t overlap dates</w:t>
            </w:r>
          </w:p>
          <w:p w14:paraId="69A70363"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Additional virtual hospital tours (2)</w:t>
            </w:r>
          </w:p>
          <w:p w14:paraId="4739DFFB"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Having a </w:t>
            </w:r>
            <w:proofErr w:type="spellStart"/>
            <w:r w:rsidRPr="00484C00">
              <w:rPr>
                <w:rFonts w:ascii="Times New Roman" w:hAnsi="Times New Roman" w:cs="Times New Roman"/>
              </w:rPr>
              <w:t>CaRMS</w:t>
            </w:r>
            <w:proofErr w:type="spellEnd"/>
            <w:r w:rsidRPr="00484C00">
              <w:rPr>
                <w:rFonts w:ascii="Times New Roman" w:hAnsi="Times New Roman" w:cs="Times New Roman"/>
              </w:rPr>
              <w:t xml:space="preserve"> buddy from each program would be helpful to ask more questions beyond just the group sessions (2)</w:t>
            </w:r>
          </w:p>
          <w:p w14:paraId="1252730F"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More opportunities to talk one on 1 with residents </w:t>
            </w:r>
          </w:p>
          <w:p w14:paraId="0014B5E2"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More time getting to know staff in the program</w:t>
            </w:r>
          </w:p>
          <w:p w14:paraId="359251C1"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Do not use social media platform </w:t>
            </w:r>
            <w:proofErr w:type="spellStart"/>
            <w:r w:rsidRPr="00484C00">
              <w:rPr>
                <w:rFonts w:ascii="Times New Roman" w:hAnsi="Times New Roman" w:cs="Times New Roman"/>
              </w:rPr>
              <w:t>Kumospace</w:t>
            </w:r>
            <w:proofErr w:type="spellEnd"/>
            <w:r w:rsidRPr="00484C00">
              <w:rPr>
                <w:rFonts w:ascii="Times New Roman" w:hAnsi="Times New Roman" w:cs="Times New Roman"/>
              </w:rPr>
              <w:t xml:space="preserve"> (2)</w:t>
            </w:r>
          </w:p>
          <w:p w14:paraId="49572ADC" w14:textId="77777777" w:rsidR="00F93FBF" w:rsidRPr="00484C00" w:rsidRDefault="00F93FBF" w:rsidP="00F93FBF">
            <w:pPr>
              <w:pStyle w:val="ListParagraph"/>
              <w:numPr>
                <w:ilvl w:val="0"/>
                <w:numId w:val="1"/>
              </w:numPr>
              <w:tabs>
                <w:tab w:val="left" w:pos="993"/>
              </w:tabs>
              <w:rPr>
                <w:rFonts w:ascii="Times New Roman" w:hAnsi="Times New Roman" w:cs="Times New Roman"/>
              </w:rPr>
            </w:pPr>
            <w:r w:rsidRPr="00484C00">
              <w:rPr>
                <w:rFonts w:ascii="Times New Roman" w:hAnsi="Times New Roman" w:cs="Times New Roman"/>
              </w:rPr>
              <w:t xml:space="preserve">More information sessions and socials in pediatric neurology </w:t>
            </w:r>
          </w:p>
        </w:tc>
        <w:tc>
          <w:tcPr>
            <w:tcW w:w="3543" w:type="dxa"/>
          </w:tcPr>
          <w:p w14:paraId="301427EB"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lastRenderedPageBreak/>
              <w:t>If it had been in person (5)</w:t>
            </w:r>
          </w:p>
          <w:p w14:paraId="104C2EBA"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Difficult to get to know participants virtually – potentially more one on one time (even if virtual) with the candidates </w:t>
            </w:r>
          </w:p>
          <w:p w14:paraId="55A94C91"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Not having programs overlap interview days – with candidates attending more than one meeting in a day, it was the most reshuffling of interviews I have ever experienced. Trying to factor in multiple times zones national and internationally, added more stress. Programs </w:t>
            </w:r>
            <w:r w:rsidRPr="00484C00">
              <w:rPr>
                <w:rFonts w:ascii="Times New Roman" w:hAnsi="Times New Roman" w:cs="Times New Roman"/>
              </w:rPr>
              <w:lastRenderedPageBreak/>
              <w:t xml:space="preserve">shouldn’t be allowed to overlap when scheduling </w:t>
            </w:r>
            <w:proofErr w:type="spellStart"/>
            <w:r w:rsidRPr="00484C00">
              <w:rPr>
                <w:rFonts w:ascii="Times New Roman" w:hAnsi="Times New Roman" w:cs="Times New Roman"/>
              </w:rPr>
              <w:t>CaRMS</w:t>
            </w:r>
            <w:proofErr w:type="spellEnd"/>
            <w:r w:rsidRPr="00484C00">
              <w:rPr>
                <w:rFonts w:ascii="Times New Roman" w:hAnsi="Times New Roman" w:cs="Times New Roman"/>
              </w:rPr>
              <w:t xml:space="preserve"> interview days</w:t>
            </w:r>
          </w:p>
          <w:p w14:paraId="5AEB3CF4"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Familiarity with Zoom before the interview period</w:t>
            </w:r>
          </w:p>
          <w:p w14:paraId="0D8E3429"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Training on virtual interviews for Zoom </w:t>
            </w:r>
          </w:p>
          <w:p w14:paraId="2373C25E"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 xml:space="preserve">More time for interviews </w:t>
            </w:r>
          </w:p>
          <w:p w14:paraId="2AF44FD7" w14:textId="77777777" w:rsidR="00F93FBF" w:rsidRPr="00484C00" w:rsidRDefault="00F93FBF" w:rsidP="00F93FBF">
            <w:pPr>
              <w:pStyle w:val="ListParagraph"/>
              <w:numPr>
                <w:ilvl w:val="0"/>
                <w:numId w:val="2"/>
              </w:numPr>
              <w:rPr>
                <w:rFonts w:ascii="Times New Roman" w:hAnsi="Times New Roman" w:cs="Times New Roman"/>
              </w:rPr>
            </w:pPr>
            <w:r w:rsidRPr="00484C00">
              <w:rPr>
                <w:rFonts w:ascii="Times New Roman" w:hAnsi="Times New Roman" w:cs="Times New Roman"/>
              </w:rPr>
              <w:t>More socials and food were provided to the interviewees</w:t>
            </w:r>
          </w:p>
        </w:tc>
      </w:tr>
    </w:tbl>
    <w:p w14:paraId="73EC7FC2" w14:textId="50828DB9" w:rsidR="0038362C" w:rsidRPr="00484C00" w:rsidRDefault="00163361">
      <w:pPr>
        <w:rPr>
          <w:rFonts w:ascii="Times New Roman" w:hAnsi="Times New Roman" w:cs="Times New Roman"/>
          <w:b/>
          <w:bCs/>
        </w:rPr>
      </w:pPr>
      <w:r w:rsidRPr="00484C00">
        <w:rPr>
          <w:rFonts w:ascii="Times New Roman" w:hAnsi="Times New Roman" w:cs="Times New Roman"/>
          <w:b/>
          <w:bCs/>
        </w:rPr>
        <w:lastRenderedPageBreak/>
        <w:br w:type="page"/>
      </w:r>
    </w:p>
    <w:p w14:paraId="007E07EC" w14:textId="1CF48E3D" w:rsidR="0043413F" w:rsidRPr="00484C00" w:rsidRDefault="0043413F" w:rsidP="006D7C3C">
      <w:pPr>
        <w:spacing w:line="480" w:lineRule="auto"/>
        <w:rPr>
          <w:rFonts w:ascii="Times New Roman" w:hAnsi="Times New Roman" w:cs="Times New Roman"/>
          <w:b/>
          <w:bCs/>
        </w:rPr>
      </w:pPr>
      <w:r w:rsidRPr="00484C00">
        <w:rPr>
          <w:rFonts w:ascii="Times New Roman" w:hAnsi="Times New Roman" w:cs="Times New Roman"/>
          <w:b/>
          <w:bCs/>
        </w:rPr>
        <w:lastRenderedPageBreak/>
        <w:t xml:space="preserve">FIGURES </w:t>
      </w:r>
    </w:p>
    <w:p w14:paraId="3790796F" w14:textId="7801C46F" w:rsidR="0043413F" w:rsidRPr="00484C00" w:rsidRDefault="0043413F" w:rsidP="0043413F">
      <w:pPr>
        <w:rPr>
          <w:rFonts w:ascii="Times New Roman" w:hAnsi="Times New Roman" w:cs="Times New Roman"/>
        </w:rPr>
      </w:pPr>
      <w:r w:rsidRPr="00484C00">
        <w:rPr>
          <w:rFonts w:ascii="Times New Roman" w:hAnsi="Times New Roman" w:cs="Times New Roman"/>
          <w:noProof/>
        </w:rPr>
        <w:drawing>
          <wp:anchor distT="0" distB="0" distL="114300" distR="114300" simplePos="0" relativeHeight="251660288" behindDoc="0" locked="0" layoutInCell="1" allowOverlap="1" wp14:anchorId="17CED670" wp14:editId="6610C6A9">
            <wp:simplePos x="0" y="0"/>
            <wp:positionH relativeFrom="column">
              <wp:posOffset>-4445</wp:posOffset>
            </wp:positionH>
            <wp:positionV relativeFrom="paragraph">
              <wp:posOffset>3260090</wp:posOffset>
            </wp:positionV>
            <wp:extent cx="3913505" cy="2640330"/>
            <wp:effectExtent l="0" t="0" r="10795" b="13970"/>
            <wp:wrapSquare wrapText="bothSides"/>
            <wp:docPr id="21" name="Chart 21">
              <a:extLst xmlns:a="http://schemas.openxmlformats.org/drawingml/2006/main">
                <a:ext uri="{FF2B5EF4-FFF2-40B4-BE49-F238E27FC236}">
                  <a16:creationId xmlns:a16="http://schemas.microsoft.com/office/drawing/2014/main" id="{EDAE4782-A49D-164A-811C-1E9587CEE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484C00">
        <w:rPr>
          <w:rFonts w:ascii="Times New Roman" w:hAnsi="Times New Roman" w:cs="Times New Roman"/>
          <w:noProof/>
        </w:rPr>
        <w:drawing>
          <wp:anchor distT="0" distB="0" distL="114300" distR="114300" simplePos="0" relativeHeight="251659264" behindDoc="0" locked="0" layoutInCell="1" allowOverlap="1" wp14:anchorId="6393C558" wp14:editId="2CA21FCE">
            <wp:simplePos x="0" y="0"/>
            <wp:positionH relativeFrom="column">
              <wp:posOffset>0</wp:posOffset>
            </wp:positionH>
            <wp:positionV relativeFrom="paragraph">
              <wp:posOffset>611407</wp:posOffset>
            </wp:positionV>
            <wp:extent cx="3891915" cy="2664460"/>
            <wp:effectExtent l="0" t="0" r="6985" b="15240"/>
            <wp:wrapSquare wrapText="bothSides"/>
            <wp:docPr id="20" name="Chart 20">
              <a:extLst xmlns:a="http://schemas.openxmlformats.org/drawingml/2006/main">
                <a:ext uri="{FF2B5EF4-FFF2-40B4-BE49-F238E27FC236}">
                  <a16:creationId xmlns:a16="http://schemas.microsoft.com/office/drawing/2014/main" id="{3147D1EA-72FB-DF4A-8B5F-C242D68A3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484C00">
        <w:rPr>
          <w:rFonts w:ascii="Times New Roman" w:hAnsi="Times New Roman" w:cs="Times New Roman"/>
          <w:u w:val="single"/>
        </w:rPr>
        <w:t>Supplemental Materials Figure 1</w:t>
      </w:r>
      <w:r w:rsidRPr="00484C00">
        <w:rPr>
          <w:rFonts w:ascii="Times New Roman" w:hAnsi="Times New Roman" w:cs="Times New Roman"/>
        </w:rPr>
        <w:t>. Weeks of home and away neurology electives completed, stratified by the onset of the COVID-19 pandemic in March 2020: A) represents before March 2020 and B) represents after March 2020.</w:t>
      </w:r>
    </w:p>
    <w:p w14:paraId="76D9DCBE" w14:textId="6B9A98B7" w:rsidR="00417E75" w:rsidRPr="00484C00" w:rsidRDefault="00417E75" w:rsidP="0043413F">
      <w:pPr>
        <w:rPr>
          <w:rFonts w:ascii="Times New Roman" w:hAnsi="Times New Roman" w:cs="Times New Roman"/>
        </w:rPr>
      </w:pPr>
    </w:p>
    <w:p w14:paraId="24E1A1FD" w14:textId="7F1023F9" w:rsidR="00417E75" w:rsidRPr="00484C00" w:rsidRDefault="00417E75" w:rsidP="0043413F">
      <w:pPr>
        <w:rPr>
          <w:rFonts w:ascii="Times New Roman" w:hAnsi="Times New Roman" w:cs="Times New Roman"/>
        </w:rPr>
      </w:pPr>
    </w:p>
    <w:p w14:paraId="29410916" w14:textId="3F064DC2" w:rsidR="00417E75" w:rsidRPr="00484C00" w:rsidRDefault="00417E75" w:rsidP="0043413F">
      <w:pPr>
        <w:rPr>
          <w:rFonts w:ascii="Times New Roman" w:hAnsi="Times New Roman" w:cs="Times New Roman"/>
        </w:rPr>
      </w:pPr>
    </w:p>
    <w:p w14:paraId="6FE1F13A" w14:textId="49F03189" w:rsidR="00417E75" w:rsidRPr="00484C00" w:rsidRDefault="00417E75" w:rsidP="0043413F">
      <w:pPr>
        <w:rPr>
          <w:rFonts w:ascii="Times New Roman" w:hAnsi="Times New Roman" w:cs="Times New Roman"/>
        </w:rPr>
      </w:pPr>
    </w:p>
    <w:p w14:paraId="1EA92B2A" w14:textId="5AE9AE4B" w:rsidR="00417E75" w:rsidRPr="00484C00" w:rsidRDefault="00417E75" w:rsidP="0043413F">
      <w:pPr>
        <w:rPr>
          <w:rFonts w:ascii="Times New Roman" w:hAnsi="Times New Roman" w:cs="Times New Roman"/>
        </w:rPr>
      </w:pPr>
    </w:p>
    <w:p w14:paraId="51D04A63" w14:textId="3EC29B52" w:rsidR="00417E75" w:rsidRPr="00484C00" w:rsidRDefault="00417E75" w:rsidP="0043413F">
      <w:pPr>
        <w:rPr>
          <w:rFonts w:ascii="Times New Roman" w:hAnsi="Times New Roman" w:cs="Times New Roman"/>
        </w:rPr>
      </w:pPr>
    </w:p>
    <w:p w14:paraId="4ACD6D15" w14:textId="45DEA5BB" w:rsidR="00417E75" w:rsidRPr="00484C00" w:rsidRDefault="00417E75" w:rsidP="0043413F">
      <w:pPr>
        <w:rPr>
          <w:rFonts w:ascii="Times New Roman" w:hAnsi="Times New Roman" w:cs="Times New Roman"/>
        </w:rPr>
      </w:pPr>
    </w:p>
    <w:p w14:paraId="0988CE61" w14:textId="606211BD" w:rsidR="00417E75" w:rsidRPr="00484C00" w:rsidRDefault="00417E75" w:rsidP="0043413F">
      <w:pPr>
        <w:rPr>
          <w:rFonts w:ascii="Times New Roman" w:hAnsi="Times New Roman" w:cs="Times New Roman"/>
        </w:rPr>
      </w:pPr>
    </w:p>
    <w:p w14:paraId="2D4F69D6" w14:textId="5A9BF8FA" w:rsidR="00417E75" w:rsidRPr="00484C00" w:rsidRDefault="00417E75" w:rsidP="0043413F">
      <w:pPr>
        <w:rPr>
          <w:rFonts w:ascii="Times New Roman" w:hAnsi="Times New Roman" w:cs="Times New Roman"/>
        </w:rPr>
      </w:pPr>
    </w:p>
    <w:p w14:paraId="2CAB7E8A" w14:textId="4A22474E" w:rsidR="00417E75" w:rsidRPr="00484C00" w:rsidRDefault="00417E75" w:rsidP="0043413F">
      <w:pPr>
        <w:rPr>
          <w:rFonts w:ascii="Times New Roman" w:hAnsi="Times New Roman" w:cs="Times New Roman"/>
        </w:rPr>
      </w:pPr>
    </w:p>
    <w:p w14:paraId="201646A4" w14:textId="11A0CA1D" w:rsidR="00417E75" w:rsidRPr="00484C00" w:rsidRDefault="00417E75" w:rsidP="0043413F">
      <w:pPr>
        <w:rPr>
          <w:rFonts w:ascii="Times New Roman" w:hAnsi="Times New Roman" w:cs="Times New Roman"/>
        </w:rPr>
      </w:pPr>
    </w:p>
    <w:p w14:paraId="6076676A" w14:textId="396A4625" w:rsidR="00417E75" w:rsidRPr="00484C00" w:rsidRDefault="00417E75" w:rsidP="0043413F">
      <w:pPr>
        <w:rPr>
          <w:rFonts w:ascii="Times New Roman" w:hAnsi="Times New Roman" w:cs="Times New Roman"/>
        </w:rPr>
      </w:pPr>
    </w:p>
    <w:p w14:paraId="3D11BDDA" w14:textId="6CAD27D0" w:rsidR="00417E75" w:rsidRPr="00484C00" w:rsidRDefault="00417E75" w:rsidP="0043413F">
      <w:pPr>
        <w:rPr>
          <w:rFonts w:ascii="Times New Roman" w:hAnsi="Times New Roman" w:cs="Times New Roman"/>
        </w:rPr>
      </w:pPr>
    </w:p>
    <w:p w14:paraId="49DD4BAD" w14:textId="49AD0217" w:rsidR="00417E75" w:rsidRPr="00484C00" w:rsidRDefault="00417E75" w:rsidP="0043413F">
      <w:pPr>
        <w:rPr>
          <w:rFonts w:ascii="Times New Roman" w:hAnsi="Times New Roman" w:cs="Times New Roman"/>
        </w:rPr>
      </w:pPr>
    </w:p>
    <w:p w14:paraId="0D3608D2" w14:textId="6CFD194F" w:rsidR="00417E75" w:rsidRPr="00484C00" w:rsidRDefault="00417E75" w:rsidP="0043413F">
      <w:pPr>
        <w:rPr>
          <w:rFonts w:ascii="Times New Roman" w:hAnsi="Times New Roman" w:cs="Times New Roman"/>
        </w:rPr>
      </w:pPr>
    </w:p>
    <w:p w14:paraId="44C0CE4E" w14:textId="33B761AD" w:rsidR="00417E75" w:rsidRPr="00484C00" w:rsidRDefault="00417E75" w:rsidP="0043413F">
      <w:pPr>
        <w:rPr>
          <w:rFonts w:ascii="Times New Roman" w:hAnsi="Times New Roman" w:cs="Times New Roman"/>
        </w:rPr>
      </w:pPr>
    </w:p>
    <w:p w14:paraId="1D2AED6F" w14:textId="12E38F06" w:rsidR="00417E75" w:rsidRPr="00484C00" w:rsidRDefault="00417E75" w:rsidP="0043413F">
      <w:pPr>
        <w:rPr>
          <w:rFonts w:ascii="Times New Roman" w:hAnsi="Times New Roman" w:cs="Times New Roman"/>
        </w:rPr>
      </w:pPr>
    </w:p>
    <w:p w14:paraId="3EF28889" w14:textId="796CC1D0" w:rsidR="00417E75" w:rsidRPr="00484C00" w:rsidRDefault="00417E75" w:rsidP="0043413F">
      <w:pPr>
        <w:rPr>
          <w:rFonts w:ascii="Times New Roman" w:hAnsi="Times New Roman" w:cs="Times New Roman"/>
        </w:rPr>
      </w:pPr>
    </w:p>
    <w:p w14:paraId="5C5444CB" w14:textId="27DFFFE2" w:rsidR="00417E75" w:rsidRPr="00484C00" w:rsidRDefault="00417E75" w:rsidP="0043413F">
      <w:pPr>
        <w:rPr>
          <w:rFonts w:ascii="Times New Roman" w:hAnsi="Times New Roman" w:cs="Times New Roman"/>
        </w:rPr>
      </w:pPr>
    </w:p>
    <w:p w14:paraId="5768364D" w14:textId="53F80076" w:rsidR="00417E75" w:rsidRPr="00484C00" w:rsidRDefault="00417E75" w:rsidP="0043413F">
      <w:pPr>
        <w:rPr>
          <w:rFonts w:ascii="Times New Roman" w:hAnsi="Times New Roman" w:cs="Times New Roman"/>
        </w:rPr>
      </w:pPr>
    </w:p>
    <w:p w14:paraId="6C369C8F" w14:textId="06211729" w:rsidR="00417E75" w:rsidRPr="00484C00" w:rsidRDefault="00417E75" w:rsidP="0043413F">
      <w:pPr>
        <w:rPr>
          <w:rFonts w:ascii="Times New Roman" w:hAnsi="Times New Roman" w:cs="Times New Roman"/>
        </w:rPr>
      </w:pPr>
    </w:p>
    <w:p w14:paraId="3E822117" w14:textId="213C34BE" w:rsidR="00417E75" w:rsidRPr="00484C00" w:rsidRDefault="00417E75" w:rsidP="0043413F">
      <w:pPr>
        <w:rPr>
          <w:rFonts w:ascii="Times New Roman" w:hAnsi="Times New Roman" w:cs="Times New Roman"/>
        </w:rPr>
      </w:pPr>
    </w:p>
    <w:p w14:paraId="1DC01825" w14:textId="6D6B02FA" w:rsidR="00417E75" w:rsidRPr="00484C00" w:rsidRDefault="00417E75" w:rsidP="0043413F">
      <w:pPr>
        <w:rPr>
          <w:rFonts w:ascii="Times New Roman" w:hAnsi="Times New Roman" w:cs="Times New Roman"/>
        </w:rPr>
      </w:pPr>
    </w:p>
    <w:p w14:paraId="3D5E3239" w14:textId="61B982DB" w:rsidR="00417E75" w:rsidRPr="00484C00" w:rsidRDefault="00417E75" w:rsidP="0043413F">
      <w:pPr>
        <w:rPr>
          <w:rFonts w:ascii="Times New Roman" w:hAnsi="Times New Roman" w:cs="Times New Roman"/>
        </w:rPr>
      </w:pPr>
    </w:p>
    <w:p w14:paraId="24DDF6B5" w14:textId="724E4DD9" w:rsidR="00417E75" w:rsidRPr="00484C00" w:rsidRDefault="00417E75" w:rsidP="0043413F">
      <w:pPr>
        <w:rPr>
          <w:rFonts w:ascii="Times New Roman" w:hAnsi="Times New Roman" w:cs="Times New Roman"/>
        </w:rPr>
      </w:pPr>
    </w:p>
    <w:p w14:paraId="410D84B4" w14:textId="3EA8C56F" w:rsidR="00417E75" w:rsidRPr="00484C00" w:rsidRDefault="00417E75" w:rsidP="0043413F">
      <w:pPr>
        <w:rPr>
          <w:rFonts w:ascii="Times New Roman" w:hAnsi="Times New Roman" w:cs="Times New Roman"/>
        </w:rPr>
      </w:pPr>
    </w:p>
    <w:p w14:paraId="6BAAF735" w14:textId="18DA9BD3" w:rsidR="00417E75" w:rsidRPr="00484C00" w:rsidRDefault="00417E75" w:rsidP="0043413F">
      <w:pPr>
        <w:rPr>
          <w:rFonts w:ascii="Times New Roman" w:hAnsi="Times New Roman" w:cs="Times New Roman"/>
        </w:rPr>
      </w:pPr>
    </w:p>
    <w:p w14:paraId="1598B2F7" w14:textId="1E1661E2" w:rsidR="00417E75" w:rsidRPr="00484C00" w:rsidRDefault="00417E75" w:rsidP="0043413F">
      <w:pPr>
        <w:rPr>
          <w:rFonts w:ascii="Times New Roman" w:hAnsi="Times New Roman" w:cs="Times New Roman"/>
        </w:rPr>
      </w:pPr>
    </w:p>
    <w:p w14:paraId="5BB5DEC3" w14:textId="6B2FB980" w:rsidR="00417E75" w:rsidRPr="00484C00" w:rsidRDefault="00417E75" w:rsidP="0043413F">
      <w:pPr>
        <w:rPr>
          <w:rFonts w:ascii="Times New Roman" w:hAnsi="Times New Roman" w:cs="Times New Roman"/>
        </w:rPr>
      </w:pPr>
    </w:p>
    <w:p w14:paraId="20EC5B76" w14:textId="267D905D" w:rsidR="00417E75" w:rsidRPr="00484C00" w:rsidRDefault="00417E75" w:rsidP="0043413F">
      <w:pPr>
        <w:rPr>
          <w:rFonts w:ascii="Times New Roman" w:hAnsi="Times New Roman" w:cs="Times New Roman"/>
        </w:rPr>
      </w:pPr>
    </w:p>
    <w:p w14:paraId="3A18191A" w14:textId="4987C1B4" w:rsidR="00417E75" w:rsidRPr="00484C00" w:rsidRDefault="00417E75" w:rsidP="0043413F">
      <w:pPr>
        <w:rPr>
          <w:rFonts w:ascii="Times New Roman" w:hAnsi="Times New Roman" w:cs="Times New Roman"/>
        </w:rPr>
      </w:pPr>
    </w:p>
    <w:p w14:paraId="781EE643" w14:textId="54748A4E" w:rsidR="00417E75" w:rsidRPr="00484C00" w:rsidRDefault="00417E75" w:rsidP="0043413F">
      <w:pPr>
        <w:rPr>
          <w:rFonts w:ascii="Times New Roman" w:hAnsi="Times New Roman" w:cs="Times New Roman"/>
        </w:rPr>
      </w:pPr>
    </w:p>
    <w:p w14:paraId="15EAB6D1" w14:textId="687439A7" w:rsidR="00417E75" w:rsidRPr="00484C00" w:rsidRDefault="00417E75" w:rsidP="0043413F">
      <w:pPr>
        <w:rPr>
          <w:rFonts w:ascii="Times New Roman" w:hAnsi="Times New Roman" w:cs="Times New Roman"/>
        </w:rPr>
      </w:pPr>
    </w:p>
    <w:p w14:paraId="4DD4B1AE" w14:textId="73B13D45" w:rsidR="00417E75" w:rsidRPr="00484C00" w:rsidRDefault="00417E75" w:rsidP="0043413F">
      <w:pPr>
        <w:rPr>
          <w:rFonts w:ascii="Times New Roman" w:hAnsi="Times New Roman" w:cs="Times New Roman"/>
        </w:rPr>
      </w:pPr>
    </w:p>
    <w:p w14:paraId="718870D5" w14:textId="1A5D8375" w:rsidR="00417E75" w:rsidRPr="00484C00" w:rsidRDefault="00417E75" w:rsidP="0043413F">
      <w:pPr>
        <w:rPr>
          <w:rFonts w:ascii="Times New Roman" w:hAnsi="Times New Roman" w:cs="Times New Roman"/>
        </w:rPr>
      </w:pPr>
    </w:p>
    <w:p w14:paraId="1088DE86" w14:textId="6DCD64F0" w:rsidR="00417E75" w:rsidRPr="00484C00" w:rsidRDefault="00417E75" w:rsidP="0043413F">
      <w:pPr>
        <w:rPr>
          <w:rFonts w:ascii="Times New Roman" w:hAnsi="Times New Roman" w:cs="Times New Roman"/>
        </w:rPr>
      </w:pPr>
    </w:p>
    <w:p w14:paraId="7BA6361B" w14:textId="3276B1CE" w:rsidR="00417E75" w:rsidRPr="00484C00" w:rsidRDefault="00417E75" w:rsidP="0043413F">
      <w:pPr>
        <w:rPr>
          <w:rFonts w:ascii="Times New Roman" w:hAnsi="Times New Roman" w:cs="Times New Roman"/>
        </w:rPr>
      </w:pPr>
    </w:p>
    <w:p w14:paraId="0E8FF964" w14:textId="445F24BB" w:rsidR="00417E75" w:rsidRPr="00484C00" w:rsidRDefault="00417E75" w:rsidP="0043413F">
      <w:pPr>
        <w:rPr>
          <w:rFonts w:ascii="Times New Roman" w:hAnsi="Times New Roman" w:cs="Times New Roman"/>
        </w:rPr>
      </w:pPr>
    </w:p>
    <w:p w14:paraId="1110E4A4" w14:textId="50201EBA" w:rsidR="00417E75" w:rsidRPr="00484C00" w:rsidRDefault="00417E75">
      <w:pPr>
        <w:rPr>
          <w:rFonts w:ascii="Times New Roman" w:hAnsi="Times New Roman" w:cs="Times New Roman"/>
        </w:rPr>
      </w:pPr>
      <w:r w:rsidRPr="00484C00">
        <w:rPr>
          <w:rFonts w:ascii="Times New Roman" w:hAnsi="Times New Roman" w:cs="Times New Roman"/>
        </w:rPr>
        <w:br w:type="page"/>
      </w:r>
    </w:p>
    <w:p w14:paraId="0D069EDF" w14:textId="3F80AF16" w:rsidR="00417E75" w:rsidRPr="00484C00" w:rsidRDefault="00417E75" w:rsidP="0043413F">
      <w:pPr>
        <w:rPr>
          <w:rFonts w:ascii="Times New Roman" w:hAnsi="Times New Roman" w:cs="Times New Roman"/>
        </w:rPr>
      </w:pPr>
      <w:r w:rsidRPr="00484C00">
        <w:rPr>
          <w:rFonts w:ascii="Times New Roman" w:hAnsi="Times New Roman" w:cs="Times New Roman"/>
          <w:u w:val="single"/>
        </w:rPr>
        <w:lastRenderedPageBreak/>
        <w:t>Supplemental Materials Figure 2</w:t>
      </w:r>
      <w:r w:rsidRPr="00484C00">
        <w:rPr>
          <w:rFonts w:ascii="Times New Roman" w:hAnsi="Times New Roman" w:cs="Times New Roman"/>
        </w:rPr>
        <w:t>. Number of virtual neurology (adult or pediatric) interviews attended per medical student during the 2020-2021 match cycle.</w:t>
      </w:r>
      <w:r w:rsidRPr="00484C00">
        <w:rPr>
          <w:rFonts w:ascii="Times New Roman" w:hAnsi="Times New Roman" w:cs="Times New Roman"/>
        </w:rPr>
        <w:br/>
      </w:r>
    </w:p>
    <w:p w14:paraId="7B47936B" w14:textId="17B4C56D" w:rsidR="00417E75" w:rsidRPr="00484C00" w:rsidRDefault="00417E75" w:rsidP="0043413F">
      <w:pPr>
        <w:rPr>
          <w:rFonts w:ascii="Times New Roman" w:hAnsi="Times New Roman" w:cs="Times New Roman"/>
        </w:rPr>
      </w:pPr>
      <w:r w:rsidRPr="00484C00">
        <w:rPr>
          <w:rFonts w:ascii="Times New Roman" w:hAnsi="Times New Roman" w:cs="Times New Roman"/>
          <w:noProof/>
        </w:rPr>
        <w:drawing>
          <wp:inline distT="0" distB="0" distL="0" distR="0" wp14:anchorId="12160CF6" wp14:editId="72FBFFF2">
            <wp:extent cx="3986074" cy="2396971"/>
            <wp:effectExtent l="0" t="0" r="14605" b="16510"/>
            <wp:docPr id="16" name="Chart 16">
              <a:extLst xmlns:a="http://schemas.openxmlformats.org/drawingml/2006/main">
                <a:ext uri="{FF2B5EF4-FFF2-40B4-BE49-F238E27FC236}">
                  <a16:creationId xmlns:a16="http://schemas.microsoft.com/office/drawing/2014/main" id="{CE90FA6B-B4EF-9147-97AE-702C82ED32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17E75" w:rsidRPr="00484C00" w:rsidSect="002C03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04E"/>
    <w:multiLevelType w:val="hybridMultilevel"/>
    <w:tmpl w:val="A97EE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E28C6"/>
    <w:multiLevelType w:val="hybridMultilevel"/>
    <w:tmpl w:val="D04A5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D0513E"/>
    <w:multiLevelType w:val="hybridMultilevel"/>
    <w:tmpl w:val="08B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C1"/>
    <w:rsid w:val="00120030"/>
    <w:rsid w:val="00131F8B"/>
    <w:rsid w:val="00163361"/>
    <w:rsid w:val="001843EF"/>
    <w:rsid w:val="001975BE"/>
    <w:rsid w:val="002C03B5"/>
    <w:rsid w:val="002D28CC"/>
    <w:rsid w:val="002D3F06"/>
    <w:rsid w:val="00303524"/>
    <w:rsid w:val="0038215B"/>
    <w:rsid w:val="0038362C"/>
    <w:rsid w:val="003C231B"/>
    <w:rsid w:val="00417E75"/>
    <w:rsid w:val="00421206"/>
    <w:rsid w:val="0043413F"/>
    <w:rsid w:val="0043595D"/>
    <w:rsid w:val="00484C00"/>
    <w:rsid w:val="00505F98"/>
    <w:rsid w:val="00527DFB"/>
    <w:rsid w:val="00532D27"/>
    <w:rsid w:val="006422FD"/>
    <w:rsid w:val="00646FB3"/>
    <w:rsid w:val="006D7C3C"/>
    <w:rsid w:val="0074797D"/>
    <w:rsid w:val="00750FAE"/>
    <w:rsid w:val="00762E2E"/>
    <w:rsid w:val="0077125E"/>
    <w:rsid w:val="007C2112"/>
    <w:rsid w:val="008F3DCE"/>
    <w:rsid w:val="009D339C"/>
    <w:rsid w:val="00A62CDF"/>
    <w:rsid w:val="00A963E1"/>
    <w:rsid w:val="00AF03C1"/>
    <w:rsid w:val="00B50E7E"/>
    <w:rsid w:val="00BD28A3"/>
    <w:rsid w:val="00D05A8D"/>
    <w:rsid w:val="00D41DDB"/>
    <w:rsid w:val="00D6767C"/>
    <w:rsid w:val="00E52D61"/>
    <w:rsid w:val="00EB6910"/>
    <w:rsid w:val="00EC595A"/>
    <w:rsid w:val="00ED25D6"/>
    <w:rsid w:val="00F9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6AE671"/>
  <w15:chartTrackingRefBased/>
  <w15:docId w15:val="{EDEC7874-70B0-934D-80FA-B86A929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F06"/>
    <w:pPr>
      <w:ind w:left="720"/>
      <w:contextualSpacing/>
    </w:pPr>
  </w:style>
  <w:style w:type="character" w:styleId="CommentReference">
    <w:name w:val="annotation reference"/>
    <w:basedOn w:val="DefaultParagraphFont"/>
    <w:uiPriority w:val="99"/>
    <w:semiHidden/>
    <w:unhideWhenUsed/>
    <w:rsid w:val="006422FD"/>
    <w:rPr>
      <w:sz w:val="16"/>
      <w:szCs w:val="16"/>
    </w:rPr>
  </w:style>
  <w:style w:type="paragraph" w:styleId="CommentText">
    <w:name w:val="annotation text"/>
    <w:basedOn w:val="Normal"/>
    <w:link w:val="CommentTextChar"/>
    <w:uiPriority w:val="99"/>
    <w:semiHidden/>
    <w:unhideWhenUsed/>
    <w:rsid w:val="006422FD"/>
    <w:rPr>
      <w:sz w:val="20"/>
      <w:szCs w:val="20"/>
    </w:rPr>
  </w:style>
  <w:style w:type="character" w:customStyle="1" w:styleId="CommentTextChar">
    <w:name w:val="Comment Text Char"/>
    <w:basedOn w:val="DefaultParagraphFont"/>
    <w:link w:val="CommentText"/>
    <w:uiPriority w:val="99"/>
    <w:semiHidden/>
    <w:rsid w:val="006422FD"/>
    <w:rPr>
      <w:sz w:val="20"/>
      <w:szCs w:val="20"/>
    </w:rPr>
  </w:style>
  <w:style w:type="paragraph" w:styleId="CommentSubject">
    <w:name w:val="annotation subject"/>
    <w:basedOn w:val="CommentText"/>
    <w:next w:val="CommentText"/>
    <w:link w:val="CommentSubjectChar"/>
    <w:uiPriority w:val="99"/>
    <w:semiHidden/>
    <w:unhideWhenUsed/>
    <w:rsid w:val="006422FD"/>
    <w:rPr>
      <w:b/>
      <w:bCs/>
    </w:rPr>
  </w:style>
  <w:style w:type="character" w:customStyle="1" w:styleId="CommentSubjectChar">
    <w:name w:val="Comment Subject Char"/>
    <w:basedOn w:val="CommentTextChar"/>
    <w:link w:val="CommentSubject"/>
    <w:uiPriority w:val="99"/>
    <w:semiHidden/>
    <w:rsid w:val="006422FD"/>
    <w:rPr>
      <w:b/>
      <w:bCs/>
      <w:sz w:val="20"/>
      <w:szCs w:val="20"/>
    </w:rPr>
  </w:style>
  <w:style w:type="paragraph" w:styleId="NoSpacing">
    <w:name w:val="No Spacing"/>
    <w:uiPriority w:val="1"/>
    <w:qFormat/>
    <w:rsid w:val="00F93FBF"/>
    <w:rPr>
      <w:rFonts w:eastAsia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4953">
      <w:bodyDiv w:val="1"/>
      <w:marLeft w:val="0"/>
      <w:marRight w:val="0"/>
      <w:marTop w:val="0"/>
      <w:marBottom w:val="0"/>
      <w:divBdr>
        <w:top w:val="none" w:sz="0" w:space="0" w:color="auto"/>
        <w:left w:val="none" w:sz="0" w:space="0" w:color="auto"/>
        <w:bottom w:val="none" w:sz="0" w:space="0" w:color="auto"/>
        <w:right w:val="none" w:sz="0" w:space="0" w:color="auto"/>
      </w:divBdr>
    </w:div>
    <w:div w:id="19508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xueqinglun/Dropbox/Research/CaRMS%20MedEd%20Project/Data/Med_student_cle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xueqinglun/Dropbox/Research/CaRMS%20MedEd%20Project/Data/Med_student_cle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xueqinglun\Dropbox\Research\CaRMS%20MedEd%20Project\Data\Med_student_cle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B</a:t>
            </a:r>
            <a:endParaRPr lang="en-CA"/>
          </a:p>
        </c:rich>
      </c:tx>
      <c:layout>
        <c:manualLayout>
          <c:xMode val="edge"/>
          <c:yMode val="edge"/>
          <c:x val="0.92938503975336673"/>
          <c:y val="3.84800384800384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Graphs!$V$39</c:f>
              <c:strCache>
                <c:ptCount val="1"/>
                <c:pt idx="0">
                  <c:v>Away Electives</c:v>
                </c:pt>
              </c:strCache>
            </c:strRef>
          </c:tx>
          <c:spPr>
            <a:solidFill>
              <a:schemeClr val="accent1"/>
            </a:solidFill>
            <a:ln>
              <a:noFill/>
            </a:ln>
            <a:effectLst/>
          </c:spPr>
          <c:invertIfNegative val="0"/>
          <c:cat>
            <c:strRef>
              <c:f>Graphs!$U$40:$U$43</c:f>
              <c:strCache>
                <c:ptCount val="4"/>
                <c:pt idx="0">
                  <c:v>None</c:v>
                </c:pt>
                <c:pt idx="1">
                  <c:v>1-4 weeks</c:v>
                </c:pt>
                <c:pt idx="2">
                  <c:v>5-8 weeks</c:v>
                </c:pt>
                <c:pt idx="3">
                  <c:v>9 or more weeks</c:v>
                </c:pt>
              </c:strCache>
            </c:strRef>
          </c:cat>
          <c:val>
            <c:numRef>
              <c:f>Graphs!$V$40:$V$43</c:f>
              <c:numCache>
                <c:formatCode>General</c:formatCode>
                <c:ptCount val="4"/>
                <c:pt idx="0">
                  <c:v>22</c:v>
                </c:pt>
                <c:pt idx="1">
                  <c:v>6</c:v>
                </c:pt>
                <c:pt idx="2">
                  <c:v>0</c:v>
                </c:pt>
                <c:pt idx="3">
                  <c:v>0</c:v>
                </c:pt>
              </c:numCache>
            </c:numRef>
          </c:val>
          <c:extLst>
            <c:ext xmlns:c16="http://schemas.microsoft.com/office/drawing/2014/chart" uri="{C3380CC4-5D6E-409C-BE32-E72D297353CC}">
              <c16:uniqueId val="{00000000-A11C-E54B-8321-C87FA8F1A693}"/>
            </c:ext>
          </c:extLst>
        </c:ser>
        <c:ser>
          <c:idx val="1"/>
          <c:order val="1"/>
          <c:tx>
            <c:strRef>
              <c:f>Graphs!$W$39</c:f>
              <c:strCache>
                <c:ptCount val="1"/>
                <c:pt idx="0">
                  <c:v>Home Electives</c:v>
                </c:pt>
              </c:strCache>
            </c:strRef>
          </c:tx>
          <c:spPr>
            <a:solidFill>
              <a:schemeClr val="accent2"/>
            </a:solidFill>
            <a:ln>
              <a:noFill/>
            </a:ln>
            <a:effectLst/>
          </c:spPr>
          <c:invertIfNegative val="0"/>
          <c:cat>
            <c:strRef>
              <c:f>Graphs!$U$40:$U$43</c:f>
              <c:strCache>
                <c:ptCount val="4"/>
                <c:pt idx="0">
                  <c:v>None</c:v>
                </c:pt>
                <c:pt idx="1">
                  <c:v>1-4 weeks</c:v>
                </c:pt>
                <c:pt idx="2">
                  <c:v>5-8 weeks</c:v>
                </c:pt>
                <c:pt idx="3">
                  <c:v>9 or more weeks</c:v>
                </c:pt>
              </c:strCache>
            </c:strRef>
          </c:cat>
          <c:val>
            <c:numRef>
              <c:f>Graphs!$W$40:$W$43</c:f>
              <c:numCache>
                <c:formatCode>General</c:formatCode>
                <c:ptCount val="4"/>
                <c:pt idx="0">
                  <c:v>1</c:v>
                </c:pt>
                <c:pt idx="1">
                  <c:v>13</c:v>
                </c:pt>
                <c:pt idx="2">
                  <c:v>12</c:v>
                </c:pt>
                <c:pt idx="3">
                  <c:v>2</c:v>
                </c:pt>
              </c:numCache>
            </c:numRef>
          </c:val>
          <c:extLst>
            <c:ext xmlns:c16="http://schemas.microsoft.com/office/drawing/2014/chart" uri="{C3380CC4-5D6E-409C-BE32-E72D297353CC}">
              <c16:uniqueId val="{00000001-A11C-E54B-8321-C87FA8F1A693}"/>
            </c:ext>
          </c:extLst>
        </c:ser>
        <c:dLbls>
          <c:showLegendKey val="0"/>
          <c:showVal val="0"/>
          <c:showCatName val="0"/>
          <c:showSerName val="0"/>
          <c:showPercent val="0"/>
          <c:showBubbleSize val="0"/>
        </c:dLbls>
        <c:gapWidth val="219"/>
        <c:overlap val="-27"/>
        <c:axId val="394766720"/>
        <c:axId val="394768368"/>
      </c:barChart>
      <c:catAx>
        <c:axId val="39476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4768368"/>
        <c:crosses val="autoZero"/>
        <c:auto val="1"/>
        <c:lblAlgn val="ctr"/>
        <c:lblOffset val="100"/>
        <c:noMultiLvlLbl val="0"/>
      </c:catAx>
      <c:valAx>
        <c:axId val="39476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Number of Medical Students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476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a:t>
            </a:r>
          </a:p>
        </c:rich>
      </c:tx>
      <c:layout>
        <c:manualLayout>
          <c:xMode val="edge"/>
          <c:yMode val="edge"/>
          <c:x val="0.93383899699762196"/>
          <c:y val="1.90657769304099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Graphs!$V$33</c:f>
              <c:strCache>
                <c:ptCount val="1"/>
                <c:pt idx="0">
                  <c:v>Away Electives</c:v>
                </c:pt>
              </c:strCache>
            </c:strRef>
          </c:tx>
          <c:spPr>
            <a:solidFill>
              <a:schemeClr val="accent1"/>
            </a:solidFill>
            <a:ln>
              <a:noFill/>
            </a:ln>
            <a:effectLst/>
          </c:spPr>
          <c:invertIfNegative val="0"/>
          <c:cat>
            <c:strRef>
              <c:f>Graphs!$U$34:$U$37</c:f>
              <c:strCache>
                <c:ptCount val="4"/>
                <c:pt idx="0">
                  <c:v>None</c:v>
                </c:pt>
                <c:pt idx="1">
                  <c:v>1-4 weeks</c:v>
                </c:pt>
                <c:pt idx="2">
                  <c:v>5-8 weeks</c:v>
                </c:pt>
                <c:pt idx="3">
                  <c:v>9 or more weeks</c:v>
                </c:pt>
              </c:strCache>
            </c:strRef>
          </c:cat>
          <c:val>
            <c:numRef>
              <c:f>Graphs!$V$34:$V$37</c:f>
              <c:numCache>
                <c:formatCode>General</c:formatCode>
                <c:ptCount val="4"/>
                <c:pt idx="0">
                  <c:v>16</c:v>
                </c:pt>
                <c:pt idx="1">
                  <c:v>9</c:v>
                </c:pt>
                <c:pt idx="2">
                  <c:v>3</c:v>
                </c:pt>
                <c:pt idx="3">
                  <c:v>0</c:v>
                </c:pt>
              </c:numCache>
            </c:numRef>
          </c:val>
          <c:extLst>
            <c:ext xmlns:c16="http://schemas.microsoft.com/office/drawing/2014/chart" uri="{C3380CC4-5D6E-409C-BE32-E72D297353CC}">
              <c16:uniqueId val="{00000000-C489-354D-A696-3B9F337D8C85}"/>
            </c:ext>
          </c:extLst>
        </c:ser>
        <c:ser>
          <c:idx val="1"/>
          <c:order val="1"/>
          <c:tx>
            <c:strRef>
              <c:f>Graphs!$W$33</c:f>
              <c:strCache>
                <c:ptCount val="1"/>
                <c:pt idx="0">
                  <c:v>Home Electives</c:v>
                </c:pt>
              </c:strCache>
            </c:strRef>
          </c:tx>
          <c:spPr>
            <a:solidFill>
              <a:schemeClr val="accent2"/>
            </a:solidFill>
            <a:ln>
              <a:noFill/>
            </a:ln>
            <a:effectLst/>
          </c:spPr>
          <c:invertIfNegative val="0"/>
          <c:cat>
            <c:strRef>
              <c:f>Graphs!$U$34:$U$37</c:f>
              <c:strCache>
                <c:ptCount val="4"/>
                <c:pt idx="0">
                  <c:v>None</c:v>
                </c:pt>
                <c:pt idx="1">
                  <c:v>1-4 weeks</c:v>
                </c:pt>
                <c:pt idx="2">
                  <c:v>5-8 weeks</c:v>
                </c:pt>
                <c:pt idx="3">
                  <c:v>9 or more weeks</c:v>
                </c:pt>
              </c:strCache>
            </c:strRef>
          </c:cat>
          <c:val>
            <c:numRef>
              <c:f>Graphs!$W$34:$W$37</c:f>
              <c:numCache>
                <c:formatCode>General</c:formatCode>
                <c:ptCount val="4"/>
                <c:pt idx="0">
                  <c:v>15</c:v>
                </c:pt>
                <c:pt idx="1">
                  <c:v>11</c:v>
                </c:pt>
                <c:pt idx="2">
                  <c:v>1</c:v>
                </c:pt>
                <c:pt idx="3">
                  <c:v>1</c:v>
                </c:pt>
              </c:numCache>
            </c:numRef>
          </c:val>
          <c:extLst>
            <c:ext xmlns:c16="http://schemas.microsoft.com/office/drawing/2014/chart" uri="{C3380CC4-5D6E-409C-BE32-E72D297353CC}">
              <c16:uniqueId val="{00000001-C489-354D-A696-3B9F337D8C85}"/>
            </c:ext>
          </c:extLst>
        </c:ser>
        <c:dLbls>
          <c:showLegendKey val="0"/>
          <c:showVal val="0"/>
          <c:showCatName val="0"/>
          <c:showSerName val="0"/>
          <c:showPercent val="0"/>
          <c:showBubbleSize val="0"/>
        </c:dLbls>
        <c:gapWidth val="219"/>
        <c:overlap val="-27"/>
        <c:axId val="351205312"/>
        <c:axId val="351206960"/>
      </c:barChart>
      <c:catAx>
        <c:axId val="35120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1206960"/>
        <c:crosses val="autoZero"/>
        <c:auto val="1"/>
        <c:lblAlgn val="ctr"/>
        <c:lblOffset val="100"/>
        <c:noMultiLvlLbl val="0"/>
      </c:catAx>
      <c:valAx>
        <c:axId val="351206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Number of Medical Students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120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Graphs!$A$48:$A$53</c:f>
              <c:strCache>
                <c:ptCount val="6"/>
                <c:pt idx="0">
                  <c:v>0</c:v>
                </c:pt>
                <c:pt idx="1">
                  <c:v>1 to 3</c:v>
                </c:pt>
                <c:pt idx="2">
                  <c:v>4 to 6</c:v>
                </c:pt>
                <c:pt idx="3">
                  <c:v>7 to 9</c:v>
                </c:pt>
                <c:pt idx="4">
                  <c:v>10 to 13 </c:v>
                </c:pt>
                <c:pt idx="5">
                  <c:v>14 or more</c:v>
                </c:pt>
              </c:strCache>
            </c:strRef>
          </c:cat>
          <c:val>
            <c:numRef>
              <c:f>Graphs!$B$48:$B$53</c:f>
              <c:numCache>
                <c:formatCode>General</c:formatCode>
                <c:ptCount val="6"/>
                <c:pt idx="0">
                  <c:v>1</c:v>
                </c:pt>
                <c:pt idx="1">
                  <c:v>3</c:v>
                </c:pt>
                <c:pt idx="2">
                  <c:v>4</c:v>
                </c:pt>
                <c:pt idx="3">
                  <c:v>6</c:v>
                </c:pt>
                <c:pt idx="4">
                  <c:v>12</c:v>
                </c:pt>
                <c:pt idx="5">
                  <c:v>2</c:v>
                </c:pt>
              </c:numCache>
            </c:numRef>
          </c:val>
          <c:extLst>
            <c:ext xmlns:c16="http://schemas.microsoft.com/office/drawing/2014/chart" uri="{C3380CC4-5D6E-409C-BE32-E72D297353CC}">
              <c16:uniqueId val="{00000000-0184-B547-8A80-B65C568A4197}"/>
            </c:ext>
          </c:extLst>
        </c:ser>
        <c:dLbls>
          <c:showLegendKey val="0"/>
          <c:showVal val="0"/>
          <c:showCatName val="0"/>
          <c:showSerName val="0"/>
          <c:showPercent val="0"/>
          <c:showBubbleSize val="0"/>
        </c:dLbls>
        <c:gapWidth val="100"/>
        <c:overlap val="-24"/>
        <c:axId val="763948575"/>
        <c:axId val="873525519"/>
      </c:barChart>
      <c:catAx>
        <c:axId val="763948575"/>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Number of interviews</a:t>
                </a:r>
                <a:r>
                  <a:rPr lang="en-US" baseline="0"/>
                  <a:t>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3525519"/>
        <c:crosses val="autoZero"/>
        <c:auto val="1"/>
        <c:lblAlgn val="ctr"/>
        <c:lblOffset val="100"/>
        <c:noMultiLvlLbl val="0"/>
      </c:catAx>
      <c:valAx>
        <c:axId val="873525519"/>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Number of medical students </a:t>
                </a:r>
              </a:p>
            </c:rich>
          </c:tx>
          <c:layout>
            <c:manualLayout>
              <c:xMode val="edge"/>
              <c:yMode val="edge"/>
              <c:x val="3.5048590090807713E-2"/>
              <c:y val="0.1069422363540010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63948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Lun</dc:creator>
  <cp:keywords/>
  <dc:description/>
  <cp:lastModifiedBy>Naomi Niznick</cp:lastModifiedBy>
  <cp:revision>2</cp:revision>
  <dcterms:created xsi:type="dcterms:W3CDTF">2021-12-27T23:18:00Z</dcterms:created>
  <dcterms:modified xsi:type="dcterms:W3CDTF">2021-12-27T23:18:00Z</dcterms:modified>
</cp:coreProperties>
</file>