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CD89" w14:textId="739E07D8" w:rsidR="003E120F" w:rsidRDefault="006C5B6D" w:rsidP="003B01CA">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Supplementary </w:t>
      </w:r>
      <w:r w:rsidR="003E120F" w:rsidRPr="00EB11B8">
        <w:rPr>
          <w:rFonts w:ascii="Times New Roman" w:hAnsi="Times New Roman" w:cs="Times New Roman"/>
          <w:b/>
          <w:bCs/>
          <w:sz w:val="24"/>
          <w:szCs w:val="24"/>
          <w:lang w:val="en-US"/>
        </w:rPr>
        <w:t>Table</w:t>
      </w:r>
      <w:r w:rsidR="00D4164E">
        <w:rPr>
          <w:rFonts w:ascii="Times New Roman" w:hAnsi="Times New Roman" w:cs="Times New Roman"/>
          <w:b/>
          <w:bCs/>
          <w:sz w:val="24"/>
          <w:szCs w:val="24"/>
          <w:lang w:val="en-US"/>
        </w:rPr>
        <w:t xml:space="preserve"> 1</w:t>
      </w:r>
      <w:r w:rsidR="003E120F" w:rsidRPr="00EB11B8">
        <w:rPr>
          <w:rFonts w:ascii="Times New Roman" w:hAnsi="Times New Roman" w:cs="Times New Roman"/>
          <w:b/>
          <w:bCs/>
          <w:sz w:val="24"/>
          <w:szCs w:val="24"/>
          <w:lang w:val="en-US"/>
        </w:rPr>
        <w:t xml:space="preserve">: </w:t>
      </w:r>
      <w:r w:rsidR="00D62E0D">
        <w:rPr>
          <w:rFonts w:ascii="Times New Roman" w:hAnsi="Times New Roman" w:cs="Times New Roman"/>
          <w:b/>
          <w:bCs/>
          <w:sz w:val="24"/>
          <w:szCs w:val="24"/>
          <w:lang w:val="en-US"/>
        </w:rPr>
        <w:t>Summary</w:t>
      </w:r>
      <w:r w:rsidR="003E120F" w:rsidRPr="00EB11B8">
        <w:rPr>
          <w:rFonts w:ascii="Times New Roman" w:hAnsi="Times New Roman" w:cs="Times New Roman"/>
          <w:b/>
          <w:bCs/>
          <w:sz w:val="24"/>
          <w:szCs w:val="24"/>
          <w:lang w:val="en-US"/>
        </w:rPr>
        <w:t xml:space="preserve"> of previous studies </w:t>
      </w:r>
      <w:r w:rsidR="00EB57A3">
        <w:rPr>
          <w:rFonts w:ascii="Times New Roman" w:hAnsi="Times New Roman" w:cs="Times New Roman"/>
          <w:b/>
          <w:bCs/>
          <w:sz w:val="24"/>
          <w:szCs w:val="24"/>
          <w:lang w:val="en-US"/>
        </w:rPr>
        <w:t xml:space="preserve">of vanishing white matter disease </w:t>
      </w:r>
    </w:p>
    <w:tbl>
      <w:tblPr>
        <w:tblStyle w:val="TableGrid"/>
        <w:tblW w:w="5000" w:type="pct"/>
        <w:tblLook w:val="04A0" w:firstRow="1" w:lastRow="0" w:firstColumn="1" w:lastColumn="0" w:noHBand="0" w:noVBand="1"/>
      </w:tblPr>
      <w:tblGrid>
        <w:gridCol w:w="1936"/>
        <w:gridCol w:w="937"/>
        <w:gridCol w:w="1013"/>
        <w:gridCol w:w="1247"/>
        <w:gridCol w:w="4603"/>
        <w:gridCol w:w="1481"/>
        <w:gridCol w:w="2731"/>
      </w:tblGrid>
      <w:tr w:rsidR="0081055F" w:rsidRPr="0019752B" w14:paraId="6536B730" w14:textId="77777777" w:rsidTr="00D4164E">
        <w:tc>
          <w:tcPr>
            <w:tcW w:w="694" w:type="pct"/>
          </w:tcPr>
          <w:p w14:paraId="5EA60982" w14:textId="77777777" w:rsidR="0081055F" w:rsidRPr="0019752B" w:rsidRDefault="0081055F" w:rsidP="003B01CA">
            <w:pPr>
              <w:rPr>
                <w:rFonts w:ascii="Times New Roman" w:hAnsi="Times New Roman" w:cs="Times New Roman"/>
                <w:b/>
                <w:bCs/>
                <w:sz w:val="20"/>
                <w:szCs w:val="20"/>
                <w:lang w:val="en-US"/>
              </w:rPr>
            </w:pPr>
            <w:r w:rsidRPr="0019752B">
              <w:rPr>
                <w:rFonts w:ascii="Times New Roman" w:hAnsi="Times New Roman" w:cs="Times New Roman"/>
                <w:b/>
                <w:bCs/>
                <w:sz w:val="20"/>
                <w:szCs w:val="20"/>
                <w:lang w:val="en-US"/>
              </w:rPr>
              <w:t>Author, Year/ Country</w:t>
            </w:r>
          </w:p>
        </w:tc>
        <w:tc>
          <w:tcPr>
            <w:tcW w:w="336" w:type="pct"/>
          </w:tcPr>
          <w:p w14:paraId="22C7A276" w14:textId="77777777" w:rsidR="0081055F" w:rsidRPr="0019752B" w:rsidRDefault="0081055F" w:rsidP="003B01CA">
            <w:pPr>
              <w:rPr>
                <w:rFonts w:ascii="Times New Roman" w:hAnsi="Times New Roman" w:cs="Times New Roman"/>
                <w:b/>
                <w:bCs/>
                <w:sz w:val="20"/>
                <w:szCs w:val="20"/>
                <w:lang w:val="en-US"/>
              </w:rPr>
            </w:pPr>
            <w:r w:rsidRPr="0019752B">
              <w:rPr>
                <w:rFonts w:ascii="Times New Roman" w:hAnsi="Times New Roman" w:cs="Times New Roman"/>
                <w:b/>
                <w:bCs/>
                <w:sz w:val="20"/>
                <w:szCs w:val="20"/>
                <w:lang w:val="en-US"/>
              </w:rPr>
              <w:t>Number of patients</w:t>
            </w:r>
          </w:p>
        </w:tc>
        <w:tc>
          <w:tcPr>
            <w:tcW w:w="363" w:type="pct"/>
          </w:tcPr>
          <w:p w14:paraId="5FB0415D" w14:textId="77777777" w:rsidR="0081055F" w:rsidRPr="0019752B" w:rsidRDefault="0081055F" w:rsidP="003B01CA">
            <w:pPr>
              <w:rPr>
                <w:rFonts w:ascii="Times New Roman" w:hAnsi="Times New Roman" w:cs="Times New Roman"/>
                <w:b/>
                <w:bCs/>
                <w:sz w:val="20"/>
                <w:szCs w:val="20"/>
                <w:lang w:val="en-US"/>
              </w:rPr>
            </w:pPr>
            <w:r w:rsidRPr="0019752B">
              <w:rPr>
                <w:rFonts w:ascii="Times New Roman" w:hAnsi="Times New Roman" w:cs="Times New Roman"/>
                <w:b/>
                <w:bCs/>
                <w:sz w:val="20"/>
                <w:szCs w:val="20"/>
                <w:lang w:val="en-US"/>
              </w:rPr>
              <w:t>Gender</w:t>
            </w:r>
          </w:p>
        </w:tc>
        <w:tc>
          <w:tcPr>
            <w:tcW w:w="447" w:type="pct"/>
          </w:tcPr>
          <w:p w14:paraId="07C864FB" w14:textId="77777777" w:rsidR="0081055F" w:rsidRPr="0019752B" w:rsidRDefault="0081055F" w:rsidP="003B01CA">
            <w:pPr>
              <w:rPr>
                <w:rFonts w:ascii="Times New Roman" w:hAnsi="Times New Roman" w:cs="Times New Roman"/>
                <w:b/>
                <w:bCs/>
                <w:sz w:val="20"/>
                <w:szCs w:val="20"/>
                <w:lang w:val="en-US"/>
              </w:rPr>
            </w:pPr>
            <w:r w:rsidRPr="0019752B">
              <w:rPr>
                <w:rFonts w:ascii="Times New Roman" w:hAnsi="Times New Roman" w:cs="Times New Roman"/>
                <w:b/>
                <w:bCs/>
                <w:sz w:val="20"/>
                <w:szCs w:val="20"/>
                <w:lang w:val="en-US"/>
              </w:rPr>
              <w:t>Age at onset</w:t>
            </w:r>
          </w:p>
        </w:tc>
        <w:tc>
          <w:tcPr>
            <w:tcW w:w="1650" w:type="pct"/>
          </w:tcPr>
          <w:p w14:paraId="2DD69CA5" w14:textId="77777777" w:rsidR="0081055F" w:rsidRPr="0019752B" w:rsidRDefault="0081055F" w:rsidP="003B01CA">
            <w:pPr>
              <w:rPr>
                <w:rFonts w:ascii="Times New Roman" w:hAnsi="Times New Roman" w:cs="Times New Roman"/>
                <w:b/>
                <w:bCs/>
                <w:sz w:val="20"/>
                <w:szCs w:val="20"/>
                <w:lang w:val="en-US"/>
              </w:rPr>
            </w:pPr>
            <w:r w:rsidRPr="0019752B">
              <w:rPr>
                <w:rFonts w:ascii="Times New Roman" w:hAnsi="Times New Roman" w:cs="Times New Roman"/>
                <w:b/>
                <w:bCs/>
                <w:sz w:val="20"/>
                <w:szCs w:val="20"/>
                <w:lang w:val="en-US"/>
              </w:rPr>
              <w:t>Phenotype</w:t>
            </w:r>
          </w:p>
        </w:tc>
        <w:tc>
          <w:tcPr>
            <w:tcW w:w="531" w:type="pct"/>
          </w:tcPr>
          <w:p w14:paraId="1D4426E8" w14:textId="77777777" w:rsidR="0081055F" w:rsidRPr="0019752B" w:rsidRDefault="0081055F" w:rsidP="003B01CA">
            <w:pPr>
              <w:rPr>
                <w:rFonts w:ascii="Times New Roman" w:hAnsi="Times New Roman" w:cs="Times New Roman"/>
                <w:b/>
                <w:bCs/>
                <w:sz w:val="20"/>
                <w:szCs w:val="20"/>
                <w:lang w:val="en-US"/>
              </w:rPr>
            </w:pPr>
            <w:r w:rsidRPr="0019752B">
              <w:rPr>
                <w:rFonts w:ascii="Times New Roman" w:hAnsi="Times New Roman" w:cs="Times New Roman"/>
                <w:b/>
                <w:bCs/>
                <w:sz w:val="20"/>
                <w:szCs w:val="20"/>
                <w:lang w:val="en-US"/>
              </w:rPr>
              <w:t>Mean/median Follow up duration</w:t>
            </w:r>
          </w:p>
        </w:tc>
        <w:tc>
          <w:tcPr>
            <w:tcW w:w="979" w:type="pct"/>
          </w:tcPr>
          <w:p w14:paraId="5A955843" w14:textId="77777777" w:rsidR="0081055F" w:rsidRPr="0019752B" w:rsidRDefault="0081055F" w:rsidP="003B01CA">
            <w:pPr>
              <w:rPr>
                <w:rFonts w:ascii="Times New Roman" w:hAnsi="Times New Roman" w:cs="Times New Roman"/>
                <w:b/>
                <w:bCs/>
                <w:sz w:val="20"/>
                <w:szCs w:val="20"/>
                <w:lang w:val="en-US"/>
              </w:rPr>
            </w:pPr>
            <w:r w:rsidRPr="0019752B">
              <w:rPr>
                <w:rFonts w:ascii="Times New Roman" w:hAnsi="Times New Roman" w:cs="Times New Roman"/>
                <w:b/>
                <w:bCs/>
                <w:sz w:val="20"/>
                <w:szCs w:val="20"/>
                <w:lang w:val="en-US"/>
              </w:rPr>
              <w:t>Outcome</w:t>
            </w:r>
          </w:p>
        </w:tc>
      </w:tr>
      <w:tr w:rsidR="0081055F" w:rsidRPr="0019752B" w14:paraId="174121D1" w14:textId="77777777" w:rsidTr="00D4164E">
        <w:tc>
          <w:tcPr>
            <w:tcW w:w="694" w:type="pct"/>
          </w:tcPr>
          <w:p w14:paraId="7F1E8A78" w14:textId="056EE865" w:rsidR="0081055F" w:rsidRPr="0019752B" w:rsidRDefault="0081055F" w:rsidP="003B01CA">
            <w:pPr>
              <w:rPr>
                <w:rFonts w:ascii="Times New Roman" w:hAnsi="Times New Roman" w:cs="Times New Roman"/>
                <w:b/>
                <w:bCs/>
                <w:sz w:val="20"/>
                <w:szCs w:val="20"/>
                <w:vertAlign w:val="superscript"/>
                <w:lang w:val="en-US"/>
              </w:rPr>
            </w:pPr>
            <w:proofErr w:type="spellStart"/>
            <w:r w:rsidRPr="0019752B">
              <w:rPr>
                <w:rFonts w:ascii="Times New Roman" w:hAnsi="Times New Roman" w:cs="Times New Roman"/>
                <w:b/>
                <w:bCs/>
                <w:sz w:val="20"/>
                <w:szCs w:val="20"/>
                <w:lang w:val="en-US"/>
              </w:rPr>
              <w:t>Maletkovic</w:t>
            </w:r>
            <w:proofErr w:type="spellEnd"/>
            <w:r w:rsidRPr="0019752B">
              <w:rPr>
                <w:rFonts w:ascii="Times New Roman" w:hAnsi="Times New Roman" w:cs="Times New Roman"/>
                <w:b/>
                <w:bCs/>
                <w:sz w:val="20"/>
                <w:szCs w:val="20"/>
                <w:lang w:val="en-US"/>
              </w:rPr>
              <w:t xml:space="preserve"> et al., 2008</w:t>
            </w:r>
            <w:r w:rsidR="003B43C9" w:rsidRPr="0019752B">
              <w:rPr>
                <w:rFonts w:ascii="Times New Roman" w:hAnsi="Times New Roman" w:cs="Times New Roman"/>
                <w:b/>
                <w:bCs/>
                <w:sz w:val="20"/>
                <w:szCs w:val="20"/>
                <w:vertAlign w:val="superscript"/>
                <w:lang w:val="en-US"/>
              </w:rPr>
              <w:t>1</w:t>
            </w:r>
          </w:p>
          <w:p w14:paraId="51B31C39" w14:textId="77777777" w:rsidR="0081055F" w:rsidRPr="0019752B" w:rsidRDefault="0081055F" w:rsidP="003B01CA">
            <w:pPr>
              <w:rPr>
                <w:rFonts w:ascii="Times New Roman" w:hAnsi="Times New Roman" w:cs="Times New Roman"/>
                <w:b/>
                <w:bCs/>
                <w:sz w:val="20"/>
                <w:szCs w:val="20"/>
                <w:lang w:val="en-US"/>
              </w:rPr>
            </w:pPr>
            <w:r w:rsidRPr="0019752B">
              <w:rPr>
                <w:rFonts w:ascii="Times New Roman" w:hAnsi="Times New Roman" w:cs="Times New Roman"/>
                <w:b/>
                <w:bCs/>
                <w:sz w:val="20"/>
                <w:szCs w:val="20"/>
                <w:lang w:val="en-US"/>
              </w:rPr>
              <w:t>Multicenter</w:t>
            </w:r>
          </w:p>
        </w:tc>
        <w:tc>
          <w:tcPr>
            <w:tcW w:w="336" w:type="pct"/>
          </w:tcPr>
          <w:p w14:paraId="5F4E8FA5"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15</w:t>
            </w:r>
          </w:p>
        </w:tc>
        <w:tc>
          <w:tcPr>
            <w:tcW w:w="363" w:type="pct"/>
          </w:tcPr>
          <w:p w14:paraId="63E99E15"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M=9, F=6</w:t>
            </w:r>
          </w:p>
        </w:tc>
        <w:tc>
          <w:tcPr>
            <w:tcW w:w="447" w:type="pct"/>
          </w:tcPr>
          <w:p w14:paraId="1462701C"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6 months-38 years</w:t>
            </w:r>
          </w:p>
        </w:tc>
        <w:tc>
          <w:tcPr>
            <w:tcW w:w="1650" w:type="pct"/>
          </w:tcPr>
          <w:p w14:paraId="1F73ABE7" w14:textId="0EAFE063"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Progressive spastic ataxia (9), paroxysmal deterioration (9), chorea (1), tremor (1), seizures (1), torticollis (1)</w:t>
            </w:r>
          </w:p>
        </w:tc>
        <w:tc>
          <w:tcPr>
            <w:tcW w:w="531" w:type="pct"/>
          </w:tcPr>
          <w:p w14:paraId="33968C91"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NA</w:t>
            </w:r>
          </w:p>
        </w:tc>
        <w:tc>
          <w:tcPr>
            <w:tcW w:w="979" w:type="pct"/>
          </w:tcPr>
          <w:p w14:paraId="319B73BD"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NA</w:t>
            </w:r>
          </w:p>
        </w:tc>
      </w:tr>
      <w:tr w:rsidR="0081055F" w:rsidRPr="0019752B" w14:paraId="242155A6" w14:textId="77777777" w:rsidTr="00D4164E">
        <w:tc>
          <w:tcPr>
            <w:tcW w:w="694" w:type="pct"/>
          </w:tcPr>
          <w:p w14:paraId="38BB06E6" w14:textId="0AD62789" w:rsidR="0081055F" w:rsidRPr="0019752B" w:rsidRDefault="0081055F" w:rsidP="003B01CA">
            <w:pPr>
              <w:rPr>
                <w:rFonts w:ascii="Times New Roman" w:hAnsi="Times New Roman" w:cs="Times New Roman"/>
                <w:b/>
                <w:bCs/>
                <w:sz w:val="20"/>
                <w:szCs w:val="20"/>
                <w:vertAlign w:val="superscript"/>
                <w:lang w:val="en-US"/>
              </w:rPr>
            </w:pPr>
            <w:proofErr w:type="spellStart"/>
            <w:r w:rsidRPr="0019752B">
              <w:rPr>
                <w:rFonts w:ascii="Times New Roman" w:hAnsi="Times New Roman" w:cs="Times New Roman"/>
                <w:b/>
                <w:bCs/>
                <w:sz w:val="20"/>
                <w:szCs w:val="20"/>
                <w:lang w:val="en-US"/>
              </w:rPr>
              <w:t>Labauge</w:t>
            </w:r>
            <w:proofErr w:type="spellEnd"/>
            <w:r w:rsidRPr="0019752B">
              <w:rPr>
                <w:rFonts w:ascii="Times New Roman" w:hAnsi="Times New Roman" w:cs="Times New Roman"/>
                <w:b/>
                <w:bCs/>
                <w:sz w:val="20"/>
                <w:szCs w:val="20"/>
                <w:lang w:val="en-US"/>
              </w:rPr>
              <w:t xml:space="preserve"> et al., 2009</w:t>
            </w:r>
            <w:r w:rsidR="003B43C9" w:rsidRPr="0019752B">
              <w:rPr>
                <w:rFonts w:ascii="Times New Roman" w:hAnsi="Times New Roman" w:cs="Times New Roman"/>
                <w:b/>
                <w:bCs/>
                <w:sz w:val="20"/>
                <w:szCs w:val="20"/>
                <w:vertAlign w:val="superscript"/>
                <w:lang w:val="en-US"/>
              </w:rPr>
              <w:t>2</w:t>
            </w:r>
          </w:p>
          <w:p w14:paraId="7A047354" w14:textId="77777777" w:rsidR="0081055F" w:rsidRPr="0019752B" w:rsidRDefault="0081055F" w:rsidP="003B01CA">
            <w:pPr>
              <w:rPr>
                <w:rFonts w:ascii="Times New Roman" w:hAnsi="Times New Roman" w:cs="Times New Roman"/>
                <w:b/>
                <w:bCs/>
                <w:sz w:val="20"/>
                <w:szCs w:val="20"/>
                <w:lang w:val="en-US"/>
              </w:rPr>
            </w:pPr>
            <w:r w:rsidRPr="0019752B">
              <w:rPr>
                <w:rFonts w:ascii="Times New Roman" w:hAnsi="Times New Roman" w:cs="Times New Roman"/>
                <w:b/>
                <w:bCs/>
                <w:sz w:val="20"/>
                <w:szCs w:val="20"/>
                <w:lang w:val="en-US"/>
              </w:rPr>
              <w:t>France</w:t>
            </w:r>
          </w:p>
        </w:tc>
        <w:tc>
          <w:tcPr>
            <w:tcW w:w="336" w:type="pct"/>
          </w:tcPr>
          <w:p w14:paraId="17C94C30"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16</w:t>
            </w:r>
          </w:p>
        </w:tc>
        <w:tc>
          <w:tcPr>
            <w:tcW w:w="363" w:type="pct"/>
          </w:tcPr>
          <w:p w14:paraId="207C8BDB"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M=3, F=13</w:t>
            </w:r>
          </w:p>
        </w:tc>
        <w:tc>
          <w:tcPr>
            <w:tcW w:w="447" w:type="pct"/>
          </w:tcPr>
          <w:p w14:paraId="650E0FCC"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16-62 years</w:t>
            </w:r>
          </w:p>
        </w:tc>
        <w:tc>
          <w:tcPr>
            <w:tcW w:w="1650" w:type="pct"/>
          </w:tcPr>
          <w:p w14:paraId="6780EAA3" w14:textId="543884E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Cerebellar ataxia (9), cognitive decline (8), ovarian failure (8), spastic paraplegia or tetraplegia (7), seizures (7), stress induced worsening (6), psychiatric symptoms (2), subcortical gait (1)</w:t>
            </w:r>
          </w:p>
        </w:tc>
        <w:tc>
          <w:tcPr>
            <w:tcW w:w="531" w:type="pct"/>
          </w:tcPr>
          <w:p w14:paraId="57B64DC6"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11.2 years (2-22 years)</w:t>
            </w:r>
          </w:p>
        </w:tc>
        <w:tc>
          <w:tcPr>
            <w:tcW w:w="979" w:type="pct"/>
          </w:tcPr>
          <w:p w14:paraId="07D2879D" w14:textId="2D59AE3A"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Died (2), unable to walk independently (11), walk independently (3)</w:t>
            </w:r>
          </w:p>
        </w:tc>
      </w:tr>
      <w:tr w:rsidR="0081055F" w:rsidRPr="0019752B" w14:paraId="3AB33160" w14:textId="77777777" w:rsidTr="00D4164E">
        <w:tc>
          <w:tcPr>
            <w:tcW w:w="694" w:type="pct"/>
          </w:tcPr>
          <w:p w14:paraId="2DDF9560" w14:textId="2F937ECF" w:rsidR="0081055F" w:rsidRPr="0019752B" w:rsidRDefault="0081055F" w:rsidP="003B01CA">
            <w:pPr>
              <w:rPr>
                <w:rFonts w:ascii="Times New Roman" w:hAnsi="Times New Roman" w:cs="Times New Roman"/>
                <w:b/>
                <w:bCs/>
                <w:sz w:val="20"/>
                <w:szCs w:val="20"/>
                <w:vertAlign w:val="superscript"/>
                <w:lang w:val="en-US"/>
              </w:rPr>
            </w:pPr>
            <w:r w:rsidRPr="0019752B">
              <w:rPr>
                <w:rFonts w:ascii="Times New Roman" w:hAnsi="Times New Roman" w:cs="Times New Roman"/>
                <w:b/>
                <w:bCs/>
                <w:sz w:val="20"/>
                <w:szCs w:val="20"/>
                <w:lang w:val="en-US"/>
              </w:rPr>
              <w:t>Robinson et al., 2014</w:t>
            </w:r>
            <w:r w:rsidR="006C5B6D" w:rsidRPr="0019752B">
              <w:rPr>
                <w:rFonts w:ascii="Times New Roman" w:hAnsi="Times New Roman" w:cs="Times New Roman"/>
                <w:b/>
                <w:bCs/>
                <w:sz w:val="20"/>
                <w:szCs w:val="20"/>
                <w:vertAlign w:val="superscript"/>
                <w:lang w:val="en-US"/>
              </w:rPr>
              <w:t>3</w:t>
            </w:r>
          </w:p>
          <w:p w14:paraId="75725612" w14:textId="77777777" w:rsidR="0081055F" w:rsidRPr="0019752B" w:rsidRDefault="0081055F" w:rsidP="003B01CA">
            <w:pPr>
              <w:rPr>
                <w:rFonts w:ascii="Times New Roman" w:hAnsi="Times New Roman" w:cs="Times New Roman"/>
                <w:b/>
                <w:bCs/>
                <w:sz w:val="20"/>
                <w:szCs w:val="20"/>
                <w:lang w:val="en-US"/>
              </w:rPr>
            </w:pPr>
            <w:r w:rsidRPr="0019752B">
              <w:rPr>
                <w:rFonts w:ascii="Times New Roman" w:hAnsi="Times New Roman" w:cs="Times New Roman"/>
                <w:b/>
                <w:bCs/>
                <w:sz w:val="20"/>
                <w:szCs w:val="20"/>
                <w:lang w:val="en-US"/>
              </w:rPr>
              <w:t>Canada</w:t>
            </w:r>
          </w:p>
        </w:tc>
        <w:tc>
          <w:tcPr>
            <w:tcW w:w="336" w:type="pct"/>
          </w:tcPr>
          <w:p w14:paraId="3E5CD458"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5</w:t>
            </w:r>
          </w:p>
        </w:tc>
        <w:tc>
          <w:tcPr>
            <w:tcW w:w="363" w:type="pct"/>
          </w:tcPr>
          <w:p w14:paraId="0A4B0BB7"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M=2, F=3</w:t>
            </w:r>
          </w:p>
        </w:tc>
        <w:tc>
          <w:tcPr>
            <w:tcW w:w="447" w:type="pct"/>
          </w:tcPr>
          <w:p w14:paraId="7C0D137D"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25 months-20 years</w:t>
            </w:r>
          </w:p>
        </w:tc>
        <w:tc>
          <w:tcPr>
            <w:tcW w:w="1650" w:type="pct"/>
          </w:tcPr>
          <w:p w14:paraId="1CB1A277" w14:textId="47A2BA5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Spasticity (5), ataxia (4), transient focal deficits accompanied by headache (3), dysarthria (2), tremor (1), cognitive decline (1)</w:t>
            </w:r>
          </w:p>
        </w:tc>
        <w:tc>
          <w:tcPr>
            <w:tcW w:w="531" w:type="pct"/>
          </w:tcPr>
          <w:p w14:paraId="65B2730A"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11.7 years</w:t>
            </w:r>
          </w:p>
        </w:tc>
        <w:tc>
          <w:tcPr>
            <w:tcW w:w="979" w:type="pct"/>
          </w:tcPr>
          <w:p w14:paraId="09F42F3D" w14:textId="6968E2D8"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CSD 3 (3), CSD 2 (1), CSD 1 (1)</w:t>
            </w:r>
          </w:p>
        </w:tc>
      </w:tr>
      <w:tr w:rsidR="0081055F" w:rsidRPr="0019752B" w14:paraId="3D04CEFC" w14:textId="77777777" w:rsidTr="00D4164E">
        <w:tc>
          <w:tcPr>
            <w:tcW w:w="694" w:type="pct"/>
          </w:tcPr>
          <w:p w14:paraId="077A02E6" w14:textId="5BFD8005" w:rsidR="0081055F" w:rsidRPr="0019752B" w:rsidRDefault="0081055F" w:rsidP="003B01CA">
            <w:pPr>
              <w:rPr>
                <w:rFonts w:ascii="Times New Roman" w:hAnsi="Times New Roman" w:cs="Times New Roman"/>
                <w:b/>
                <w:bCs/>
                <w:sz w:val="20"/>
                <w:szCs w:val="20"/>
                <w:vertAlign w:val="superscript"/>
                <w:lang w:val="en-US"/>
              </w:rPr>
            </w:pPr>
            <w:proofErr w:type="spellStart"/>
            <w:r w:rsidRPr="0019752B">
              <w:rPr>
                <w:rFonts w:ascii="Times New Roman" w:hAnsi="Times New Roman" w:cs="Times New Roman"/>
                <w:b/>
                <w:bCs/>
                <w:sz w:val="20"/>
                <w:szCs w:val="20"/>
                <w:lang w:val="en-US"/>
              </w:rPr>
              <w:t>Turon</w:t>
            </w:r>
            <w:proofErr w:type="spellEnd"/>
            <w:r w:rsidRPr="0019752B">
              <w:rPr>
                <w:rFonts w:ascii="Times New Roman" w:hAnsi="Times New Roman" w:cs="Times New Roman"/>
                <w:b/>
                <w:bCs/>
                <w:sz w:val="20"/>
                <w:szCs w:val="20"/>
                <w:lang w:val="en-US"/>
              </w:rPr>
              <w:t>-Vinas et al., 2014</w:t>
            </w:r>
            <w:r w:rsidR="006C5B6D" w:rsidRPr="0019752B">
              <w:rPr>
                <w:rFonts w:ascii="Times New Roman" w:hAnsi="Times New Roman" w:cs="Times New Roman"/>
                <w:b/>
                <w:bCs/>
                <w:sz w:val="20"/>
                <w:szCs w:val="20"/>
                <w:vertAlign w:val="superscript"/>
                <w:lang w:val="en-US"/>
              </w:rPr>
              <w:t>4</w:t>
            </w:r>
          </w:p>
          <w:p w14:paraId="6ECDEEEB" w14:textId="77777777" w:rsidR="0081055F" w:rsidRPr="0019752B" w:rsidRDefault="0081055F" w:rsidP="003B01CA">
            <w:pPr>
              <w:rPr>
                <w:rFonts w:ascii="Times New Roman" w:hAnsi="Times New Roman" w:cs="Times New Roman"/>
                <w:b/>
                <w:bCs/>
                <w:sz w:val="20"/>
                <w:szCs w:val="20"/>
                <w:lang w:val="en-US"/>
              </w:rPr>
            </w:pPr>
            <w:r w:rsidRPr="0019752B">
              <w:rPr>
                <w:rFonts w:ascii="Times New Roman" w:hAnsi="Times New Roman" w:cs="Times New Roman"/>
                <w:b/>
                <w:bCs/>
                <w:sz w:val="20"/>
                <w:szCs w:val="20"/>
                <w:lang w:val="en-US"/>
              </w:rPr>
              <w:t>Spain</w:t>
            </w:r>
          </w:p>
        </w:tc>
        <w:tc>
          <w:tcPr>
            <w:tcW w:w="336" w:type="pct"/>
          </w:tcPr>
          <w:p w14:paraId="6D53A481"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21</w:t>
            </w:r>
          </w:p>
        </w:tc>
        <w:tc>
          <w:tcPr>
            <w:tcW w:w="363" w:type="pct"/>
          </w:tcPr>
          <w:p w14:paraId="3CDAE1DF"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M=8, F=13</w:t>
            </w:r>
          </w:p>
        </w:tc>
        <w:tc>
          <w:tcPr>
            <w:tcW w:w="447" w:type="pct"/>
          </w:tcPr>
          <w:p w14:paraId="34180F57"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1.5-8 years</w:t>
            </w:r>
          </w:p>
        </w:tc>
        <w:tc>
          <w:tcPr>
            <w:tcW w:w="1650" w:type="pct"/>
          </w:tcPr>
          <w:p w14:paraId="1A114297" w14:textId="520140D8"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Spasticity (21), ataxia (16), seizures (9), cognitive impairment (12), hemiparesis (1), dystonia (1), ptosis (1), optic atrophy (4), macrocephaly (3), episodic deterioration (21)</w:t>
            </w:r>
          </w:p>
        </w:tc>
        <w:tc>
          <w:tcPr>
            <w:tcW w:w="531" w:type="pct"/>
          </w:tcPr>
          <w:p w14:paraId="2334675C"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NA</w:t>
            </w:r>
          </w:p>
        </w:tc>
        <w:tc>
          <w:tcPr>
            <w:tcW w:w="979" w:type="pct"/>
          </w:tcPr>
          <w:p w14:paraId="2C6DF95C" w14:textId="41789035"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Unable to walk (16), able to walk (5)</w:t>
            </w:r>
          </w:p>
        </w:tc>
      </w:tr>
      <w:tr w:rsidR="0081055F" w:rsidRPr="0019752B" w14:paraId="4C46455C" w14:textId="77777777" w:rsidTr="00D4164E">
        <w:tc>
          <w:tcPr>
            <w:tcW w:w="694" w:type="pct"/>
          </w:tcPr>
          <w:p w14:paraId="7C857255" w14:textId="77777777" w:rsidR="0081055F" w:rsidRPr="0019752B" w:rsidRDefault="0081055F" w:rsidP="003B01CA">
            <w:pPr>
              <w:rPr>
                <w:rFonts w:ascii="Times New Roman" w:hAnsi="Times New Roman" w:cs="Times New Roman"/>
                <w:b/>
                <w:bCs/>
                <w:sz w:val="20"/>
                <w:szCs w:val="20"/>
                <w:lang w:val="en-US"/>
              </w:rPr>
            </w:pPr>
            <w:r w:rsidRPr="0019752B">
              <w:rPr>
                <w:rFonts w:ascii="Times New Roman" w:hAnsi="Times New Roman" w:cs="Times New Roman"/>
                <w:b/>
                <w:bCs/>
                <w:sz w:val="20"/>
                <w:szCs w:val="20"/>
                <w:lang w:val="en-US"/>
              </w:rPr>
              <w:t>Zhang et al., 2015</w:t>
            </w:r>
          </w:p>
          <w:p w14:paraId="26803073" w14:textId="20BECC26" w:rsidR="0081055F" w:rsidRPr="0019752B" w:rsidRDefault="0081055F" w:rsidP="003B01CA">
            <w:pPr>
              <w:rPr>
                <w:rFonts w:ascii="Times New Roman" w:hAnsi="Times New Roman" w:cs="Times New Roman"/>
                <w:b/>
                <w:bCs/>
                <w:sz w:val="20"/>
                <w:szCs w:val="20"/>
                <w:vertAlign w:val="superscript"/>
                <w:lang w:val="en-US"/>
              </w:rPr>
            </w:pPr>
            <w:r w:rsidRPr="0019752B">
              <w:rPr>
                <w:rFonts w:ascii="Times New Roman" w:hAnsi="Times New Roman" w:cs="Times New Roman"/>
                <w:b/>
                <w:bCs/>
                <w:sz w:val="20"/>
                <w:szCs w:val="20"/>
                <w:lang w:val="en-US"/>
              </w:rPr>
              <w:t>China</w:t>
            </w:r>
            <w:r w:rsidR="006C5B6D" w:rsidRPr="0019752B">
              <w:rPr>
                <w:rFonts w:ascii="Times New Roman" w:hAnsi="Times New Roman" w:cs="Times New Roman"/>
                <w:b/>
                <w:bCs/>
                <w:sz w:val="20"/>
                <w:szCs w:val="20"/>
                <w:vertAlign w:val="superscript"/>
                <w:lang w:val="en-US"/>
              </w:rPr>
              <w:t>5</w:t>
            </w:r>
          </w:p>
        </w:tc>
        <w:tc>
          <w:tcPr>
            <w:tcW w:w="336" w:type="pct"/>
          </w:tcPr>
          <w:p w14:paraId="1ECF7223"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34</w:t>
            </w:r>
          </w:p>
        </w:tc>
        <w:tc>
          <w:tcPr>
            <w:tcW w:w="363" w:type="pct"/>
          </w:tcPr>
          <w:p w14:paraId="175A71B3"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M=19, F=15</w:t>
            </w:r>
          </w:p>
        </w:tc>
        <w:tc>
          <w:tcPr>
            <w:tcW w:w="447" w:type="pct"/>
          </w:tcPr>
          <w:p w14:paraId="03C8905C"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4 months-9 years 7 months</w:t>
            </w:r>
          </w:p>
        </w:tc>
        <w:tc>
          <w:tcPr>
            <w:tcW w:w="1650" w:type="pct"/>
          </w:tcPr>
          <w:p w14:paraId="4056D2F8" w14:textId="2DF87952"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Progressive motor deterioration (34), episodic aggravation (24), seizures (16)</w:t>
            </w:r>
          </w:p>
        </w:tc>
        <w:tc>
          <w:tcPr>
            <w:tcW w:w="531" w:type="pct"/>
          </w:tcPr>
          <w:p w14:paraId="5DE83AC0" w14:textId="5079BC7A"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4.4 years (3 months-12 year</w:t>
            </w:r>
            <w:r w:rsidR="003B01CA" w:rsidRPr="0019752B">
              <w:rPr>
                <w:rFonts w:ascii="Times New Roman" w:hAnsi="Times New Roman" w:cs="Times New Roman"/>
                <w:sz w:val="20"/>
                <w:szCs w:val="20"/>
                <w:lang w:val="en-US"/>
              </w:rPr>
              <w:t>s)</w:t>
            </w:r>
          </w:p>
        </w:tc>
        <w:tc>
          <w:tcPr>
            <w:tcW w:w="979" w:type="pct"/>
          </w:tcPr>
          <w:p w14:paraId="3122BC9B" w14:textId="30530573"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Died (10)</w:t>
            </w:r>
          </w:p>
        </w:tc>
      </w:tr>
      <w:tr w:rsidR="0081055F" w:rsidRPr="0019752B" w14:paraId="1D51BAB8" w14:textId="77777777" w:rsidTr="00D4164E">
        <w:tc>
          <w:tcPr>
            <w:tcW w:w="694" w:type="pct"/>
          </w:tcPr>
          <w:p w14:paraId="3EDFB95B" w14:textId="08349F25" w:rsidR="0081055F" w:rsidRPr="0019752B" w:rsidRDefault="0081055F" w:rsidP="003B01CA">
            <w:pPr>
              <w:rPr>
                <w:rFonts w:ascii="Times New Roman" w:hAnsi="Times New Roman" w:cs="Times New Roman"/>
                <w:b/>
                <w:bCs/>
                <w:sz w:val="20"/>
                <w:szCs w:val="20"/>
                <w:vertAlign w:val="superscript"/>
                <w:lang w:val="en-US"/>
              </w:rPr>
            </w:pPr>
            <w:r w:rsidRPr="0019752B">
              <w:rPr>
                <w:rFonts w:ascii="Times New Roman" w:hAnsi="Times New Roman" w:cs="Times New Roman"/>
                <w:b/>
                <w:bCs/>
                <w:sz w:val="20"/>
                <w:szCs w:val="20"/>
                <w:lang w:val="en-US"/>
              </w:rPr>
              <w:t>Hamilton et al., 2018</w:t>
            </w:r>
            <w:r w:rsidR="006C5B6D" w:rsidRPr="0019752B">
              <w:rPr>
                <w:rFonts w:ascii="Times New Roman" w:hAnsi="Times New Roman" w:cs="Times New Roman"/>
                <w:b/>
                <w:bCs/>
                <w:sz w:val="20"/>
                <w:szCs w:val="20"/>
                <w:vertAlign w:val="superscript"/>
                <w:lang w:val="en-US"/>
              </w:rPr>
              <w:t>6</w:t>
            </w:r>
          </w:p>
          <w:p w14:paraId="27D6B738" w14:textId="77777777" w:rsidR="0081055F" w:rsidRPr="0019752B" w:rsidRDefault="0081055F" w:rsidP="003B01CA">
            <w:pPr>
              <w:rPr>
                <w:rFonts w:ascii="Times New Roman" w:hAnsi="Times New Roman" w:cs="Times New Roman"/>
                <w:b/>
                <w:bCs/>
                <w:sz w:val="20"/>
                <w:szCs w:val="20"/>
                <w:lang w:val="en-US"/>
              </w:rPr>
            </w:pPr>
            <w:r w:rsidRPr="0019752B">
              <w:rPr>
                <w:rFonts w:ascii="Times New Roman" w:hAnsi="Times New Roman" w:cs="Times New Roman"/>
                <w:b/>
                <w:bCs/>
                <w:sz w:val="20"/>
                <w:szCs w:val="20"/>
                <w:lang w:val="en-US"/>
              </w:rPr>
              <w:t>Multicenter</w:t>
            </w:r>
          </w:p>
        </w:tc>
        <w:tc>
          <w:tcPr>
            <w:tcW w:w="336" w:type="pct"/>
          </w:tcPr>
          <w:p w14:paraId="733FAD0B"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296</w:t>
            </w:r>
          </w:p>
        </w:tc>
        <w:tc>
          <w:tcPr>
            <w:tcW w:w="363" w:type="pct"/>
          </w:tcPr>
          <w:p w14:paraId="6CDE66B2"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M=134, F=162</w:t>
            </w:r>
          </w:p>
        </w:tc>
        <w:tc>
          <w:tcPr>
            <w:tcW w:w="447" w:type="pct"/>
          </w:tcPr>
          <w:p w14:paraId="2B16A37E"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Antenatal-54 years</w:t>
            </w:r>
          </w:p>
        </w:tc>
        <w:tc>
          <w:tcPr>
            <w:tcW w:w="1650" w:type="pct"/>
          </w:tcPr>
          <w:p w14:paraId="1E8AD0BF" w14:textId="40F72F9F"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 xml:space="preserve">Spasticity (175), ataxia (153), hypotonia (69), extrapyramidal signs (29), speech disturbance (125), dysphagia (70), impaired vision (64), impaired hearing (18), impaired cognition (89), seizures (162), exacerbating course (213), psychiatric symptoms (44), headache (26), dizziness (6), peripheral neuropathy (3), scoliosis (7), microcephaly (21), macrocephaly (16), ovarian failure (48), </w:t>
            </w:r>
            <w:proofErr w:type="spellStart"/>
            <w:r w:rsidRPr="0019752B">
              <w:rPr>
                <w:rFonts w:ascii="Times New Roman" w:hAnsi="Times New Roman" w:cs="Times New Roman"/>
                <w:sz w:val="20"/>
                <w:szCs w:val="20"/>
                <w:lang w:val="en-US"/>
              </w:rPr>
              <w:t>oligozoospermia</w:t>
            </w:r>
            <w:proofErr w:type="spellEnd"/>
            <w:r w:rsidRPr="0019752B">
              <w:rPr>
                <w:rFonts w:ascii="Times New Roman" w:hAnsi="Times New Roman" w:cs="Times New Roman"/>
                <w:sz w:val="20"/>
                <w:szCs w:val="20"/>
                <w:lang w:val="en-US"/>
              </w:rPr>
              <w:t xml:space="preserve"> (1), congenital cataract (4), renal </w:t>
            </w:r>
            <w:proofErr w:type="spellStart"/>
            <w:r w:rsidRPr="0019752B">
              <w:rPr>
                <w:rFonts w:ascii="Times New Roman" w:hAnsi="Times New Roman" w:cs="Times New Roman"/>
                <w:sz w:val="20"/>
                <w:szCs w:val="20"/>
                <w:lang w:val="en-US"/>
              </w:rPr>
              <w:t>hypodysplasia</w:t>
            </w:r>
            <w:proofErr w:type="spellEnd"/>
            <w:r w:rsidRPr="0019752B">
              <w:rPr>
                <w:rFonts w:ascii="Times New Roman" w:hAnsi="Times New Roman" w:cs="Times New Roman"/>
                <w:sz w:val="20"/>
                <w:szCs w:val="20"/>
                <w:lang w:val="en-US"/>
              </w:rPr>
              <w:t xml:space="preserve"> (2), hepatomegaly/hepatosplenomegaly (2)</w:t>
            </w:r>
          </w:p>
          <w:p w14:paraId="4E76FD29" w14:textId="65EAABD8"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Asymptomatic (7)</w:t>
            </w:r>
          </w:p>
        </w:tc>
        <w:tc>
          <w:tcPr>
            <w:tcW w:w="531" w:type="pct"/>
          </w:tcPr>
          <w:p w14:paraId="45DAFC90" w14:textId="41D83565" w:rsidR="0081055F" w:rsidRPr="0019752B" w:rsidRDefault="00285675" w:rsidP="003B01CA">
            <w:pPr>
              <w:rPr>
                <w:rFonts w:ascii="Times New Roman" w:hAnsi="Times New Roman" w:cs="Times New Roman"/>
                <w:color w:val="131413"/>
                <w:sz w:val="20"/>
                <w:szCs w:val="20"/>
                <w:lang w:val="en-US"/>
              </w:rPr>
            </w:pPr>
            <w:r w:rsidRPr="0019752B">
              <w:rPr>
                <w:rFonts w:ascii="Times New Roman" w:hAnsi="Times New Roman" w:cs="Times New Roman"/>
                <w:color w:val="131413"/>
                <w:sz w:val="20"/>
                <w:szCs w:val="20"/>
                <w:lang w:val="en-US"/>
              </w:rPr>
              <w:t>NA</w:t>
            </w:r>
          </w:p>
        </w:tc>
        <w:tc>
          <w:tcPr>
            <w:tcW w:w="979" w:type="pct"/>
          </w:tcPr>
          <w:p w14:paraId="2A0EDCE3" w14:textId="77777777" w:rsidR="003B43C9" w:rsidRPr="0019752B" w:rsidRDefault="003B43C9"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 xml:space="preserve">Loss of walking without support was seen in 76.5% of patients with disease onset &lt; 18 years of age and in 60% of patients with disease onset ≥ 18 years of age. </w:t>
            </w:r>
          </w:p>
          <w:p w14:paraId="7D180503" w14:textId="251CE1C0" w:rsidR="0081055F" w:rsidRPr="0019752B" w:rsidRDefault="00285675"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 xml:space="preserve">Median </w:t>
            </w:r>
            <w:r w:rsidR="003B43C9" w:rsidRPr="0019752B">
              <w:rPr>
                <w:rFonts w:ascii="Times New Roman" w:hAnsi="Times New Roman" w:cs="Times New Roman"/>
                <w:sz w:val="20"/>
                <w:szCs w:val="20"/>
                <w:lang w:val="en-US"/>
              </w:rPr>
              <w:t xml:space="preserve">time to </w:t>
            </w:r>
            <w:r w:rsidRPr="0019752B">
              <w:rPr>
                <w:rFonts w:ascii="Times New Roman" w:hAnsi="Times New Roman" w:cs="Times New Roman"/>
                <w:sz w:val="20"/>
                <w:szCs w:val="20"/>
                <w:lang w:val="en-US"/>
              </w:rPr>
              <w:t xml:space="preserve">loss of walking without support was </w:t>
            </w:r>
            <w:r w:rsidR="003B43C9" w:rsidRPr="0019752B">
              <w:rPr>
                <w:rFonts w:ascii="Times New Roman" w:hAnsi="Times New Roman" w:cs="Times New Roman"/>
                <w:sz w:val="20"/>
                <w:szCs w:val="20"/>
                <w:lang w:val="en-US"/>
              </w:rPr>
              <w:t xml:space="preserve">4.8 </w:t>
            </w:r>
            <w:r w:rsidRPr="0019752B">
              <w:rPr>
                <w:rFonts w:ascii="Times New Roman" w:hAnsi="Times New Roman" w:cs="Times New Roman"/>
                <w:sz w:val="20"/>
                <w:szCs w:val="20"/>
                <w:lang w:val="en-US"/>
              </w:rPr>
              <w:t xml:space="preserve">years </w:t>
            </w:r>
            <w:r w:rsidR="003B43C9" w:rsidRPr="0019752B">
              <w:rPr>
                <w:rFonts w:ascii="Times New Roman" w:hAnsi="Times New Roman" w:cs="Times New Roman"/>
                <w:sz w:val="20"/>
                <w:szCs w:val="20"/>
                <w:lang w:val="en-US"/>
              </w:rPr>
              <w:t>in patients with disease onset &lt; 18 years and</w:t>
            </w:r>
            <w:r w:rsidRPr="0019752B">
              <w:rPr>
                <w:rFonts w:ascii="Times New Roman" w:hAnsi="Times New Roman" w:cs="Times New Roman"/>
                <w:sz w:val="20"/>
                <w:szCs w:val="20"/>
                <w:lang w:val="en-US"/>
              </w:rPr>
              <w:t xml:space="preserve"> </w:t>
            </w:r>
            <w:r w:rsidR="003B43C9" w:rsidRPr="0019752B">
              <w:rPr>
                <w:rFonts w:ascii="Times New Roman" w:hAnsi="Times New Roman" w:cs="Times New Roman"/>
                <w:sz w:val="20"/>
                <w:szCs w:val="20"/>
                <w:lang w:val="en-US"/>
              </w:rPr>
              <w:t xml:space="preserve">7 </w:t>
            </w:r>
            <w:r w:rsidRPr="0019752B">
              <w:rPr>
                <w:rFonts w:ascii="Times New Roman" w:hAnsi="Times New Roman" w:cs="Times New Roman"/>
                <w:sz w:val="20"/>
                <w:szCs w:val="20"/>
                <w:lang w:val="en-US"/>
              </w:rPr>
              <w:t>years in patients with disease onset ≥ 18 years age</w:t>
            </w:r>
            <w:r w:rsidR="003B43C9" w:rsidRPr="0019752B">
              <w:rPr>
                <w:rFonts w:ascii="Times New Roman" w:hAnsi="Times New Roman" w:cs="Times New Roman"/>
                <w:sz w:val="20"/>
                <w:szCs w:val="20"/>
                <w:lang w:val="en-US"/>
              </w:rPr>
              <w:t xml:space="preserve">. </w:t>
            </w:r>
          </w:p>
        </w:tc>
      </w:tr>
      <w:tr w:rsidR="0081055F" w:rsidRPr="0019752B" w14:paraId="7598CDFF" w14:textId="77777777" w:rsidTr="00D4164E">
        <w:tc>
          <w:tcPr>
            <w:tcW w:w="694" w:type="pct"/>
          </w:tcPr>
          <w:p w14:paraId="6374E3A2" w14:textId="1E240A69" w:rsidR="0081055F" w:rsidRPr="0019752B" w:rsidRDefault="006C5B6D" w:rsidP="003B01CA">
            <w:pPr>
              <w:rPr>
                <w:rFonts w:ascii="Times New Roman" w:hAnsi="Times New Roman" w:cs="Times New Roman"/>
                <w:b/>
                <w:bCs/>
                <w:sz w:val="20"/>
                <w:szCs w:val="20"/>
                <w:vertAlign w:val="superscript"/>
                <w:lang w:val="en-US"/>
              </w:rPr>
            </w:pPr>
            <w:proofErr w:type="spellStart"/>
            <w:r w:rsidRPr="0019752B">
              <w:rPr>
                <w:rFonts w:ascii="Times New Roman" w:hAnsi="Times New Roman" w:cs="Times New Roman"/>
                <w:b/>
                <w:bCs/>
                <w:color w:val="212121"/>
                <w:sz w:val="20"/>
                <w:szCs w:val="20"/>
                <w:shd w:val="clear" w:color="auto" w:fill="FFFFFF"/>
              </w:rPr>
              <w:t>Güngör</w:t>
            </w:r>
            <w:proofErr w:type="spellEnd"/>
            <w:r w:rsidRPr="0019752B">
              <w:rPr>
                <w:rFonts w:ascii="Times New Roman" w:hAnsi="Times New Roman" w:cs="Times New Roman"/>
                <w:b/>
                <w:bCs/>
                <w:sz w:val="20"/>
                <w:szCs w:val="20"/>
                <w:lang w:val="en-US"/>
              </w:rPr>
              <w:t xml:space="preserve"> </w:t>
            </w:r>
            <w:r w:rsidR="0081055F" w:rsidRPr="0019752B">
              <w:rPr>
                <w:rFonts w:ascii="Times New Roman" w:hAnsi="Times New Roman" w:cs="Times New Roman"/>
                <w:b/>
                <w:bCs/>
                <w:sz w:val="20"/>
                <w:szCs w:val="20"/>
                <w:lang w:val="en-US"/>
              </w:rPr>
              <w:t>et al., 2020</w:t>
            </w:r>
            <w:r w:rsidRPr="0019752B">
              <w:rPr>
                <w:rFonts w:ascii="Times New Roman" w:hAnsi="Times New Roman" w:cs="Times New Roman"/>
                <w:b/>
                <w:bCs/>
                <w:sz w:val="20"/>
                <w:szCs w:val="20"/>
                <w:vertAlign w:val="superscript"/>
                <w:lang w:val="en-US"/>
              </w:rPr>
              <w:t>7</w:t>
            </w:r>
          </w:p>
          <w:p w14:paraId="164D9FF0" w14:textId="77777777" w:rsidR="0081055F" w:rsidRPr="0019752B" w:rsidRDefault="0081055F" w:rsidP="003B01CA">
            <w:pPr>
              <w:rPr>
                <w:rFonts w:ascii="Times New Roman" w:hAnsi="Times New Roman" w:cs="Times New Roman"/>
                <w:b/>
                <w:bCs/>
                <w:sz w:val="20"/>
                <w:szCs w:val="20"/>
                <w:lang w:val="en-US"/>
              </w:rPr>
            </w:pPr>
            <w:r w:rsidRPr="0019752B">
              <w:rPr>
                <w:rFonts w:ascii="Times New Roman" w:hAnsi="Times New Roman" w:cs="Times New Roman"/>
                <w:b/>
                <w:bCs/>
                <w:sz w:val="20"/>
                <w:szCs w:val="20"/>
                <w:lang w:val="en-US"/>
              </w:rPr>
              <w:t>Turkey</w:t>
            </w:r>
          </w:p>
        </w:tc>
        <w:tc>
          <w:tcPr>
            <w:tcW w:w="336" w:type="pct"/>
          </w:tcPr>
          <w:p w14:paraId="3AFD64BF"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11</w:t>
            </w:r>
          </w:p>
        </w:tc>
        <w:tc>
          <w:tcPr>
            <w:tcW w:w="363" w:type="pct"/>
          </w:tcPr>
          <w:p w14:paraId="260ED3D2"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M=6, F=5</w:t>
            </w:r>
          </w:p>
        </w:tc>
        <w:tc>
          <w:tcPr>
            <w:tcW w:w="447" w:type="pct"/>
          </w:tcPr>
          <w:p w14:paraId="21E0F05D"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35.18±19.13 months</w:t>
            </w:r>
          </w:p>
        </w:tc>
        <w:tc>
          <w:tcPr>
            <w:tcW w:w="1650" w:type="pct"/>
          </w:tcPr>
          <w:p w14:paraId="4D71E7CA" w14:textId="4926F67E"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Gait disturbance (5), seizures (2), developmental delay (2), speech disturbance (1), dystonia (1)</w:t>
            </w:r>
          </w:p>
        </w:tc>
        <w:tc>
          <w:tcPr>
            <w:tcW w:w="531" w:type="pct"/>
          </w:tcPr>
          <w:p w14:paraId="25D61F94" w14:textId="77777777"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color w:val="131413"/>
                <w:sz w:val="20"/>
                <w:szCs w:val="20"/>
                <w:lang w:val="en-US"/>
              </w:rPr>
              <w:t>32.73 ± 16.42 months</w:t>
            </w:r>
          </w:p>
        </w:tc>
        <w:tc>
          <w:tcPr>
            <w:tcW w:w="979" w:type="pct"/>
          </w:tcPr>
          <w:p w14:paraId="12598B78" w14:textId="1D360D20" w:rsidR="0081055F" w:rsidRPr="0019752B" w:rsidRDefault="0081055F" w:rsidP="003B01CA">
            <w:pPr>
              <w:rPr>
                <w:rFonts w:ascii="Times New Roman" w:hAnsi="Times New Roman" w:cs="Times New Roman"/>
                <w:sz w:val="20"/>
                <w:szCs w:val="20"/>
                <w:lang w:val="en-US"/>
              </w:rPr>
            </w:pPr>
            <w:r w:rsidRPr="0019752B">
              <w:rPr>
                <w:rFonts w:ascii="Times New Roman" w:hAnsi="Times New Roman" w:cs="Times New Roman"/>
                <w:sz w:val="20"/>
                <w:szCs w:val="20"/>
                <w:lang w:val="en-US"/>
              </w:rPr>
              <w:t>Died (2), walk independently (3, unable to walk independently (3)</w:t>
            </w:r>
          </w:p>
        </w:tc>
      </w:tr>
    </w:tbl>
    <w:p w14:paraId="70A6BD9B" w14:textId="731B9DEB" w:rsidR="00441B98" w:rsidRDefault="00441B98">
      <w:pPr>
        <w:rPr>
          <w:rFonts w:ascii="Times New Roman" w:hAnsi="Times New Roman" w:cs="Times New Roman"/>
          <w:sz w:val="20"/>
          <w:szCs w:val="20"/>
        </w:rPr>
      </w:pPr>
      <w:r w:rsidRPr="0019752B">
        <w:rPr>
          <w:rFonts w:ascii="Times New Roman" w:hAnsi="Times New Roman" w:cs="Times New Roman"/>
          <w:sz w:val="20"/>
          <w:szCs w:val="20"/>
        </w:rPr>
        <w:t xml:space="preserve">‘CSD’: clinical score of disability (by </w:t>
      </w:r>
      <w:proofErr w:type="spellStart"/>
      <w:r w:rsidRPr="0019752B">
        <w:rPr>
          <w:rFonts w:ascii="Times New Roman" w:hAnsi="Times New Roman" w:cs="Times New Roman"/>
          <w:sz w:val="20"/>
          <w:szCs w:val="20"/>
        </w:rPr>
        <w:t>Ohlenbusch</w:t>
      </w:r>
      <w:proofErr w:type="spellEnd"/>
      <w:r w:rsidRPr="0019752B">
        <w:rPr>
          <w:rFonts w:ascii="Times New Roman" w:hAnsi="Times New Roman" w:cs="Times New Roman"/>
          <w:sz w:val="20"/>
          <w:szCs w:val="20"/>
        </w:rPr>
        <w:t xml:space="preserve"> et al.,2005), ‘F’: female, ‘M’: male, ‘NA’: data not available</w:t>
      </w:r>
    </w:p>
    <w:p w14:paraId="058627B3" w14:textId="77777777" w:rsidR="00F60315" w:rsidRPr="0019752B" w:rsidRDefault="00F60315">
      <w:pPr>
        <w:rPr>
          <w:rFonts w:ascii="Times New Roman" w:hAnsi="Times New Roman" w:cs="Times New Roman"/>
          <w:sz w:val="20"/>
          <w:szCs w:val="20"/>
        </w:rPr>
      </w:pPr>
    </w:p>
    <w:p w14:paraId="1B4A2858" w14:textId="77777777" w:rsidR="000021E9" w:rsidRDefault="000021E9">
      <w:pPr>
        <w:rPr>
          <w:rFonts w:ascii="Times New Roman" w:hAnsi="Times New Roman" w:cs="Times New Roman"/>
          <w:sz w:val="24"/>
          <w:szCs w:val="24"/>
        </w:rPr>
      </w:pPr>
    </w:p>
    <w:p w14:paraId="2A6B51CD" w14:textId="20D3FE3B" w:rsidR="003B43C9" w:rsidRPr="0019752B" w:rsidRDefault="003B43C9" w:rsidP="003B43C9">
      <w:pPr>
        <w:rPr>
          <w:rFonts w:ascii="Times New Roman" w:hAnsi="Times New Roman" w:cs="Times New Roman"/>
          <w:color w:val="212121"/>
          <w:sz w:val="20"/>
          <w:szCs w:val="20"/>
          <w:shd w:val="clear" w:color="auto" w:fill="FFFFFF"/>
        </w:rPr>
      </w:pPr>
      <w:bookmarkStart w:id="0" w:name="_Hlk69220007"/>
      <w:r w:rsidRPr="0019752B">
        <w:rPr>
          <w:rFonts w:ascii="Times New Roman" w:hAnsi="Times New Roman" w:cs="Times New Roman"/>
          <w:color w:val="212121"/>
          <w:sz w:val="20"/>
          <w:szCs w:val="20"/>
          <w:shd w:val="clear" w:color="auto" w:fill="FFFFFF"/>
          <w:vertAlign w:val="superscript"/>
        </w:rPr>
        <w:t>1</w:t>
      </w:r>
      <w:r w:rsidRPr="0019752B">
        <w:rPr>
          <w:rFonts w:ascii="Times New Roman" w:hAnsi="Times New Roman" w:cs="Times New Roman"/>
          <w:color w:val="212121"/>
          <w:sz w:val="20"/>
          <w:szCs w:val="20"/>
          <w:shd w:val="clear" w:color="auto" w:fill="FFFFFF"/>
        </w:rPr>
        <w:t xml:space="preserve">Maletkovic J, </w:t>
      </w:r>
      <w:proofErr w:type="spellStart"/>
      <w:r w:rsidRPr="0019752B">
        <w:rPr>
          <w:rFonts w:ascii="Times New Roman" w:hAnsi="Times New Roman" w:cs="Times New Roman"/>
          <w:color w:val="212121"/>
          <w:sz w:val="20"/>
          <w:szCs w:val="20"/>
          <w:shd w:val="clear" w:color="auto" w:fill="FFFFFF"/>
        </w:rPr>
        <w:t>Schiffmann</w:t>
      </w:r>
      <w:proofErr w:type="spellEnd"/>
      <w:r w:rsidRPr="0019752B">
        <w:rPr>
          <w:rFonts w:ascii="Times New Roman" w:hAnsi="Times New Roman" w:cs="Times New Roman"/>
          <w:color w:val="212121"/>
          <w:sz w:val="20"/>
          <w:szCs w:val="20"/>
          <w:shd w:val="clear" w:color="auto" w:fill="FFFFFF"/>
        </w:rPr>
        <w:t xml:space="preserve"> R, Gorospe JR, Gordon ES, </w:t>
      </w:r>
      <w:proofErr w:type="spellStart"/>
      <w:r w:rsidRPr="0019752B">
        <w:rPr>
          <w:rFonts w:ascii="Times New Roman" w:hAnsi="Times New Roman" w:cs="Times New Roman"/>
          <w:color w:val="212121"/>
          <w:sz w:val="20"/>
          <w:szCs w:val="20"/>
          <w:shd w:val="clear" w:color="auto" w:fill="FFFFFF"/>
        </w:rPr>
        <w:t>Mintz</w:t>
      </w:r>
      <w:proofErr w:type="spellEnd"/>
      <w:r w:rsidRPr="0019752B">
        <w:rPr>
          <w:rFonts w:ascii="Times New Roman" w:hAnsi="Times New Roman" w:cs="Times New Roman"/>
          <w:color w:val="212121"/>
          <w:sz w:val="20"/>
          <w:szCs w:val="20"/>
          <w:shd w:val="clear" w:color="auto" w:fill="FFFFFF"/>
        </w:rPr>
        <w:t xml:space="preserve"> M, Hoffman EP, </w:t>
      </w:r>
      <w:proofErr w:type="spellStart"/>
      <w:r w:rsidRPr="0019752B">
        <w:rPr>
          <w:rFonts w:ascii="Times New Roman" w:hAnsi="Times New Roman" w:cs="Times New Roman"/>
          <w:color w:val="212121"/>
          <w:sz w:val="20"/>
          <w:szCs w:val="20"/>
          <w:shd w:val="clear" w:color="auto" w:fill="FFFFFF"/>
        </w:rPr>
        <w:t>Alper</w:t>
      </w:r>
      <w:proofErr w:type="spellEnd"/>
      <w:r w:rsidRPr="0019752B">
        <w:rPr>
          <w:rFonts w:ascii="Times New Roman" w:hAnsi="Times New Roman" w:cs="Times New Roman"/>
          <w:color w:val="212121"/>
          <w:sz w:val="20"/>
          <w:szCs w:val="20"/>
          <w:shd w:val="clear" w:color="auto" w:fill="FFFFFF"/>
        </w:rPr>
        <w:t xml:space="preserve"> G, Lynch DR, Singhal BS, Harding C, </w:t>
      </w:r>
      <w:proofErr w:type="spellStart"/>
      <w:r w:rsidRPr="0019752B">
        <w:rPr>
          <w:rFonts w:ascii="Times New Roman" w:hAnsi="Times New Roman" w:cs="Times New Roman"/>
          <w:color w:val="212121"/>
          <w:sz w:val="20"/>
          <w:szCs w:val="20"/>
          <w:shd w:val="clear" w:color="auto" w:fill="FFFFFF"/>
        </w:rPr>
        <w:t>Amartino</w:t>
      </w:r>
      <w:proofErr w:type="spellEnd"/>
      <w:r w:rsidRPr="0019752B">
        <w:rPr>
          <w:rFonts w:ascii="Times New Roman" w:hAnsi="Times New Roman" w:cs="Times New Roman"/>
          <w:color w:val="212121"/>
          <w:sz w:val="20"/>
          <w:szCs w:val="20"/>
          <w:shd w:val="clear" w:color="auto" w:fill="FFFFFF"/>
        </w:rPr>
        <w:t xml:space="preserve"> H, Brown CM, Chan A, Renaud D, Geraghty M, Jensen L, </w:t>
      </w:r>
      <w:proofErr w:type="spellStart"/>
      <w:r w:rsidRPr="0019752B">
        <w:rPr>
          <w:rFonts w:ascii="Times New Roman" w:hAnsi="Times New Roman" w:cs="Times New Roman"/>
          <w:color w:val="212121"/>
          <w:sz w:val="20"/>
          <w:szCs w:val="20"/>
          <w:shd w:val="clear" w:color="auto" w:fill="FFFFFF"/>
        </w:rPr>
        <w:t>Senbil</w:t>
      </w:r>
      <w:proofErr w:type="spellEnd"/>
      <w:r w:rsidRPr="0019752B">
        <w:rPr>
          <w:rFonts w:ascii="Times New Roman" w:hAnsi="Times New Roman" w:cs="Times New Roman"/>
          <w:color w:val="212121"/>
          <w:sz w:val="20"/>
          <w:szCs w:val="20"/>
          <w:shd w:val="clear" w:color="auto" w:fill="FFFFFF"/>
        </w:rPr>
        <w:t xml:space="preserve"> N, </w:t>
      </w:r>
      <w:proofErr w:type="spellStart"/>
      <w:r w:rsidRPr="0019752B">
        <w:rPr>
          <w:rFonts w:ascii="Times New Roman" w:hAnsi="Times New Roman" w:cs="Times New Roman"/>
          <w:color w:val="212121"/>
          <w:sz w:val="20"/>
          <w:szCs w:val="20"/>
          <w:shd w:val="clear" w:color="auto" w:fill="FFFFFF"/>
        </w:rPr>
        <w:t>Kadom</w:t>
      </w:r>
      <w:proofErr w:type="spellEnd"/>
      <w:r w:rsidRPr="0019752B">
        <w:rPr>
          <w:rFonts w:ascii="Times New Roman" w:hAnsi="Times New Roman" w:cs="Times New Roman"/>
          <w:color w:val="212121"/>
          <w:sz w:val="20"/>
          <w:szCs w:val="20"/>
          <w:shd w:val="clear" w:color="auto" w:fill="FFFFFF"/>
        </w:rPr>
        <w:t xml:space="preserve"> N, Nazarian J, </w:t>
      </w:r>
      <w:proofErr w:type="spellStart"/>
      <w:r w:rsidRPr="0019752B">
        <w:rPr>
          <w:rFonts w:ascii="Times New Roman" w:hAnsi="Times New Roman" w:cs="Times New Roman"/>
          <w:color w:val="212121"/>
          <w:sz w:val="20"/>
          <w:szCs w:val="20"/>
          <w:shd w:val="clear" w:color="auto" w:fill="FFFFFF"/>
        </w:rPr>
        <w:t>Yuanjian</w:t>
      </w:r>
      <w:proofErr w:type="spellEnd"/>
      <w:r w:rsidRPr="0019752B">
        <w:rPr>
          <w:rFonts w:ascii="Times New Roman" w:hAnsi="Times New Roman" w:cs="Times New Roman"/>
          <w:color w:val="212121"/>
          <w:sz w:val="20"/>
          <w:szCs w:val="20"/>
          <w:shd w:val="clear" w:color="auto" w:fill="FFFFFF"/>
        </w:rPr>
        <w:t xml:space="preserve"> Feng, </w:t>
      </w:r>
      <w:proofErr w:type="spellStart"/>
      <w:r w:rsidRPr="0019752B">
        <w:rPr>
          <w:rFonts w:ascii="Times New Roman" w:hAnsi="Times New Roman" w:cs="Times New Roman"/>
          <w:color w:val="212121"/>
          <w:sz w:val="20"/>
          <w:szCs w:val="20"/>
          <w:shd w:val="clear" w:color="auto" w:fill="FFFFFF"/>
        </w:rPr>
        <w:t>Zuyi</w:t>
      </w:r>
      <w:proofErr w:type="spellEnd"/>
      <w:r w:rsidRPr="0019752B">
        <w:rPr>
          <w:rFonts w:ascii="Times New Roman" w:hAnsi="Times New Roman" w:cs="Times New Roman"/>
          <w:color w:val="212121"/>
          <w:sz w:val="20"/>
          <w:szCs w:val="20"/>
          <w:shd w:val="clear" w:color="auto" w:fill="FFFFFF"/>
        </w:rPr>
        <w:t xml:space="preserve"> Wang, </w:t>
      </w:r>
      <w:proofErr w:type="spellStart"/>
      <w:r w:rsidRPr="0019752B">
        <w:rPr>
          <w:rFonts w:ascii="Times New Roman" w:hAnsi="Times New Roman" w:cs="Times New Roman"/>
          <w:color w:val="212121"/>
          <w:sz w:val="20"/>
          <w:szCs w:val="20"/>
          <w:shd w:val="clear" w:color="auto" w:fill="FFFFFF"/>
        </w:rPr>
        <w:t>Hartka</w:t>
      </w:r>
      <w:proofErr w:type="spellEnd"/>
      <w:r w:rsidRPr="0019752B">
        <w:rPr>
          <w:rFonts w:ascii="Times New Roman" w:hAnsi="Times New Roman" w:cs="Times New Roman"/>
          <w:color w:val="212121"/>
          <w:sz w:val="20"/>
          <w:szCs w:val="20"/>
          <w:shd w:val="clear" w:color="auto" w:fill="FFFFFF"/>
        </w:rPr>
        <w:t xml:space="preserve"> T, </w:t>
      </w:r>
      <w:proofErr w:type="spellStart"/>
      <w:r w:rsidRPr="0019752B">
        <w:rPr>
          <w:rFonts w:ascii="Times New Roman" w:hAnsi="Times New Roman" w:cs="Times New Roman"/>
          <w:color w:val="212121"/>
          <w:sz w:val="20"/>
          <w:szCs w:val="20"/>
          <w:shd w:val="clear" w:color="auto" w:fill="FFFFFF"/>
        </w:rPr>
        <w:t>Morizono</w:t>
      </w:r>
      <w:proofErr w:type="spellEnd"/>
      <w:r w:rsidRPr="0019752B">
        <w:rPr>
          <w:rFonts w:ascii="Times New Roman" w:hAnsi="Times New Roman" w:cs="Times New Roman"/>
          <w:color w:val="212121"/>
          <w:sz w:val="20"/>
          <w:szCs w:val="20"/>
          <w:shd w:val="clear" w:color="auto" w:fill="FFFFFF"/>
        </w:rPr>
        <w:t xml:space="preserve"> H, </w:t>
      </w:r>
      <w:proofErr w:type="spellStart"/>
      <w:r w:rsidRPr="0019752B">
        <w:rPr>
          <w:rFonts w:ascii="Times New Roman" w:hAnsi="Times New Roman" w:cs="Times New Roman"/>
          <w:color w:val="212121"/>
          <w:sz w:val="20"/>
          <w:szCs w:val="20"/>
          <w:shd w:val="clear" w:color="auto" w:fill="FFFFFF"/>
        </w:rPr>
        <w:t>Vanderver</w:t>
      </w:r>
      <w:proofErr w:type="spellEnd"/>
      <w:r w:rsidRPr="0019752B">
        <w:rPr>
          <w:rFonts w:ascii="Times New Roman" w:hAnsi="Times New Roman" w:cs="Times New Roman"/>
          <w:color w:val="212121"/>
          <w:sz w:val="20"/>
          <w:szCs w:val="20"/>
          <w:shd w:val="clear" w:color="auto" w:fill="FFFFFF"/>
        </w:rPr>
        <w:t xml:space="preserve"> A. Genetic and clinical heterogeneity in eIF2B-related disorder. J Child Neurol. 2008 Feb;23(2):205-15. </w:t>
      </w:r>
    </w:p>
    <w:p w14:paraId="72852923" w14:textId="48748FC2" w:rsidR="006C5B6D" w:rsidRPr="0019752B" w:rsidRDefault="006C5B6D" w:rsidP="006C5B6D">
      <w:pPr>
        <w:rPr>
          <w:rFonts w:ascii="Times New Roman" w:hAnsi="Times New Roman" w:cs="Times New Roman"/>
          <w:color w:val="212121"/>
          <w:sz w:val="20"/>
          <w:szCs w:val="20"/>
          <w:shd w:val="clear" w:color="auto" w:fill="FFFFFF"/>
        </w:rPr>
      </w:pPr>
      <w:r w:rsidRPr="0019752B">
        <w:rPr>
          <w:rFonts w:ascii="Times New Roman" w:hAnsi="Times New Roman" w:cs="Times New Roman"/>
          <w:color w:val="212121"/>
          <w:sz w:val="20"/>
          <w:szCs w:val="20"/>
          <w:shd w:val="clear" w:color="auto" w:fill="FFFFFF"/>
          <w:vertAlign w:val="superscript"/>
        </w:rPr>
        <w:t>2</w:t>
      </w:r>
      <w:r w:rsidRPr="0019752B">
        <w:rPr>
          <w:rFonts w:ascii="Times New Roman" w:hAnsi="Times New Roman" w:cs="Times New Roman"/>
          <w:color w:val="212121"/>
          <w:sz w:val="20"/>
          <w:szCs w:val="20"/>
          <w:shd w:val="clear" w:color="auto" w:fill="FFFFFF"/>
        </w:rPr>
        <w:t xml:space="preserve">Labauge P, </w:t>
      </w:r>
      <w:proofErr w:type="spellStart"/>
      <w:r w:rsidRPr="0019752B">
        <w:rPr>
          <w:rFonts w:ascii="Times New Roman" w:hAnsi="Times New Roman" w:cs="Times New Roman"/>
          <w:color w:val="212121"/>
          <w:sz w:val="20"/>
          <w:szCs w:val="20"/>
          <w:shd w:val="clear" w:color="auto" w:fill="FFFFFF"/>
        </w:rPr>
        <w:t>Horzinski</w:t>
      </w:r>
      <w:proofErr w:type="spellEnd"/>
      <w:r w:rsidRPr="0019752B">
        <w:rPr>
          <w:rFonts w:ascii="Times New Roman" w:hAnsi="Times New Roman" w:cs="Times New Roman"/>
          <w:color w:val="212121"/>
          <w:sz w:val="20"/>
          <w:szCs w:val="20"/>
          <w:shd w:val="clear" w:color="auto" w:fill="FFFFFF"/>
        </w:rPr>
        <w:t xml:space="preserve"> L, </w:t>
      </w:r>
      <w:proofErr w:type="spellStart"/>
      <w:r w:rsidRPr="0019752B">
        <w:rPr>
          <w:rFonts w:ascii="Times New Roman" w:hAnsi="Times New Roman" w:cs="Times New Roman"/>
          <w:color w:val="212121"/>
          <w:sz w:val="20"/>
          <w:szCs w:val="20"/>
          <w:shd w:val="clear" w:color="auto" w:fill="FFFFFF"/>
        </w:rPr>
        <w:t>Ayrignac</w:t>
      </w:r>
      <w:proofErr w:type="spellEnd"/>
      <w:r w:rsidRPr="0019752B">
        <w:rPr>
          <w:rFonts w:ascii="Times New Roman" w:hAnsi="Times New Roman" w:cs="Times New Roman"/>
          <w:color w:val="212121"/>
          <w:sz w:val="20"/>
          <w:szCs w:val="20"/>
          <w:shd w:val="clear" w:color="auto" w:fill="FFFFFF"/>
        </w:rPr>
        <w:t xml:space="preserve"> X, et al. Natural history of adult-onset eIF2B-related disorders: a multi-centric survey of 16 cases. Brain. 2009;132(Pt 8):2161-2169.</w:t>
      </w:r>
    </w:p>
    <w:p w14:paraId="37F94B36" w14:textId="57ABF8CD" w:rsidR="006C5B6D" w:rsidRPr="0019752B" w:rsidRDefault="006C5B6D" w:rsidP="006C5B6D">
      <w:pPr>
        <w:rPr>
          <w:rFonts w:ascii="Times New Roman" w:hAnsi="Times New Roman" w:cs="Times New Roman"/>
          <w:color w:val="212121"/>
          <w:sz w:val="20"/>
          <w:szCs w:val="20"/>
          <w:shd w:val="clear" w:color="auto" w:fill="FFFFFF"/>
        </w:rPr>
      </w:pPr>
      <w:r w:rsidRPr="0019752B">
        <w:rPr>
          <w:rFonts w:ascii="Times New Roman" w:hAnsi="Times New Roman" w:cs="Times New Roman"/>
          <w:color w:val="212121"/>
          <w:sz w:val="20"/>
          <w:szCs w:val="20"/>
          <w:shd w:val="clear" w:color="auto" w:fill="FFFFFF"/>
          <w:vertAlign w:val="superscript"/>
        </w:rPr>
        <w:t>3</w:t>
      </w:r>
      <w:r w:rsidRPr="0019752B">
        <w:rPr>
          <w:rFonts w:ascii="Times New Roman" w:hAnsi="Times New Roman" w:cs="Times New Roman"/>
          <w:color w:val="212121"/>
          <w:sz w:val="20"/>
          <w:szCs w:val="20"/>
          <w:shd w:val="clear" w:color="auto" w:fill="FFFFFF"/>
        </w:rPr>
        <w:t xml:space="preserve">Robinson MÈ, Rossignol E, </w:t>
      </w:r>
      <w:proofErr w:type="spellStart"/>
      <w:r w:rsidRPr="0019752B">
        <w:rPr>
          <w:rFonts w:ascii="Times New Roman" w:hAnsi="Times New Roman" w:cs="Times New Roman"/>
          <w:color w:val="212121"/>
          <w:sz w:val="20"/>
          <w:szCs w:val="20"/>
          <w:shd w:val="clear" w:color="auto" w:fill="FFFFFF"/>
        </w:rPr>
        <w:t>Brais</w:t>
      </w:r>
      <w:proofErr w:type="spellEnd"/>
      <w:r w:rsidRPr="0019752B">
        <w:rPr>
          <w:rFonts w:ascii="Times New Roman" w:hAnsi="Times New Roman" w:cs="Times New Roman"/>
          <w:color w:val="212121"/>
          <w:sz w:val="20"/>
          <w:szCs w:val="20"/>
          <w:shd w:val="clear" w:color="auto" w:fill="FFFFFF"/>
        </w:rPr>
        <w:t xml:space="preserve"> B, Rouleau G, Arbour JF, Bernard G. Vanishing white matter disease in French-Canadian patients from Quebec. </w:t>
      </w:r>
      <w:proofErr w:type="spellStart"/>
      <w:r w:rsidRPr="0019752B">
        <w:rPr>
          <w:rFonts w:ascii="Times New Roman" w:hAnsi="Times New Roman" w:cs="Times New Roman"/>
          <w:color w:val="212121"/>
          <w:sz w:val="20"/>
          <w:szCs w:val="20"/>
          <w:shd w:val="clear" w:color="auto" w:fill="FFFFFF"/>
        </w:rPr>
        <w:t>Pediatr</w:t>
      </w:r>
      <w:proofErr w:type="spellEnd"/>
      <w:r w:rsidRPr="0019752B">
        <w:rPr>
          <w:rFonts w:ascii="Times New Roman" w:hAnsi="Times New Roman" w:cs="Times New Roman"/>
          <w:color w:val="212121"/>
          <w:sz w:val="20"/>
          <w:szCs w:val="20"/>
          <w:shd w:val="clear" w:color="auto" w:fill="FFFFFF"/>
        </w:rPr>
        <w:t xml:space="preserve"> Neurol. 2014 Aug;51(2):225-32.</w:t>
      </w:r>
    </w:p>
    <w:p w14:paraId="496B260E" w14:textId="5DFD3E10" w:rsidR="006C5B6D" w:rsidRPr="0019752B" w:rsidRDefault="006C5B6D" w:rsidP="006C5B6D">
      <w:pPr>
        <w:rPr>
          <w:rFonts w:ascii="Times New Roman" w:hAnsi="Times New Roman" w:cs="Times New Roman"/>
          <w:color w:val="212121"/>
          <w:sz w:val="20"/>
          <w:szCs w:val="20"/>
          <w:shd w:val="clear" w:color="auto" w:fill="FFFFFF"/>
        </w:rPr>
      </w:pPr>
      <w:r w:rsidRPr="0019752B">
        <w:rPr>
          <w:rFonts w:ascii="Times New Roman" w:hAnsi="Times New Roman" w:cs="Times New Roman"/>
          <w:color w:val="212121"/>
          <w:sz w:val="20"/>
          <w:szCs w:val="20"/>
          <w:shd w:val="clear" w:color="auto" w:fill="FFFFFF"/>
          <w:vertAlign w:val="superscript"/>
        </w:rPr>
        <w:t>4</w:t>
      </w:r>
      <w:r w:rsidRPr="0019752B">
        <w:rPr>
          <w:rFonts w:ascii="Times New Roman" w:hAnsi="Times New Roman" w:cs="Times New Roman"/>
          <w:color w:val="212121"/>
          <w:sz w:val="20"/>
          <w:szCs w:val="20"/>
          <w:shd w:val="clear" w:color="auto" w:fill="FFFFFF"/>
        </w:rPr>
        <w:t xml:space="preserve">Turón-Viñas E, Pineda M, </w:t>
      </w:r>
      <w:proofErr w:type="spellStart"/>
      <w:r w:rsidRPr="0019752B">
        <w:rPr>
          <w:rFonts w:ascii="Times New Roman" w:hAnsi="Times New Roman" w:cs="Times New Roman"/>
          <w:color w:val="212121"/>
          <w:sz w:val="20"/>
          <w:szCs w:val="20"/>
          <w:shd w:val="clear" w:color="auto" w:fill="FFFFFF"/>
        </w:rPr>
        <w:t>Cusí</w:t>
      </w:r>
      <w:proofErr w:type="spellEnd"/>
      <w:r w:rsidRPr="0019752B">
        <w:rPr>
          <w:rFonts w:ascii="Times New Roman" w:hAnsi="Times New Roman" w:cs="Times New Roman"/>
          <w:color w:val="212121"/>
          <w:sz w:val="20"/>
          <w:szCs w:val="20"/>
          <w:shd w:val="clear" w:color="auto" w:fill="FFFFFF"/>
        </w:rPr>
        <w:t xml:space="preserve"> V, et al. Vanishing white matter disease in a </w:t>
      </w:r>
      <w:proofErr w:type="spellStart"/>
      <w:r w:rsidRPr="0019752B">
        <w:rPr>
          <w:rFonts w:ascii="Times New Roman" w:hAnsi="Times New Roman" w:cs="Times New Roman"/>
          <w:color w:val="212121"/>
          <w:sz w:val="20"/>
          <w:szCs w:val="20"/>
          <w:shd w:val="clear" w:color="auto" w:fill="FFFFFF"/>
        </w:rPr>
        <w:t>spanish</w:t>
      </w:r>
      <w:proofErr w:type="spellEnd"/>
      <w:r w:rsidRPr="0019752B">
        <w:rPr>
          <w:rFonts w:ascii="Times New Roman" w:hAnsi="Times New Roman" w:cs="Times New Roman"/>
          <w:color w:val="212121"/>
          <w:sz w:val="20"/>
          <w:szCs w:val="20"/>
          <w:shd w:val="clear" w:color="auto" w:fill="FFFFFF"/>
        </w:rPr>
        <w:t xml:space="preserve"> population. J Cent </w:t>
      </w:r>
      <w:proofErr w:type="spellStart"/>
      <w:r w:rsidRPr="0019752B">
        <w:rPr>
          <w:rFonts w:ascii="Times New Roman" w:hAnsi="Times New Roman" w:cs="Times New Roman"/>
          <w:color w:val="212121"/>
          <w:sz w:val="20"/>
          <w:szCs w:val="20"/>
          <w:shd w:val="clear" w:color="auto" w:fill="FFFFFF"/>
        </w:rPr>
        <w:t>Nerv</w:t>
      </w:r>
      <w:proofErr w:type="spellEnd"/>
      <w:r w:rsidRPr="0019752B">
        <w:rPr>
          <w:rFonts w:ascii="Times New Roman" w:hAnsi="Times New Roman" w:cs="Times New Roman"/>
          <w:color w:val="212121"/>
          <w:sz w:val="20"/>
          <w:szCs w:val="20"/>
          <w:shd w:val="clear" w:color="auto" w:fill="FFFFFF"/>
        </w:rPr>
        <w:t xml:space="preserve"> </w:t>
      </w:r>
      <w:proofErr w:type="spellStart"/>
      <w:r w:rsidRPr="0019752B">
        <w:rPr>
          <w:rFonts w:ascii="Times New Roman" w:hAnsi="Times New Roman" w:cs="Times New Roman"/>
          <w:color w:val="212121"/>
          <w:sz w:val="20"/>
          <w:szCs w:val="20"/>
          <w:shd w:val="clear" w:color="auto" w:fill="FFFFFF"/>
        </w:rPr>
        <w:t>Syst</w:t>
      </w:r>
      <w:proofErr w:type="spellEnd"/>
      <w:r w:rsidRPr="0019752B">
        <w:rPr>
          <w:rFonts w:ascii="Times New Roman" w:hAnsi="Times New Roman" w:cs="Times New Roman"/>
          <w:color w:val="212121"/>
          <w:sz w:val="20"/>
          <w:szCs w:val="20"/>
          <w:shd w:val="clear" w:color="auto" w:fill="FFFFFF"/>
        </w:rPr>
        <w:t xml:space="preserve"> Dis. </w:t>
      </w:r>
      <w:proofErr w:type="gramStart"/>
      <w:r w:rsidRPr="0019752B">
        <w:rPr>
          <w:rFonts w:ascii="Times New Roman" w:hAnsi="Times New Roman" w:cs="Times New Roman"/>
          <w:color w:val="212121"/>
          <w:sz w:val="20"/>
          <w:szCs w:val="20"/>
          <w:shd w:val="clear" w:color="auto" w:fill="FFFFFF"/>
        </w:rPr>
        <w:t>2014;6:59</w:t>
      </w:r>
      <w:proofErr w:type="gramEnd"/>
      <w:r w:rsidRPr="0019752B">
        <w:rPr>
          <w:rFonts w:ascii="Times New Roman" w:hAnsi="Times New Roman" w:cs="Times New Roman"/>
          <w:color w:val="212121"/>
          <w:sz w:val="20"/>
          <w:szCs w:val="20"/>
          <w:shd w:val="clear" w:color="auto" w:fill="FFFFFF"/>
        </w:rPr>
        <w:t>-68.</w:t>
      </w:r>
    </w:p>
    <w:p w14:paraId="387FDF83" w14:textId="65CA06A3" w:rsidR="006C5B6D" w:rsidRPr="0019752B" w:rsidRDefault="006C5B6D" w:rsidP="006C5B6D">
      <w:pPr>
        <w:rPr>
          <w:rFonts w:ascii="Times New Roman" w:hAnsi="Times New Roman" w:cs="Times New Roman"/>
          <w:color w:val="212121"/>
          <w:sz w:val="20"/>
          <w:szCs w:val="20"/>
          <w:shd w:val="clear" w:color="auto" w:fill="FFFFFF"/>
        </w:rPr>
      </w:pPr>
      <w:r w:rsidRPr="0019752B">
        <w:rPr>
          <w:rFonts w:ascii="Times New Roman" w:hAnsi="Times New Roman" w:cs="Times New Roman"/>
          <w:color w:val="212121"/>
          <w:sz w:val="20"/>
          <w:szCs w:val="20"/>
          <w:shd w:val="clear" w:color="auto" w:fill="FFFFFF"/>
          <w:vertAlign w:val="superscript"/>
        </w:rPr>
        <w:t>5</w:t>
      </w:r>
      <w:r w:rsidRPr="0019752B">
        <w:rPr>
          <w:rFonts w:ascii="Times New Roman" w:hAnsi="Times New Roman" w:cs="Times New Roman"/>
          <w:color w:val="212121"/>
          <w:sz w:val="20"/>
          <w:szCs w:val="20"/>
          <w:shd w:val="clear" w:color="auto" w:fill="FFFFFF"/>
        </w:rPr>
        <w:t xml:space="preserve">Zhang H, Dai L, Chen N, Zang L, </w:t>
      </w:r>
      <w:proofErr w:type="spellStart"/>
      <w:r w:rsidRPr="0019752B">
        <w:rPr>
          <w:rFonts w:ascii="Times New Roman" w:hAnsi="Times New Roman" w:cs="Times New Roman"/>
          <w:color w:val="212121"/>
          <w:sz w:val="20"/>
          <w:szCs w:val="20"/>
          <w:shd w:val="clear" w:color="auto" w:fill="FFFFFF"/>
        </w:rPr>
        <w:t>Leng</w:t>
      </w:r>
      <w:proofErr w:type="spellEnd"/>
      <w:r w:rsidRPr="0019752B">
        <w:rPr>
          <w:rFonts w:ascii="Times New Roman" w:hAnsi="Times New Roman" w:cs="Times New Roman"/>
          <w:color w:val="212121"/>
          <w:sz w:val="20"/>
          <w:szCs w:val="20"/>
          <w:shd w:val="clear" w:color="auto" w:fill="FFFFFF"/>
        </w:rPr>
        <w:t xml:space="preserve"> X, Du L, Wang J, Jiang Y, Zhang F, Wu X, Wu Y. Fifteen novel EIF2B1-5 mutations identified in Chinese children with leukoencephalopathy with vanishing white matter and a </w:t>
      </w:r>
      <w:proofErr w:type="gramStart"/>
      <w:r w:rsidRPr="0019752B">
        <w:rPr>
          <w:rFonts w:ascii="Times New Roman" w:hAnsi="Times New Roman" w:cs="Times New Roman"/>
          <w:color w:val="212121"/>
          <w:sz w:val="20"/>
          <w:szCs w:val="20"/>
          <w:shd w:val="clear" w:color="auto" w:fill="FFFFFF"/>
        </w:rPr>
        <w:t>long term</w:t>
      </w:r>
      <w:proofErr w:type="gramEnd"/>
      <w:r w:rsidRPr="0019752B">
        <w:rPr>
          <w:rFonts w:ascii="Times New Roman" w:hAnsi="Times New Roman" w:cs="Times New Roman"/>
          <w:color w:val="212121"/>
          <w:sz w:val="20"/>
          <w:szCs w:val="20"/>
          <w:shd w:val="clear" w:color="auto" w:fill="FFFFFF"/>
        </w:rPr>
        <w:t xml:space="preserve"> follow-up. </w:t>
      </w:r>
      <w:proofErr w:type="spellStart"/>
      <w:r w:rsidRPr="0019752B">
        <w:rPr>
          <w:rFonts w:ascii="Times New Roman" w:hAnsi="Times New Roman" w:cs="Times New Roman"/>
          <w:color w:val="212121"/>
          <w:sz w:val="20"/>
          <w:szCs w:val="20"/>
          <w:shd w:val="clear" w:color="auto" w:fill="FFFFFF"/>
        </w:rPr>
        <w:t>PLoS</w:t>
      </w:r>
      <w:proofErr w:type="spellEnd"/>
      <w:r w:rsidRPr="0019752B">
        <w:rPr>
          <w:rFonts w:ascii="Times New Roman" w:hAnsi="Times New Roman" w:cs="Times New Roman"/>
          <w:color w:val="212121"/>
          <w:sz w:val="20"/>
          <w:szCs w:val="20"/>
          <w:shd w:val="clear" w:color="auto" w:fill="FFFFFF"/>
        </w:rPr>
        <w:t xml:space="preserve"> One. 2015 Mar 11;10(3</w:t>
      </w:r>
      <w:proofErr w:type="gramStart"/>
      <w:r w:rsidRPr="0019752B">
        <w:rPr>
          <w:rFonts w:ascii="Times New Roman" w:hAnsi="Times New Roman" w:cs="Times New Roman"/>
          <w:color w:val="212121"/>
          <w:sz w:val="20"/>
          <w:szCs w:val="20"/>
          <w:shd w:val="clear" w:color="auto" w:fill="FFFFFF"/>
        </w:rPr>
        <w:t>):e</w:t>
      </w:r>
      <w:proofErr w:type="gramEnd"/>
      <w:r w:rsidRPr="0019752B">
        <w:rPr>
          <w:rFonts w:ascii="Times New Roman" w:hAnsi="Times New Roman" w:cs="Times New Roman"/>
          <w:color w:val="212121"/>
          <w:sz w:val="20"/>
          <w:szCs w:val="20"/>
          <w:shd w:val="clear" w:color="auto" w:fill="FFFFFF"/>
        </w:rPr>
        <w:t>0118001.</w:t>
      </w:r>
    </w:p>
    <w:p w14:paraId="0D1799F8" w14:textId="0C6F942E" w:rsidR="006C5B6D" w:rsidRPr="0019752B" w:rsidRDefault="006C5B6D" w:rsidP="006C5B6D">
      <w:pPr>
        <w:rPr>
          <w:rFonts w:ascii="Times New Roman" w:hAnsi="Times New Roman" w:cs="Times New Roman"/>
          <w:color w:val="212121"/>
          <w:sz w:val="20"/>
          <w:szCs w:val="20"/>
          <w:shd w:val="clear" w:color="auto" w:fill="FFFFFF"/>
        </w:rPr>
      </w:pPr>
      <w:r w:rsidRPr="0019752B">
        <w:rPr>
          <w:rFonts w:ascii="Times New Roman" w:hAnsi="Times New Roman" w:cs="Times New Roman"/>
          <w:color w:val="212121"/>
          <w:sz w:val="20"/>
          <w:szCs w:val="20"/>
          <w:shd w:val="clear" w:color="auto" w:fill="FFFFFF"/>
          <w:vertAlign w:val="superscript"/>
        </w:rPr>
        <w:t>6</w:t>
      </w:r>
      <w:r w:rsidRPr="0019752B">
        <w:rPr>
          <w:rFonts w:ascii="Times New Roman" w:hAnsi="Times New Roman" w:cs="Times New Roman"/>
          <w:color w:val="212121"/>
          <w:sz w:val="20"/>
          <w:szCs w:val="20"/>
          <w:shd w:val="clear" w:color="auto" w:fill="FFFFFF"/>
        </w:rPr>
        <w:t>Hamilton EMC, van der Lei HDW, Vermeulen G, et al. Natural History of Vanishing White Matter. Ann Neurol. 2018;84(2):274-288.</w:t>
      </w:r>
    </w:p>
    <w:p w14:paraId="2FD8E61C" w14:textId="6CFE3A4C" w:rsidR="003B43C9" w:rsidRPr="0019752B" w:rsidRDefault="006C5B6D">
      <w:pPr>
        <w:rPr>
          <w:rFonts w:ascii="Times New Roman" w:hAnsi="Times New Roman" w:cs="Times New Roman"/>
          <w:sz w:val="20"/>
          <w:szCs w:val="20"/>
        </w:rPr>
      </w:pPr>
      <w:r w:rsidRPr="0019752B">
        <w:rPr>
          <w:rFonts w:ascii="Times New Roman" w:hAnsi="Times New Roman" w:cs="Times New Roman"/>
          <w:color w:val="212121"/>
          <w:sz w:val="20"/>
          <w:szCs w:val="20"/>
          <w:shd w:val="clear" w:color="auto" w:fill="FFFFFF"/>
          <w:vertAlign w:val="superscript"/>
        </w:rPr>
        <w:t>7</w:t>
      </w:r>
      <w:r w:rsidRPr="0019752B">
        <w:rPr>
          <w:rFonts w:ascii="Times New Roman" w:hAnsi="Times New Roman" w:cs="Times New Roman"/>
          <w:color w:val="212121"/>
          <w:sz w:val="20"/>
          <w:szCs w:val="20"/>
          <w:shd w:val="clear" w:color="auto" w:fill="FFFFFF"/>
        </w:rPr>
        <w:t xml:space="preserve">Güngör G, </w:t>
      </w:r>
      <w:proofErr w:type="spellStart"/>
      <w:r w:rsidRPr="0019752B">
        <w:rPr>
          <w:rFonts w:ascii="Times New Roman" w:hAnsi="Times New Roman" w:cs="Times New Roman"/>
          <w:color w:val="212121"/>
          <w:sz w:val="20"/>
          <w:szCs w:val="20"/>
          <w:shd w:val="clear" w:color="auto" w:fill="FFFFFF"/>
        </w:rPr>
        <w:t>Güngör</w:t>
      </w:r>
      <w:proofErr w:type="spellEnd"/>
      <w:r w:rsidRPr="0019752B">
        <w:rPr>
          <w:rFonts w:ascii="Times New Roman" w:hAnsi="Times New Roman" w:cs="Times New Roman"/>
          <w:color w:val="212121"/>
          <w:sz w:val="20"/>
          <w:szCs w:val="20"/>
          <w:shd w:val="clear" w:color="auto" w:fill="FFFFFF"/>
        </w:rPr>
        <w:t xml:space="preserve"> O, </w:t>
      </w:r>
      <w:proofErr w:type="spellStart"/>
      <w:r w:rsidRPr="0019752B">
        <w:rPr>
          <w:rFonts w:ascii="Times New Roman" w:hAnsi="Times New Roman" w:cs="Times New Roman"/>
          <w:color w:val="212121"/>
          <w:sz w:val="20"/>
          <w:szCs w:val="20"/>
          <w:shd w:val="clear" w:color="auto" w:fill="FFFFFF"/>
        </w:rPr>
        <w:t>Çakmaklı</w:t>
      </w:r>
      <w:proofErr w:type="spellEnd"/>
      <w:r w:rsidRPr="0019752B">
        <w:rPr>
          <w:rFonts w:ascii="Times New Roman" w:hAnsi="Times New Roman" w:cs="Times New Roman"/>
          <w:color w:val="212121"/>
          <w:sz w:val="20"/>
          <w:szCs w:val="20"/>
          <w:shd w:val="clear" w:color="auto" w:fill="FFFFFF"/>
        </w:rPr>
        <w:t xml:space="preserve"> S, et al. Vanishing white matter disease with different faces. Childs </w:t>
      </w:r>
      <w:proofErr w:type="spellStart"/>
      <w:r w:rsidRPr="0019752B">
        <w:rPr>
          <w:rFonts w:ascii="Times New Roman" w:hAnsi="Times New Roman" w:cs="Times New Roman"/>
          <w:color w:val="212121"/>
          <w:sz w:val="20"/>
          <w:szCs w:val="20"/>
          <w:shd w:val="clear" w:color="auto" w:fill="FFFFFF"/>
        </w:rPr>
        <w:t>Nerv</w:t>
      </w:r>
      <w:proofErr w:type="spellEnd"/>
      <w:r w:rsidRPr="0019752B">
        <w:rPr>
          <w:rFonts w:ascii="Times New Roman" w:hAnsi="Times New Roman" w:cs="Times New Roman"/>
          <w:color w:val="212121"/>
          <w:sz w:val="20"/>
          <w:szCs w:val="20"/>
          <w:shd w:val="clear" w:color="auto" w:fill="FFFFFF"/>
        </w:rPr>
        <w:t xml:space="preserve"> Syst. 2020;36(2):353-361.</w:t>
      </w:r>
      <w:bookmarkEnd w:id="0"/>
    </w:p>
    <w:sectPr w:rsidR="003B43C9" w:rsidRPr="0019752B" w:rsidSect="003B0B0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35B3" w14:textId="77777777" w:rsidR="00832C1D" w:rsidRDefault="00832C1D" w:rsidP="003B01CA">
      <w:pPr>
        <w:spacing w:after="0" w:line="240" w:lineRule="auto"/>
      </w:pPr>
      <w:r>
        <w:separator/>
      </w:r>
    </w:p>
  </w:endnote>
  <w:endnote w:type="continuationSeparator" w:id="0">
    <w:p w14:paraId="74C0BA2E" w14:textId="77777777" w:rsidR="00832C1D" w:rsidRDefault="00832C1D" w:rsidP="003B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95E85" w14:textId="77777777" w:rsidR="00832C1D" w:rsidRDefault="00832C1D" w:rsidP="003B01CA">
      <w:pPr>
        <w:spacing w:after="0" w:line="240" w:lineRule="auto"/>
      </w:pPr>
      <w:r>
        <w:separator/>
      </w:r>
    </w:p>
  </w:footnote>
  <w:footnote w:type="continuationSeparator" w:id="0">
    <w:p w14:paraId="29178B86" w14:textId="77777777" w:rsidR="00832C1D" w:rsidRDefault="00832C1D" w:rsidP="003B0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03D94"/>
    <w:multiLevelType w:val="hybridMultilevel"/>
    <w:tmpl w:val="283E5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wMDMxMzM1MTEwNTdW0lEKTi0uzszPAymwrAUAo0eKqCwAAAA="/>
  </w:docVars>
  <w:rsids>
    <w:rsidRoot w:val="00992D26"/>
    <w:rsid w:val="00001012"/>
    <w:rsid w:val="000021E9"/>
    <w:rsid w:val="00006145"/>
    <w:rsid w:val="00011ABE"/>
    <w:rsid w:val="00037338"/>
    <w:rsid w:val="00107EFA"/>
    <w:rsid w:val="00130828"/>
    <w:rsid w:val="00137A20"/>
    <w:rsid w:val="00190A56"/>
    <w:rsid w:val="0019752B"/>
    <w:rsid w:val="002001F8"/>
    <w:rsid w:val="00285675"/>
    <w:rsid w:val="002911CC"/>
    <w:rsid w:val="003105EB"/>
    <w:rsid w:val="003B01CA"/>
    <w:rsid w:val="003B0B0D"/>
    <w:rsid w:val="003B43C9"/>
    <w:rsid w:val="003C4D61"/>
    <w:rsid w:val="003E120F"/>
    <w:rsid w:val="00441B98"/>
    <w:rsid w:val="004A1F5F"/>
    <w:rsid w:val="004A325E"/>
    <w:rsid w:val="004D3368"/>
    <w:rsid w:val="005A077E"/>
    <w:rsid w:val="005C2013"/>
    <w:rsid w:val="005E610D"/>
    <w:rsid w:val="00682A1D"/>
    <w:rsid w:val="00692025"/>
    <w:rsid w:val="006B410B"/>
    <w:rsid w:val="006C5B6D"/>
    <w:rsid w:val="006D2356"/>
    <w:rsid w:val="006E468C"/>
    <w:rsid w:val="007B27E1"/>
    <w:rsid w:val="007C0263"/>
    <w:rsid w:val="0081055F"/>
    <w:rsid w:val="00832C1D"/>
    <w:rsid w:val="00844E7F"/>
    <w:rsid w:val="008D5861"/>
    <w:rsid w:val="00992D26"/>
    <w:rsid w:val="00A1599B"/>
    <w:rsid w:val="00AF161B"/>
    <w:rsid w:val="00B42C17"/>
    <w:rsid w:val="00B51DB1"/>
    <w:rsid w:val="00C71A1D"/>
    <w:rsid w:val="00D4164E"/>
    <w:rsid w:val="00D62E0D"/>
    <w:rsid w:val="00EB57A3"/>
    <w:rsid w:val="00EC0BDE"/>
    <w:rsid w:val="00F21EEF"/>
    <w:rsid w:val="00F60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526D"/>
  <w15:chartTrackingRefBased/>
  <w15:docId w15:val="{BF1248BB-ED34-4707-9E05-8818EF3C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0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10B"/>
    <w:pPr>
      <w:ind w:left="720"/>
      <w:contextualSpacing/>
    </w:pPr>
  </w:style>
  <w:style w:type="paragraph" w:styleId="Header">
    <w:name w:val="header"/>
    <w:basedOn w:val="Normal"/>
    <w:link w:val="HeaderChar"/>
    <w:uiPriority w:val="99"/>
    <w:unhideWhenUsed/>
    <w:rsid w:val="003B0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1CA"/>
  </w:style>
  <w:style w:type="paragraph" w:styleId="Footer">
    <w:name w:val="footer"/>
    <w:basedOn w:val="Normal"/>
    <w:link w:val="FooterChar"/>
    <w:uiPriority w:val="99"/>
    <w:unhideWhenUsed/>
    <w:rsid w:val="003B0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9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SUMANTH</dc:creator>
  <cp:keywords/>
  <dc:description/>
  <cp:lastModifiedBy>Madhu N</cp:lastModifiedBy>
  <cp:revision>10</cp:revision>
  <dcterms:created xsi:type="dcterms:W3CDTF">2020-10-11T09:36:00Z</dcterms:created>
  <dcterms:modified xsi:type="dcterms:W3CDTF">2021-04-13T09:56:00Z</dcterms:modified>
</cp:coreProperties>
</file>