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0" w:type="dxa"/>
        <w:tblLook w:val="04A0" w:firstRow="1" w:lastRow="0" w:firstColumn="1" w:lastColumn="0" w:noHBand="0" w:noVBand="1"/>
      </w:tblPr>
      <w:tblGrid>
        <w:gridCol w:w="651"/>
        <w:gridCol w:w="842"/>
        <w:gridCol w:w="1150"/>
        <w:gridCol w:w="1149"/>
        <w:gridCol w:w="1149"/>
        <w:gridCol w:w="1149"/>
        <w:gridCol w:w="1149"/>
        <w:gridCol w:w="1149"/>
        <w:gridCol w:w="1149"/>
        <w:gridCol w:w="1149"/>
        <w:gridCol w:w="1149"/>
        <w:gridCol w:w="1149"/>
        <w:gridCol w:w="1149"/>
      </w:tblGrid>
      <w:tr w:rsidR="00A71981" w:rsidRPr="00A71981" w:rsidTr="00A71981">
        <w:trPr>
          <w:trHeight w:val="1700"/>
        </w:trPr>
        <w:tc>
          <w:tcPr>
            <w:tcW w:w="1396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Supplemental Table. Pediatric Neurology clinic visits by type of visit, January 2019 - July 2020.  Data for months in which physical distancing was implemented are shown in italics. There was a large increase in the number of virtual visits starting in March 2020, sustained through July 2020. A rebound in in-person visits coincided with a decrease in telephone consults. The overall percentage of new patients seen during the pandemic remained similar to baseline. The percentage of virtual visits that were new consultations was similar to or slightly higher than the overall percentage of new patients seen.</w:t>
            </w:r>
          </w:p>
        </w:tc>
      </w:tr>
      <w:tr w:rsidR="00A71981" w:rsidRPr="00A71981" w:rsidTr="00A71981">
        <w:trPr>
          <w:trHeight w:val="320"/>
        </w:trPr>
        <w:tc>
          <w:tcPr>
            <w:tcW w:w="478" w:type="dxa"/>
            <w:vMerge w:val="restart"/>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Year</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Month</w:t>
            </w:r>
          </w:p>
        </w:tc>
        <w:tc>
          <w:tcPr>
            <w:tcW w:w="3448" w:type="dxa"/>
            <w:gridSpan w:val="3"/>
            <w:tcBorders>
              <w:top w:val="single" w:sz="4" w:space="0" w:color="auto"/>
              <w:left w:val="nil"/>
              <w:bottom w:val="nil"/>
              <w:right w:val="single" w:sz="4" w:space="0" w:color="000000"/>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In-person</w:t>
            </w:r>
          </w:p>
        </w:tc>
        <w:tc>
          <w:tcPr>
            <w:tcW w:w="3447" w:type="dxa"/>
            <w:gridSpan w:val="3"/>
            <w:tcBorders>
              <w:top w:val="single" w:sz="4" w:space="0" w:color="auto"/>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Virtual and Telehealth</w:t>
            </w:r>
          </w:p>
        </w:tc>
        <w:tc>
          <w:tcPr>
            <w:tcW w:w="344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Telephone</w:t>
            </w:r>
          </w:p>
        </w:tc>
        <w:tc>
          <w:tcPr>
            <w:tcW w:w="2298" w:type="dxa"/>
            <w:gridSpan w:val="2"/>
            <w:tcBorders>
              <w:top w:val="single" w:sz="4" w:space="0" w:color="auto"/>
              <w:left w:val="nil"/>
              <w:bottom w:val="nil"/>
              <w:right w:val="single" w:sz="4" w:space="0" w:color="000000"/>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Combined (all types)</w:t>
            </w:r>
          </w:p>
        </w:tc>
      </w:tr>
      <w:tr w:rsidR="00A71981" w:rsidRPr="00A71981" w:rsidTr="00A71981">
        <w:trPr>
          <w:trHeight w:val="520"/>
        </w:trPr>
        <w:tc>
          <w:tcPr>
            <w:tcW w:w="478" w:type="dxa"/>
            <w:vMerge/>
            <w:tcBorders>
              <w:top w:val="nil"/>
              <w:left w:val="single" w:sz="4" w:space="0" w:color="auto"/>
              <w:bottom w:val="nil"/>
              <w:right w:val="nil"/>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Arial" w:eastAsia="Times New Roman" w:hAnsi="Arial" w:cs="Arial"/>
                <w:color w:val="000000"/>
                <w:sz w:val="20"/>
                <w:szCs w:val="20"/>
              </w:rPr>
            </w:pPr>
          </w:p>
        </w:tc>
        <w:tc>
          <w:tcPr>
            <w:tcW w:w="1150"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Visits</w:t>
            </w:r>
          </w:p>
        </w:tc>
        <w:tc>
          <w:tcPr>
            <w:tcW w:w="1149"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New</w:t>
            </w:r>
          </w:p>
        </w:tc>
        <w:tc>
          <w:tcPr>
            <w:tcW w:w="1149" w:type="dxa"/>
            <w:tcBorders>
              <w:top w:val="nil"/>
              <w:left w:val="nil"/>
              <w:bottom w:val="single" w:sz="4" w:space="0" w:color="auto"/>
              <w:right w:val="single" w:sz="4" w:space="0" w:color="auto"/>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of total visits</w:t>
            </w:r>
          </w:p>
        </w:tc>
        <w:tc>
          <w:tcPr>
            <w:tcW w:w="1149"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Visits</w:t>
            </w:r>
          </w:p>
        </w:tc>
        <w:tc>
          <w:tcPr>
            <w:tcW w:w="1149"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New</w:t>
            </w:r>
          </w:p>
        </w:tc>
        <w:tc>
          <w:tcPr>
            <w:tcW w:w="1149" w:type="dxa"/>
            <w:tcBorders>
              <w:top w:val="nil"/>
              <w:left w:val="nil"/>
              <w:bottom w:val="single" w:sz="4" w:space="0" w:color="auto"/>
              <w:right w:val="single" w:sz="4" w:space="0" w:color="auto"/>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of total visits</w:t>
            </w:r>
          </w:p>
        </w:tc>
        <w:tc>
          <w:tcPr>
            <w:tcW w:w="1149"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Visits</w:t>
            </w:r>
          </w:p>
        </w:tc>
        <w:tc>
          <w:tcPr>
            <w:tcW w:w="1149"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New</w:t>
            </w:r>
          </w:p>
        </w:tc>
        <w:tc>
          <w:tcPr>
            <w:tcW w:w="1149" w:type="dxa"/>
            <w:tcBorders>
              <w:top w:val="nil"/>
              <w:left w:val="nil"/>
              <w:bottom w:val="single" w:sz="4" w:space="0" w:color="auto"/>
              <w:right w:val="single" w:sz="4" w:space="0" w:color="auto"/>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of total visits</w:t>
            </w:r>
          </w:p>
        </w:tc>
        <w:tc>
          <w:tcPr>
            <w:tcW w:w="1149" w:type="dxa"/>
            <w:tcBorders>
              <w:top w:val="nil"/>
              <w:left w:val="nil"/>
              <w:bottom w:val="single" w:sz="4" w:space="0" w:color="auto"/>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Total</w:t>
            </w:r>
          </w:p>
        </w:tc>
        <w:tc>
          <w:tcPr>
            <w:tcW w:w="1149" w:type="dxa"/>
            <w:tcBorders>
              <w:top w:val="nil"/>
              <w:left w:val="nil"/>
              <w:bottom w:val="single" w:sz="4" w:space="0" w:color="auto"/>
              <w:right w:val="single" w:sz="4" w:space="0" w:color="auto"/>
            </w:tcBorders>
            <w:shd w:val="clear" w:color="auto" w:fill="auto"/>
            <w:vAlign w:val="center"/>
            <w:hideMark/>
          </w:tcPr>
          <w:p w:rsidR="00A71981" w:rsidRPr="00A71981" w:rsidRDefault="00A71981" w:rsidP="00A71981">
            <w:pPr>
              <w:jc w:val="center"/>
              <w:rPr>
                <w:rFonts w:ascii="Arial" w:eastAsia="Times New Roman" w:hAnsi="Arial" w:cs="Arial"/>
                <w:color w:val="000000"/>
                <w:sz w:val="18"/>
                <w:szCs w:val="18"/>
              </w:rPr>
            </w:pPr>
            <w:r w:rsidRPr="00A71981">
              <w:rPr>
                <w:rFonts w:ascii="Arial" w:eastAsia="Times New Roman" w:hAnsi="Arial" w:cs="Arial"/>
                <w:color w:val="000000"/>
                <w:sz w:val="18"/>
                <w:szCs w:val="18"/>
              </w:rPr>
              <w:t>% New</w:t>
            </w:r>
          </w:p>
        </w:tc>
      </w:tr>
      <w:tr w:rsidR="00A71981" w:rsidRPr="00A71981" w:rsidTr="00A71981">
        <w:trPr>
          <w:trHeight w:val="320"/>
        </w:trPr>
        <w:tc>
          <w:tcPr>
            <w:tcW w:w="478"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2019</w:t>
            </w:r>
          </w:p>
        </w:tc>
        <w:tc>
          <w:tcPr>
            <w:tcW w:w="842"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Jan</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585</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20.7%</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90.3%</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23.8%</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3.2%</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42</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6.5%</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648</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21.9%</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Feb</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413</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21.3%</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89.0%</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15</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13.3%</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3.2%</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36</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7.8%</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464</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21.8%</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Mar</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512</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20.3%</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91.6%</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17</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23.5%</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3.0%</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30</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5.4%</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559</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23.4%</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Apr</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550</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18.2%</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90.9%</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10.5%</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3.1%</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36</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6.0%</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605</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19.8%</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May</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655</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16.6%</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91.9%</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19.0%</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2.9%</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37</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5.2%</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713</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20.6%</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Jun</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476</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17.9%</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87.8%</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31</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6.5%</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5.7%</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35</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6.5%</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542</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20.1%</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Jul</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497</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15.5%</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91.0%</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26</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19.2%</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4.8%</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23</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4.2%</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546</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20.7%</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Aug</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442</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20.4%</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83.9%</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50</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14.0%</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9.5%</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35</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6.6%</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527</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23.1%</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Sep</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577</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17.9%</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89.3%</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28</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3.6%</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4.3%</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41</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6.3%</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646</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20.7%</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Oct</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571</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19.1%</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90.8%</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26</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3.8%</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4.1%</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32</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5.1%</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629</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22.9%</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Nov</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536</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20.5%</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90.4%</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30</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16.7%</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5.1%</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27</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4.6%</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593</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22.9%</w:t>
            </w:r>
          </w:p>
        </w:tc>
      </w:tr>
      <w:tr w:rsidR="00A71981" w:rsidRPr="00A71981" w:rsidTr="00A71981">
        <w:trPr>
          <w:trHeight w:val="320"/>
        </w:trPr>
        <w:tc>
          <w:tcPr>
            <w:tcW w:w="478" w:type="dxa"/>
            <w:vMerge/>
            <w:tcBorders>
              <w:top w:val="single" w:sz="4" w:space="0" w:color="auto"/>
              <w:left w:val="single" w:sz="4" w:space="0" w:color="auto"/>
              <w:bottom w:val="nil"/>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Dec</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373</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19.6%</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83.8%</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32</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9.4%</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7.2%</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40</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9.0%</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445</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18.9%</w:t>
            </w:r>
          </w:p>
        </w:tc>
      </w:tr>
      <w:tr w:rsidR="00A71981" w:rsidRPr="00A71981" w:rsidTr="00A71981">
        <w:trPr>
          <w:trHeight w:val="320"/>
        </w:trPr>
        <w:tc>
          <w:tcPr>
            <w:tcW w:w="47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2020</w:t>
            </w: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Jan</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492</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19.5%</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88.3%</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32</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12.5%</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5.7%</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33</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5.9%</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557</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24.8%</w:t>
            </w:r>
          </w:p>
        </w:tc>
      </w:tr>
      <w:tr w:rsidR="00A71981" w:rsidRPr="00A71981" w:rsidTr="00A71981">
        <w:trPr>
          <w:trHeight w:val="320"/>
        </w:trPr>
        <w:tc>
          <w:tcPr>
            <w:tcW w:w="478"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color w:val="000000"/>
                <w:sz w:val="20"/>
                <w:szCs w:val="20"/>
              </w:rPr>
            </w:pPr>
            <w:r w:rsidRPr="00A71981">
              <w:rPr>
                <w:rFonts w:ascii="Arial" w:eastAsia="Times New Roman" w:hAnsi="Arial" w:cs="Arial"/>
                <w:color w:val="000000"/>
                <w:sz w:val="20"/>
                <w:szCs w:val="20"/>
              </w:rPr>
              <w:t>Feb</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441</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21.5%</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83.8%</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29</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6.9%</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5.5%</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56</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10.6%</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526</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color w:val="000000"/>
              </w:rPr>
            </w:pPr>
            <w:r w:rsidRPr="00A71981">
              <w:rPr>
                <w:rFonts w:ascii="Calibri" w:eastAsia="Times New Roman" w:hAnsi="Calibri" w:cs="Calibri"/>
                <w:color w:val="000000"/>
              </w:rPr>
              <w:t>21.9%</w:t>
            </w:r>
          </w:p>
        </w:tc>
      </w:tr>
      <w:tr w:rsidR="00A71981" w:rsidRPr="00A71981" w:rsidTr="00A71981">
        <w:trPr>
          <w:trHeight w:val="320"/>
        </w:trPr>
        <w:tc>
          <w:tcPr>
            <w:tcW w:w="478"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i/>
                <w:iCs/>
                <w:color w:val="000000"/>
                <w:sz w:val="20"/>
                <w:szCs w:val="20"/>
              </w:rPr>
            </w:pPr>
            <w:r w:rsidRPr="00A71981">
              <w:rPr>
                <w:rFonts w:ascii="Arial" w:eastAsia="Times New Roman" w:hAnsi="Arial" w:cs="Arial"/>
                <w:i/>
                <w:iCs/>
                <w:color w:val="000000"/>
                <w:sz w:val="20"/>
                <w:szCs w:val="20"/>
              </w:rPr>
              <w:t>Mar</w:t>
            </w:r>
          </w:p>
        </w:tc>
        <w:tc>
          <w:tcPr>
            <w:tcW w:w="1150"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341</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18.2%</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56.1%</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149</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21.5%</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24.5%</w:t>
            </w:r>
          </w:p>
        </w:tc>
        <w:tc>
          <w:tcPr>
            <w:tcW w:w="1149" w:type="dxa"/>
            <w:tcBorders>
              <w:top w:val="nil"/>
              <w:left w:val="single" w:sz="4" w:space="0" w:color="auto"/>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118</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13.6%</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19.4%</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608</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21.5%</w:t>
            </w:r>
          </w:p>
        </w:tc>
      </w:tr>
      <w:tr w:rsidR="00A71981" w:rsidRPr="00A71981" w:rsidTr="00A71981">
        <w:trPr>
          <w:trHeight w:val="320"/>
        </w:trPr>
        <w:tc>
          <w:tcPr>
            <w:tcW w:w="478"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vAlign w:val="center"/>
            <w:hideMark/>
          </w:tcPr>
          <w:p w:rsidR="00A71981" w:rsidRPr="00A71981" w:rsidRDefault="00A71981" w:rsidP="00A71981">
            <w:pPr>
              <w:jc w:val="center"/>
              <w:rPr>
                <w:rFonts w:ascii="Arial" w:eastAsia="Times New Roman" w:hAnsi="Arial" w:cs="Arial"/>
                <w:i/>
                <w:iCs/>
                <w:color w:val="000000"/>
                <w:sz w:val="20"/>
                <w:szCs w:val="20"/>
              </w:rPr>
            </w:pPr>
            <w:r w:rsidRPr="00A71981">
              <w:rPr>
                <w:rFonts w:ascii="Arial" w:eastAsia="Times New Roman" w:hAnsi="Arial" w:cs="Arial"/>
                <w:i/>
                <w:iCs/>
                <w:color w:val="000000"/>
                <w:sz w:val="20"/>
                <w:szCs w:val="20"/>
              </w:rPr>
              <w:t>Apr</w:t>
            </w:r>
          </w:p>
        </w:tc>
        <w:tc>
          <w:tcPr>
            <w:tcW w:w="1150"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24</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50.0%</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4.2%</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365</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24.9%</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63.1%</w:t>
            </w:r>
          </w:p>
        </w:tc>
        <w:tc>
          <w:tcPr>
            <w:tcW w:w="1149" w:type="dxa"/>
            <w:tcBorders>
              <w:top w:val="nil"/>
              <w:left w:val="single" w:sz="4" w:space="0" w:color="auto"/>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189</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3.2%</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32.7%</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578</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18.9%</w:t>
            </w:r>
          </w:p>
        </w:tc>
      </w:tr>
      <w:tr w:rsidR="00A71981" w:rsidRPr="00A71981" w:rsidTr="00A71981">
        <w:trPr>
          <w:trHeight w:val="320"/>
        </w:trPr>
        <w:tc>
          <w:tcPr>
            <w:tcW w:w="478"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000000" w:fill="F2F2F2"/>
            <w:vAlign w:val="center"/>
            <w:hideMark/>
          </w:tcPr>
          <w:p w:rsidR="00A71981" w:rsidRPr="00A71981" w:rsidRDefault="00A71981" w:rsidP="00A71981">
            <w:pPr>
              <w:jc w:val="center"/>
              <w:rPr>
                <w:rFonts w:ascii="Arial" w:eastAsia="Times New Roman" w:hAnsi="Arial" w:cs="Arial"/>
                <w:i/>
                <w:iCs/>
                <w:color w:val="000000"/>
                <w:sz w:val="20"/>
                <w:szCs w:val="20"/>
              </w:rPr>
            </w:pPr>
            <w:r w:rsidRPr="00A71981">
              <w:rPr>
                <w:rFonts w:ascii="Arial" w:eastAsia="Times New Roman" w:hAnsi="Arial" w:cs="Arial"/>
                <w:i/>
                <w:iCs/>
                <w:color w:val="000000"/>
                <w:sz w:val="20"/>
                <w:szCs w:val="20"/>
              </w:rPr>
              <w:t>May</w:t>
            </w:r>
          </w:p>
        </w:tc>
        <w:tc>
          <w:tcPr>
            <w:tcW w:w="1150" w:type="dxa"/>
            <w:tcBorders>
              <w:top w:val="nil"/>
              <w:left w:val="single" w:sz="4" w:space="0" w:color="auto"/>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0</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42.0%</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8.4%</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346</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22.8%</w:t>
            </w:r>
          </w:p>
        </w:tc>
        <w:tc>
          <w:tcPr>
            <w:tcW w:w="1149" w:type="dxa"/>
            <w:tcBorders>
              <w:top w:val="nil"/>
              <w:left w:val="nil"/>
              <w:bottom w:val="nil"/>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58.1%</w:t>
            </w:r>
          </w:p>
        </w:tc>
        <w:tc>
          <w:tcPr>
            <w:tcW w:w="1149" w:type="dxa"/>
            <w:tcBorders>
              <w:top w:val="nil"/>
              <w:left w:val="single" w:sz="4" w:space="0" w:color="auto"/>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200</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7.5%</w:t>
            </w:r>
          </w:p>
        </w:tc>
        <w:tc>
          <w:tcPr>
            <w:tcW w:w="1149" w:type="dxa"/>
            <w:tcBorders>
              <w:top w:val="nil"/>
              <w:left w:val="nil"/>
              <w:bottom w:val="nil"/>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33.6%</w:t>
            </w:r>
          </w:p>
        </w:tc>
        <w:tc>
          <w:tcPr>
            <w:tcW w:w="1149" w:type="dxa"/>
            <w:tcBorders>
              <w:top w:val="nil"/>
              <w:left w:val="nil"/>
              <w:bottom w:val="nil"/>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596</w:t>
            </w:r>
          </w:p>
        </w:tc>
        <w:tc>
          <w:tcPr>
            <w:tcW w:w="1149" w:type="dxa"/>
            <w:tcBorders>
              <w:top w:val="nil"/>
              <w:left w:val="nil"/>
              <w:bottom w:val="nil"/>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19.3%</w:t>
            </w:r>
          </w:p>
        </w:tc>
        <w:bookmarkStart w:id="0" w:name="_GoBack"/>
        <w:bookmarkEnd w:id="0"/>
      </w:tr>
      <w:tr w:rsidR="00A71981" w:rsidRPr="00A71981" w:rsidTr="00A71981">
        <w:trPr>
          <w:trHeight w:val="320"/>
        </w:trPr>
        <w:tc>
          <w:tcPr>
            <w:tcW w:w="478"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Jun</w:t>
            </w:r>
          </w:p>
        </w:tc>
        <w:tc>
          <w:tcPr>
            <w:tcW w:w="1150" w:type="dxa"/>
            <w:tcBorders>
              <w:top w:val="nil"/>
              <w:left w:val="single" w:sz="4" w:space="0" w:color="auto"/>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0</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32.1%</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11.8%</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401</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22.4%</w:t>
            </w:r>
          </w:p>
        </w:tc>
        <w:tc>
          <w:tcPr>
            <w:tcW w:w="1149" w:type="dxa"/>
            <w:tcBorders>
              <w:top w:val="nil"/>
              <w:left w:val="nil"/>
              <w:bottom w:val="nil"/>
              <w:right w:val="nil"/>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60.8%</w:t>
            </w:r>
          </w:p>
        </w:tc>
        <w:tc>
          <w:tcPr>
            <w:tcW w:w="1149" w:type="dxa"/>
            <w:tcBorders>
              <w:top w:val="nil"/>
              <w:left w:val="single" w:sz="4" w:space="0" w:color="auto"/>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180</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3.9%</w:t>
            </w:r>
          </w:p>
        </w:tc>
        <w:tc>
          <w:tcPr>
            <w:tcW w:w="1149" w:type="dxa"/>
            <w:tcBorders>
              <w:top w:val="nil"/>
              <w:left w:val="nil"/>
              <w:bottom w:val="nil"/>
              <w:right w:val="single" w:sz="4" w:space="0" w:color="auto"/>
            </w:tcBorders>
            <w:shd w:val="clear" w:color="auto" w:fill="auto"/>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27.3%</w:t>
            </w:r>
          </w:p>
        </w:tc>
        <w:tc>
          <w:tcPr>
            <w:tcW w:w="1149" w:type="dxa"/>
            <w:tcBorders>
              <w:top w:val="nil"/>
              <w:left w:val="nil"/>
              <w:bottom w:val="nil"/>
              <w:right w:val="nil"/>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659</w:t>
            </w:r>
          </w:p>
        </w:tc>
        <w:tc>
          <w:tcPr>
            <w:tcW w:w="1149" w:type="dxa"/>
            <w:tcBorders>
              <w:top w:val="nil"/>
              <w:left w:val="nil"/>
              <w:bottom w:val="nil"/>
              <w:right w:val="single" w:sz="4" w:space="0" w:color="auto"/>
            </w:tcBorders>
            <w:shd w:val="clear" w:color="auto" w:fill="auto"/>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18.5%</w:t>
            </w:r>
          </w:p>
        </w:tc>
      </w:tr>
      <w:tr w:rsidR="00A71981" w:rsidRPr="00A71981" w:rsidTr="00A71981">
        <w:trPr>
          <w:trHeight w:val="320"/>
        </w:trPr>
        <w:tc>
          <w:tcPr>
            <w:tcW w:w="478" w:type="dxa"/>
            <w:vMerge/>
            <w:tcBorders>
              <w:top w:val="nil"/>
              <w:left w:val="single" w:sz="4" w:space="0" w:color="auto"/>
              <w:bottom w:val="single" w:sz="4" w:space="0" w:color="000000"/>
              <w:right w:val="single" w:sz="4" w:space="0" w:color="auto"/>
            </w:tcBorders>
            <w:vAlign w:val="center"/>
            <w:hideMark/>
          </w:tcPr>
          <w:p w:rsidR="00A71981" w:rsidRPr="00A71981" w:rsidRDefault="00A71981" w:rsidP="00A71981">
            <w:pPr>
              <w:jc w:val="center"/>
              <w:rPr>
                <w:rFonts w:ascii="Calibri" w:eastAsia="Times New Roman" w:hAnsi="Calibri" w:cs="Calibri"/>
                <w:color w:val="000000"/>
              </w:rPr>
            </w:pPr>
          </w:p>
        </w:tc>
        <w:tc>
          <w:tcPr>
            <w:tcW w:w="842" w:type="dxa"/>
            <w:tcBorders>
              <w:top w:val="nil"/>
              <w:left w:val="nil"/>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Jul</w:t>
            </w:r>
          </w:p>
        </w:tc>
        <w:tc>
          <w:tcPr>
            <w:tcW w:w="1150" w:type="dxa"/>
            <w:tcBorders>
              <w:top w:val="nil"/>
              <w:left w:val="single" w:sz="4" w:space="0" w:color="auto"/>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0</w:t>
            </w:r>
          </w:p>
        </w:tc>
        <w:tc>
          <w:tcPr>
            <w:tcW w:w="1149" w:type="dxa"/>
            <w:tcBorders>
              <w:top w:val="nil"/>
              <w:left w:val="nil"/>
              <w:bottom w:val="single" w:sz="4" w:space="0" w:color="auto"/>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31.3%</w:t>
            </w:r>
          </w:p>
        </w:tc>
        <w:tc>
          <w:tcPr>
            <w:tcW w:w="1149" w:type="dxa"/>
            <w:tcBorders>
              <w:top w:val="nil"/>
              <w:left w:val="nil"/>
              <w:bottom w:val="single" w:sz="4" w:space="0" w:color="auto"/>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16.0%</w:t>
            </w:r>
          </w:p>
        </w:tc>
        <w:tc>
          <w:tcPr>
            <w:tcW w:w="1149" w:type="dxa"/>
            <w:tcBorders>
              <w:top w:val="nil"/>
              <w:left w:val="nil"/>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338</w:t>
            </w:r>
          </w:p>
        </w:tc>
        <w:tc>
          <w:tcPr>
            <w:tcW w:w="1149" w:type="dxa"/>
            <w:tcBorders>
              <w:top w:val="nil"/>
              <w:left w:val="nil"/>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23.7%</w:t>
            </w:r>
          </w:p>
        </w:tc>
        <w:tc>
          <w:tcPr>
            <w:tcW w:w="1149" w:type="dxa"/>
            <w:tcBorders>
              <w:top w:val="nil"/>
              <w:left w:val="nil"/>
              <w:bottom w:val="single" w:sz="4" w:space="0" w:color="auto"/>
              <w:right w:val="nil"/>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65.0%</w:t>
            </w:r>
          </w:p>
        </w:tc>
        <w:tc>
          <w:tcPr>
            <w:tcW w:w="1149" w:type="dxa"/>
            <w:tcBorders>
              <w:top w:val="nil"/>
              <w:left w:val="single" w:sz="4" w:space="0" w:color="auto"/>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99</w:t>
            </w:r>
          </w:p>
        </w:tc>
        <w:tc>
          <w:tcPr>
            <w:tcW w:w="1149" w:type="dxa"/>
            <w:tcBorders>
              <w:top w:val="nil"/>
              <w:left w:val="nil"/>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15.2%</w:t>
            </w:r>
          </w:p>
        </w:tc>
        <w:tc>
          <w:tcPr>
            <w:tcW w:w="1149" w:type="dxa"/>
            <w:tcBorders>
              <w:top w:val="nil"/>
              <w:left w:val="nil"/>
              <w:bottom w:val="single" w:sz="4" w:space="0" w:color="auto"/>
              <w:right w:val="single" w:sz="4" w:space="0" w:color="auto"/>
            </w:tcBorders>
            <w:shd w:val="clear" w:color="000000" w:fill="F2F2F2"/>
            <w:noWrap/>
            <w:vAlign w:val="center"/>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19.0%</w:t>
            </w:r>
          </w:p>
        </w:tc>
        <w:tc>
          <w:tcPr>
            <w:tcW w:w="1149" w:type="dxa"/>
            <w:tcBorders>
              <w:top w:val="nil"/>
              <w:left w:val="nil"/>
              <w:bottom w:val="single" w:sz="4" w:space="0" w:color="auto"/>
              <w:right w:val="nil"/>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520</w:t>
            </w:r>
          </w:p>
        </w:tc>
        <w:tc>
          <w:tcPr>
            <w:tcW w:w="1149" w:type="dxa"/>
            <w:tcBorders>
              <w:top w:val="nil"/>
              <w:left w:val="nil"/>
              <w:bottom w:val="single" w:sz="4" w:space="0" w:color="auto"/>
              <w:right w:val="single" w:sz="4" w:space="0" w:color="auto"/>
            </w:tcBorders>
            <w:shd w:val="clear" w:color="000000" w:fill="F2F2F2"/>
            <w:noWrap/>
            <w:vAlign w:val="bottom"/>
            <w:hideMark/>
          </w:tcPr>
          <w:p w:rsidR="00A71981" w:rsidRPr="00A71981" w:rsidRDefault="00A71981" w:rsidP="00A71981">
            <w:pPr>
              <w:jc w:val="center"/>
              <w:rPr>
                <w:rFonts w:ascii="Calibri" w:eastAsia="Times New Roman" w:hAnsi="Calibri" w:cs="Calibri"/>
                <w:i/>
                <w:iCs/>
                <w:color w:val="000000"/>
                <w:sz w:val="22"/>
                <w:szCs w:val="22"/>
              </w:rPr>
            </w:pPr>
            <w:r w:rsidRPr="00A71981">
              <w:rPr>
                <w:rFonts w:ascii="Calibri" w:eastAsia="Times New Roman" w:hAnsi="Calibri" w:cs="Calibri"/>
                <w:i/>
                <w:iCs/>
                <w:color w:val="000000"/>
                <w:sz w:val="22"/>
                <w:szCs w:val="22"/>
              </w:rPr>
              <w:t>23.3%</w:t>
            </w:r>
          </w:p>
        </w:tc>
      </w:tr>
    </w:tbl>
    <w:p w:rsidR="00BE6874" w:rsidRDefault="00A71981"/>
    <w:sectPr w:rsidR="00BE6874" w:rsidSect="00A719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81"/>
    <w:rsid w:val="00012F0D"/>
    <w:rsid w:val="0007631B"/>
    <w:rsid w:val="00090F84"/>
    <w:rsid w:val="000C40AE"/>
    <w:rsid w:val="000D111E"/>
    <w:rsid w:val="000D492D"/>
    <w:rsid w:val="000F0B67"/>
    <w:rsid w:val="001164AF"/>
    <w:rsid w:val="001A59A8"/>
    <w:rsid w:val="001D305A"/>
    <w:rsid w:val="001E1AF9"/>
    <w:rsid w:val="001F2F1E"/>
    <w:rsid w:val="00215AF3"/>
    <w:rsid w:val="00241B74"/>
    <w:rsid w:val="00243A67"/>
    <w:rsid w:val="0027129A"/>
    <w:rsid w:val="0027377C"/>
    <w:rsid w:val="002A3801"/>
    <w:rsid w:val="002B23DC"/>
    <w:rsid w:val="002B609A"/>
    <w:rsid w:val="002D6ACD"/>
    <w:rsid w:val="002F065C"/>
    <w:rsid w:val="00302F3A"/>
    <w:rsid w:val="003035F3"/>
    <w:rsid w:val="00305984"/>
    <w:rsid w:val="00317E92"/>
    <w:rsid w:val="003302B6"/>
    <w:rsid w:val="0035570D"/>
    <w:rsid w:val="0038007D"/>
    <w:rsid w:val="00390EAB"/>
    <w:rsid w:val="003A10DA"/>
    <w:rsid w:val="003A2D34"/>
    <w:rsid w:val="003A5EAD"/>
    <w:rsid w:val="003A74DD"/>
    <w:rsid w:val="003E1ECB"/>
    <w:rsid w:val="00421A48"/>
    <w:rsid w:val="00432C17"/>
    <w:rsid w:val="004427F1"/>
    <w:rsid w:val="0047364D"/>
    <w:rsid w:val="00483EF6"/>
    <w:rsid w:val="00494131"/>
    <w:rsid w:val="004968D8"/>
    <w:rsid w:val="004A2884"/>
    <w:rsid w:val="004B5872"/>
    <w:rsid w:val="004F7FF6"/>
    <w:rsid w:val="00500110"/>
    <w:rsid w:val="00502022"/>
    <w:rsid w:val="0053619B"/>
    <w:rsid w:val="005A37C4"/>
    <w:rsid w:val="005C7F22"/>
    <w:rsid w:val="005D18E0"/>
    <w:rsid w:val="005D3354"/>
    <w:rsid w:val="005D5550"/>
    <w:rsid w:val="005D6D98"/>
    <w:rsid w:val="006676F6"/>
    <w:rsid w:val="006A7512"/>
    <w:rsid w:val="006D122F"/>
    <w:rsid w:val="006D1EE7"/>
    <w:rsid w:val="00705D83"/>
    <w:rsid w:val="007076C4"/>
    <w:rsid w:val="00721C6F"/>
    <w:rsid w:val="00736EBE"/>
    <w:rsid w:val="007B4CA1"/>
    <w:rsid w:val="007D5274"/>
    <w:rsid w:val="007E2007"/>
    <w:rsid w:val="00824EF9"/>
    <w:rsid w:val="00834D0B"/>
    <w:rsid w:val="008422C7"/>
    <w:rsid w:val="00847C95"/>
    <w:rsid w:val="008C724F"/>
    <w:rsid w:val="008F7ACD"/>
    <w:rsid w:val="00903022"/>
    <w:rsid w:val="00905578"/>
    <w:rsid w:val="00907393"/>
    <w:rsid w:val="00937A32"/>
    <w:rsid w:val="00942373"/>
    <w:rsid w:val="009C6C80"/>
    <w:rsid w:val="009C7743"/>
    <w:rsid w:val="009D5841"/>
    <w:rsid w:val="009E6020"/>
    <w:rsid w:val="00A357A8"/>
    <w:rsid w:val="00A71981"/>
    <w:rsid w:val="00A73092"/>
    <w:rsid w:val="00AD4580"/>
    <w:rsid w:val="00AE0D85"/>
    <w:rsid w:val="00AE2AA4"/>
    <w:rsid w:val="00AE3581"/>
    <w:rsid w:val="00B230B6"/>
    <w:rsid w:val="00B5625C"/>
    <w:rsid w:val="00B70E98"/>
    <w:rsid w:val="00B80E41"/>
    <w:rsid w:val="00B829F3"/>
    <w:rsid w:val="00BA7463"/>
    <w:rsid w:val="00BC00B7"/>
    <w:rsid w:val="00BC662F"/>
    <w:rsid w:val="00BF524C"/>
    <w:rsid w:val="00BF6E13"/>
    <w:rsid w:val="00C006F5"/>
    <w:rsid w:val="00C0430A"/>
    <w:rsid w:val="00C31AF5"/>
    <w:rsid w:val="00C36CD4"/>
    <w:rsid w:val="00C60BE1"/>
    <w:rsid w:val="00C766D9"/>
    <w:rsid w:val="00C76EC5"/>
    <w:rsid w:val="00D24E98"/>
    <w:rsid w:val="00D35470"/>
    <w:rsid w:val="00D87D84"/>
    <w:rsid w:val="00DA51C4"/>
    <w:rsid w:val="00DB0D27"/>
    <w:rsid w:val="00DC42B8"/>
    <w:rsid w:val="00DF2CDA"/>
    <w:rsid w:val="00E22B61"/>
    <w:rsid w:val="00E2770B"/>
    <w:rsid w:val="00E5508E"/>
    <w:rsid w:val="00E71FCC"/>
    <w:rsid w:val="00E73B19"/>
    <w:rsid w:val="00E80A9A"/>
    <w:rsid w:val="00E8197D"/>
    <w:rsid w:val="00E83C27"/>
    <w:rsid w:val="00EE1208"/>
    <w:rsid w:val="00F10C38"/>
    <w:rsid w:val="00F16ACA"/>
    <w:rsid w:val="00F3707D"/>
    <w:rsid w:val="00F46482"/>
    <w:rsid w:val="00F55B52"/>
    <w:rsid w:val="00F56F36"/>
    <w:rsid w:val="00F9527D"/>
    <w:rsid w:val="00FA7847"/>
    <w:rsid w:val="00FB71E6"/>
    <w:rsid w:val="00FE37F3"/>
    <w:rsid w:val="00FF3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8D8B7E"/>
  <w15:chartTrackingRefBased/>
  <w15:docId w15:val="{06C7B5E8-532C-1449-B6CA-3239CCD3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D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1826">
      <w:bodyDiv w:val="1"/>
      <w:marLeft w:val="0"/>
      <w:marRight w:val="0"/>
      <w:marTop w:val="0"/>
      <w:marBottom w:val="0"/>
      <w:divBdr>
        <w:top w:val="none" w:sz="0" w:space="0" w:color="auto"/>
        <w:left w:val="none" w:sz="0" w:space="0" w:color="auto"/>
        <w:bottom w:val="none" w:sz="0" w:space="0" w:color="auto"/>
        <w:right w:val="none" w:sz="0" w:space="0" w:color="auto"/>
      </w:divBdr>
    </w:div>
    <w:div w:id="1745571218">
      <w:bodyDiv w:val="1"/>
      <w:marLeft w:val="0"/>
      <w:marRight w:val="0"/>
      <w:marTop w:val="0"/>
      <w:marBottom w:val="0"/>
      <w:divBdr>
        <w:top w:val="none" w:sz="0" w:space="0" w:color="auto"/>
        <w:left w:val="none" w:sz="0" w:space="0" w:color="auto"/>
        <w:bottom w:val="none" w:sz="0" w:space="0" w:color="auto"/>
        <w:right w:val="none" w:sz="0" w:space="0" w:color="auto"/>
      </w:divBdr>
    </w:div>
    <w:div w:id="19936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Patrina Lo</dc:creator>
  <cp:keywords/>
  <dc:description/>
  <cp:lastModifiedBy>Patrina Lo</cp:lastModifiedBy>
  <cp:revision>1</cp:revision>
  <dcterms:created xsi:type="dcterms:W3CDTF">2020-10-22T18:04:00Z</dcterms:created>
  <dcterms:modified xsi:type="dcterms:W3CDTF">2020-10-22T18:08:00Z</dcterms:modified>
</cp:coreProperties>
</file>