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A" w:rsidRPr="0016798E" w:rsidRDefault="00934AEA" w:rsidP="00934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98E">
        <w:rPr>
          <w:rFonts w:ascii="Times New Roman" w:hAnsi="Times New Roman" w:cs="Times New Roman"/>
          <w:sz w:val="24"/>
          <w:szCs w:val="24"/>
        </w:rPr>
        <w:t>Table Captions:</w:t>
      </w:r>
    </w:p>
    <w:p w:rsidR="00934AEA" w:rsidRPr="0016798E" w:rsidRDefault="00934AEA" w:rsidP="00934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98E">
        <w:rPr>
          <w:rFonts w:ascii="Times New Roman" w:hAnsi="Times New Roman" w:cs="Times New Roman"/>
          <w:sz w:val="24"/>
          <w:szCs w:val="24"/>
        </w:rPr>
        <w:t>Table 1: Variant classification and phenotype of patients referred for evaluation of muscle weakness</w:t>
      </w:r>
    </w:p>
    <w:p w:rsidR="00934AEA" w:rsidRPr="0016798E" w:rsidRDefault="00934AEA" w:rsidP="00934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98E">
        <w:rPr>
          <w:rFonts w:ascii="Times New Roman" w:hAnsi="Times New Roman" w:cs="Times New Roman"/>
          <w:sz w:val="24"/>
          <w:szCs w:val="24"/>
        </w:rPr>
        <w:t>Table 2: Variant classification and phenotype of patients referred for evaluation of recurrent episodes of rhabdomyolysis</w:t>
      </w:r>
    </w:p>
    <w:p w:rsidR="00934AEA" w:rsidRPr="0016798E" w:rsidRDefault="00934AEA" w:rsidP="00934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98E">
        <w:rPr>
          <w:rFonts w:ascii="Times New Roman" w:hAnsi="Times New Roman" w:cs="Times New Roman"/>
          <w:sz w:val="24"/>
          <w:szCs w:val="24"/>
        </w:rPr>
        <w:t xml:space="preserve">Table 3: Variant classification and phenotype of patients referred for evaluation of asymptomatic elevation of </w:t>
      </w:r>
      <w:proofErr w:type="spellStart"/>
      <w:r w:rsidRPr="0016798E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16798E">
        <w:rPr>
          <w:rFonts w:ascii="Times New Roman" w:hAnsi="Times New Roman" w:cs="Times New Roman"/>
          <w:sz w:val="24"/>
          <w:szCs w:val="24"/>
        </w:rPr>
        <w:t xml:space="preserve"> kinase</w:t>
      </w:r>
    </w:p>
    <w:p w:rsidR="00A64419" w:rsidRPr="00934AEA" w:rsidRDefault="00934AEA">
      <w:pPr>
        <w:rPr>
          <w:rFonts w:ascii="Times New Roman" w:hAnsi="Times New Roman" w:cs="Times New Roman"/>
          <w:sz w:val="24"/>
        </w:rPr>
      </w:pPr>
      <w:r w:rsidRPr="00934AEA">
        <w:rPr>
          <w:rFonts w:ascii="Times New Roman" w:hAnsi="Times New Roman" w:cs="Times New Roman"/>
          <w:sz w:val="24"/>
        </w:rPr>
        <w:t>Table 4: Full list of genes tested in each panel</w:t>
      </w:r>
      <w:bookmarkStart w:id="0" w:name="_GoBack"/>
      <w:bookmarkEnd w:id="0"/>
    </w:p>
    <w:sectPr w:rsidR="00A64419" w:rsidRPr="0093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A"/>
    <w:rsid w:val="00934AEA"/>
    <w:rsid w:val="00A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A111"/>
  <w15:chartTrackingRefBased/>
  <w15:docId w15:val="{ADFD70D6-0787-4603-9A8B-B5B4034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A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2017-11-08T16:54:00Z</dcterms:created>
  <dcterms:modified xsi:type="dcterms:W3CDTF">2017-11-08T16:57:00Z</dcterms:modified>
</cp:coreProperties>
</file>