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63" w:rsidRPr="00CD22B4" w:rsidRDefault="00893B63" w:rsidP="00893B63">
      <w:pPr>
        <w:tabs>
          <w:tab w:val="left" w:pos="6480"/>
        </w:tabs>
        <w:spacing w:after="120" w:line="240" w:lineRule="auto"/>
        <w:rPr>
          <w:rFonts w:ascii="Times New Roman" w:hAnsi="Times New Roman" w:cs="Times New Roman"/>
          <w:b/>
          <w:sz w:val="24"/>
          <w:szCs w:val="24"/>
        </w:rPr>
      </w:pPr>
      <w:r w:rsidRPr="00CD22B4">
        <w:rPr>
          <w:rFonts w:ascii="Times New Roman" w:hAnsi="Times New Roman" w:cs="Times New Roman"/>
          <w:b/>
          <w:sz w:val="24"/>
          <w:szCs w:val="24"/>
        </w:rPr>
        <w:t>Supplementary information 1.  Inclusion and exclusion criteria.</w:t>
      </w:r>
      <w:r w:rsidRPr="00CD22B4">
        <w:rPr>
          <w:rFonts w:ascii="Times New Roman" w:hAnsi="Times New Roman" w:cs="Times New Roman"/>
          <w:b/>
          <w:sz w:val="24"/>
          <w:szCs w:val="24"/>
        </w:rPr>
        <w:tab/>
      </w:r>
    </w:p>
    <w:p w:rsidR="00893B63" w:rsidRPr="00342892" w:rsidRDefault="00893B63" w:rsidP="00893B63">
      <w:pPr>
        <w:spacing w:after="120" w:line="240" w:lineRule="auto"/>
        <w:rPr>
          <w:rFonts w:ascii="Times New Roman" w:hAnsi="Times New Roman" w:cs="Times New Roman"/>
          <w:sz w:val="24"/>
          <w:szCs w:val="24"/>
        </w:rPr>
      </w:pPr>
    </w:p>
    <w:p w:rsidR="00893B63" w:rsidRDefault="00893B63" w:rsidP="00893B63">
      <w:pPr>
        <w:spacing w:after="120" w:line="240" w:lineRule="auto"/>
        <w:jc w:val="center"/>
        <w:rPr>
          <w:rFonts w:ascii="Times New Roman" w:hAnsi="Times New Roman" w:cs="Times New Roman"/>
          <w:b/>
          <w:smallCaps/>
          <w:sz w:val="24"/>
          <w:szCs w:val="24"/>
        </w:rPr>
      </w:pPr>
      <w:r w:rsidRPr="00CD22B4">
        <w:rPr>
          <w:rFonts w:ascii="Times New Roman" w:hAnsi="Times New Roman" w:cs="Times New Roman"/>
          <w:b/>
          <w:smallCaps/>
          <w:sz w:val="24"/>
          <w:szCs w:val="24"/>
        </w:rPr>
        <w:t>General Inclusion and exclusion criteria</w:t>
      </w:r>
    </w:p>
    <w:p w:rsidR="00893B63" w:rsidRPr="00CD22B4" w:rsidRDefault="00893B63" w:rsidP="00893B63">
      <w:pPr>
        <w:spacing w:after="120" w:line="240" w:lineRule="auto"/>
        <w:jc w:val="center"/>
        <w:rPr>
          <w:rFonts w:ascii="Times New Roman" w:hAnsi="Times New Roman" w:cs="Times New Roman"/>
          <w:b/>
          <w:smallCaps/>
          <w:sz w:val="24"/>
          <w:szCs w:val="24"/>
        </w:rPr>
      </w:pPr>
      <w:r w:rsidRPr="00CD22B4">
        <w:rPr>
          <w:rFonts w:ascii="Times New Roman" w:hAnsi="Times New Roman" w:cs="Times New Roman"/>
          <w:b/>
          <w:smallCaps/>
          <w:sz w:val="24"/>
          <w:szCs w:val="24"/>
        </w:rPr>
        <w:t>(applicable to all diseases being studied)</w:t>
      </w:r>
    </w:p>
    <w:p w:rsidR="00893B63" w:rsidRPr="00342892" w:rsidRDefault="00893B63" w:rsidP="00893B63">
      <w:pPr>
        <w:spacing w:after="120" w:line="240" w:lineRule="auto"/>
        <w:rPr>
          <w:rFonts w:ascii="Times New Roman" w:hAnsi="Times New Roman" w:cs="Times New Roman"/>
          <w:sz w:val="24"/>
          <w:szCs w:val="24"/>
        </w:rPr>
      </w:pP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Inclusion</w:t>
      </w:r>
      <w:r>
        <w:rPr>
          <w:rFonts w:ascii="Times New Roman" w:hAnsi="Times New Roman" w:cs="Times New Roman"/>
          <w:sz w:val="24"/>
          <w:szCs w:val="24"/>
        </w:rPr>
        <w:t>:</w:t>
      </w: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Participants must meet each of the following criteria for enrolment into the study:</w:t>
      </w:r>
    </w:p>
    <w:p w:rsidR="00893B63" w:rsidRPr="00342892" w:rsidRDefault="00893B63" w:rsidP="00893B63">
      <w:pPr>
        <w:pStyle w:val="ListParagraph"/>
        <w:numPr>
          <w:ilvl w:val="0"/>
          <w:numId w:val="3"/>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Written informed consent must be obtained and documented.</w:t>
      </w:r>
    </w:p>
    <w:p w:rsidR="00893B63" w:rsidRPr="00342892" w:rsidRDefault="00893B63" w:rsidP="00893B63">
      <w:pPr>
        <w:pStyle w:val="ListParagraph"/>
        <w:numPr>
          <w:ilvl w:val="0"/>
          <w:numId w:val="3"/>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rate his/her level of proficiency in speaking and understanding English at 7 out of 10 or higher on the two LEAP-Q questions.</w:t>
      </w:r>
    </w:p>
    <w:p w:rsidR="00893B63" w:rsidRPr="00342892" w:rsidRDefault="00893B63" w:rsidP="00893B63">
      <w:pPr>
        <w:pStyle w:val="ListParagraph"/>
        <w:numPr>
          <w:ilvl w:val="0"/>
          <w:numId w:val="3"/>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have ≥ 8 years education.</w:t>
      </w:r>
    </w:p>
    <w:p w:rsidR="00893B63" w:rsidRPr="00342892" w:rsidRDefault="00893B63" w:rsidP="00893B63">
      <w:pPr>
        <w:pStyle w:val="ListParagraph"/>
        <w:numPr>
          <w:ilvl w:val="0"/>
          <w:numId w:val="3"/>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with a minimum </w:t>
      </w:r>
      <w:proofErr w:type="spellStart"/>
      <w:r w:rsidRPr="00342892">
        <w:rPr>
          <w:rFonts w:ascii="Times New Roman" w:hAnsi="Times New Roman" w:cs="Times New Roman"/>
          <w:sz w:val="24"/>
          <w:szCs w:val="24"/>
        </w:rPr>
        <w:t>MoCA</w:t>
      </w:r>
      <w:proofErr w:type="spellEnd"/>
      <w:r w:rsidRPr="00342892">
        <w:rPr>
          <w:rFonts w:ascii="Times New Roman" w:hAnsi="Times New Roman" w:cs="Times New Roman"/>
          <w:sz w:val="24"/>
          <w:szCs w:val="24"/>
        </w:rPr>
        <w:t xml:space="preserve"> score of ≥18 (with the exception of FTD minimum score of ≥ 14)</w:t>
      </w:r>
    </w:p>
    <w:p w:rsidR="00893B63" w:rsidRPr="00342892" w:rsidRDefault="00893B63" w:rsidP="00893B63">
      <w:pPr>
        <w:pStyle w:val="ListParagraph"/>
        <w:numPr>
          <w:ilvl w:val="0"/>
          <w:numId w:val="3"/>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w:t>
      </w:r>
      <w:r>
        <w:rPr>
          <w:rFonts w:ascii="Times New Roman" w:hAnsi="Times New Roman" w:cs="Times New Roman"/>
          <w:sz w:val="24"/>
          <w:szCs w:val="24"/>
        </w:rPr>
        <w:t>rticipant must have a reliable study partner. The study p</w:t>
      </w:r>
      <w:r w:rsidRPr="00342892">
        <w:rPr>
          <w:rFonts w:ascii="Times New Roman" w:hAnsi="Times New Roman" w:cs="Times New Roman"/>
          <w:sz w:val="24"/>
          <w:szCs w:val="24"/>
        </w:rPr>
        <w:t>artner must:</w:t>
      </w:r>
    </w:p>
    <w:p w:rsidR="00893B63" w:rsidRPr="00342892" w:rsidRDefault="00893B63" w:rsidP="00893B63">
      <w:pPr>
        <w:pStyle w:val="ListParagraph"/>
        <w:numPr>
          <w:ilvl w:val="1"/>
          <w:numId w:val="4"/>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Interact regularly with the participant (i.e., have contact with the participant at least once a month over the phone, email, or face-to-face);</w:t>
      </w:r>
    </w:p>
    <w:p w:rsidR="00893B63" w:rsidRPr="00342892" w:rsidRDefault="00893B63" w:rsidP="00893B63">
      <w:pPr>
        <w:pStyle w:val="ListParagraph"/>
        <w:numPr>
          <w:ilvl w:val="1"/>
          <w:numId w:val="4"/>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Know the participant well enough to answer questions about the her/his cognitive abilities, communication skills, mood, and daily functioning (i.e., known the participant for at least 2 years);</w:t>
      </w:r>
    </w:p>
    <w:p w:rsidR="00893B63" w:rsidRPr="00342892" w:rsidRDefault="00893B63" w:rsidP="00893B63">
      <w:pPr>
        <w:pStyle w:val="ListParagraph"/>
        <w:numPr>
          <w:ilvl w:val="1"/>
          <w:numId w:val="4"/>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Provide written informed consent and complete study questionnaires;</w:t>
      </w:r>
    </w:p>
    <w:p w:rsidR="00893B63" w:rsidRPr="00342892" w:rsidRDefault="00893B63" w:rsidP="00893B63">
      <w:pPr>
        <w:pStyle w:val="ListParagraph"/>
        <w:numPr>
          <w:ilvl w:val="1"/>
          <w:numId w:val="4"/>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Be willing and able to assist in compliance with study procedures (if required).</w:t>
      </w:r>
    </w:p>
    <w:p w:rsidR="00893B63" w:rsidRPr="00342892" w:rsidRDefault="00893B63" w:rsidP="00893B63">
      <w:pPr>
        <w:pStyle w:val="ListParagraph"/>
        <w:numPr>
          <w:ilvl w:val="0"/>
          <w:numId w:val="3"/>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Geographic accessibility to the study site.</w:t>
      </w:r>
    </w:p>
    <w:p w:rsidR="00893B63" w:rsidRPr="00342892" w:rsidRDefault="00893B63" w:rsidP="00893B63">
      <w:pPr>
        <w:pStyle w:val="ListParagraph"/>
        <w:numPr>
          <w:ilvl w:val="0"/>
          <w:numId w:val="3"/>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be able to walk (assistive aids may be used, e.g., cane, walker, etc.).</w:t>
      </w:r>
    </w:p>
    <w:p w:rsidR="00893B63" w:rsidRPr="00342892" w:rsidRDefault="00893B63" w:rsidP="00893B63">
      <w:pPr>
        <w:spacing w:after="120" w:line="240" w:lineRule="auto"/>
        <w:rPr>
          <w:rFonts w:ascii="Times New Roman" w:hAnsi="Times New Roman" w:cs="Times New Roman"/>
          <w:sz w:val="24"/>
          <w:szCs w:val="24"/>
        </w:rPr>
      </w:pP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Participants who exhibit any of the following conditions are to be excluded from the study:</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Serious underlying disease other than the disease being studied which in the opinion of the investigator may interfere with the participant’s ability to participate fully in the study.</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Any disease that would/could lead to death over the next 3 to 5 years (i.e., cardiac/renal/liver cancer) with poor prognosis.</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been diagnosed with more than one of the five diseases (AD/MCI, ALS, FTD, PD or VCI) being studied.</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History of alcohol or drug abuse, which in the opinion of the investigator, may interfere with the participant’s ability to comply with the study procedures.</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Presence of any of the following clinical conditions:</w:t>
      </w:r>
    </w:p>
    <w:p w:rsidR="00893B63"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a. </w:t>
      </w:r>
      <w:r w:rsidRPr="00342892">
        <w:rPr>
          <w:rFonts w:ascii="Times New Roman" w:hAnsi="Times New Roman" w:cs="Times New Roman"/>
          <w:sz w:val="24"/>
          <w:szCs w:val="24"/>
        </w:rPr>
        <w:tab/>
        <w:t>Substance abuse within the past year.</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b. </w:t>
      </w:r>
      <w:r w:rsidRPr="00342892">
        <w:rPr>
          <w:rFonts w:ascii="Times New Roman" w:hAnsi="Times New Roman" w:cs="Times New Roman"/>
          <w:sz w:val="24"/>
          <w:szCs w:val="24"/>
        </w:rPr>
        <w:tab/>
        <w:t>Unstable cardiac, pulmonary, renal, hepatic, endocrine, hematologic, or active malignancy or infectious disease.</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c. </w:t>
      </w:r>
      <w:r w:rsidRPr="00342892">
        <w:rPr>
          <w:rFonts w:ascii="Times New Roman" w:hAnsi="Times New Roman" w:cs="Times New Roman"/>
          <w:sz w:val="24"/>
          <w:szCs w:val="24"/>
        </w:rPr>
        <w:tab/>
        <w:t>AIDS or AIDS-related complex.</w:t>
      </w:r>
    </w:p>
    <w:p w:rsidR="00893B63" w:rsidRPr="00342892" w:rsidRDefault="00893B63" w:rsidP="00893B63">
      <w:pPr>
        <w:tabs>
          <w:tab w:val="left" w:pos="1080"/>
        </w:tabs>
        <w:spacing w:after="12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d. </w:t>
      </w:r>
      <w:r w:rsidRPr="00342892">
        <w:rPr>
          <w:rFonts w:ascii="Times New Roman" w:hAnsi="Times New Roman" w:cs="Times New Roman"/>
          <w:sz w:val="24"/>
          <w:szCs w:val="24"/>
        </w:rPr>
        <w:tab/>
        <w:t>Unstable psychiatric illness defined as psychosis (hallucinations or delusions) or untreated major depression within 90 days of the screening visit.</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lastRenderedPageBreak/>
        <w:t>Participant is currently enrolled in a disease modifying therapeutic (drug or interventional) trial or observational study that the Executive Committee feels would compromise study results. General Exclusion 7-12 applicable to London, Toronto and Ottawa only.</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has a known clinical diagnosis of glaucoma defined as taking </w:t>
      </w:r>
      <w:proofErr w:type="spellStart"/>
      <w:r w:rsidRPr="00342892">
        <w:rPr>
          <w:rFonts w:ascii="Times New Roman" w:hAnsi="Times New Roman" w:cs="Times New Roman"/>
          <w:sz w:val="24"/>
          <w:szCs w:val="24"/>
        </w:rPr>
        <w:t>eyedrops</w:t>
      </w:r>
      <w:proofErr w:type="spellEnd"/>
      <w:r w:rsidRPr="00342892">
        <w:rPr>
          <w:rFonts w:ascii="Times New Roman" w:hAnsi="Times New Roman" w:cs="Times New Roman"/>
          <w:sz w:val="24"/>
          <w:szCs w:val="24"/>
        </w:rPr>
        <w:t xml:space="preserve"> for glaucoma, or having had surgery for glaucoma in one or both eyes. Note: laser </w:t>
      </w:r>
      <w:proofErr w:type="spellStart"/>
      <w:r w:rsidRPr="00342892">
        <w:rPr>
          <w:rFonts w:ascii="Times New Roman" w:hAnsi="Times New Roman" w:cs="Times New Roman"/>
          <w:sz w:val="24"/>
          <w:szCs w:val="24"/>
        </w:rPr>
        <w:t>trabeculoplasty</w:t>
      </w:r>
      <w:proofErr w:type="spellEnd"/>
      <w:r w:rsidRPr="00342892">
        <w:rPr>
          <w:rFonts w:ascii="Times New Roman" w:hAnsi="Times New Roman" w:cs="Times New Roman"/>
          <w:sz w:val="24"/>
          <w:szCs w:val="24"/>
        </w:rPr>
        <w:t xml:space="preserve"> is an exclusion; however, </w:t>
      </w:r>
      <w:proofErr w:type="spellStart"/>
      <w:proofErr w:type="gramStart"/>
      <w:r w:rsidRPr="00342892">
        <w:rPr>
          <w:rFonts w:ascii="Times New Roman" w:hAnsi="Times New Roman" w:cs="Times New Roman"/>
          <w:sz w:val="24"/>
          <w:szCs w:val="24"/>
        </w:rPr>
        <w:t>yag</w:t>
      </w:r>
      <w:proofErr w:type="spellEnd"/>
      <w:proofErr w:type="gramEnd"/>
      <w:r w:rsidRPr="00342892">
        <w:rPr>
          <w:rFonts w:ascii="Times New Roman" w:hAnsi="Times New Roman" w:cs="Times New Roman"/>
          <w:sz w:val="24"/>
          <w:szCs w:val="24"/>
        </w:rPr>
        <w:t xml:space="preserve"> laser </w:t>
      </w:r>
      <w:proofErr w:type="spellStart"/>
      <w:r w:rsidRPr="00342892">
        <w:rPr>
          <w:rFonts w:ascii="Times New Roman" w:hAnsi="Times New Roman" w:cs="Times New Roman"/>
          <w:sz w:val="24"/>
          <w:szCs w:val="24"/>
        </w:rPr>
        <w:t>iridotomy</w:t>
      </w:r>
      <w:proofErr w:type="spellEnd"/>
      <w:r w:rsidRPr="00342892">
        <w:rPr>
          <w:rFonts w:ascii="Times New Roman" w:hAnsi="Times New Roman" w:cs="Times New Roman"/>
          <w:sz w:val="24"/>
          <w:szCs w:val="24"/>
        </w:rPr>
        <w:t xml:space="preserve"> is permitted (i.e., not an exclusion).</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any other known serious eye disease (e.g., wet/exudative age-related macular degeneration (ARMD)) or treatment or eye surgery including any history of intra-</w:t>
      </w:r>
      <w:proofErr w:type="spellStart"/>
      <w:r w:rsidRPr="00342892">
        <w:rPr>
          <w:rFonts w:ascii="Times New Roman" w:hAnsi="Times New Roman" w:cs="Times New Roman"/>
          <w:sz w:val="24"/>
          <w:szCs w:val="24"/>
        </w:rPr>
        <w:t>vitreal</w:t>
      </w:r>
      <w:proofErr w:type="spellEnd"/>
      <w:r w:rsidRPr="00342892">
        <w:rPr>
          <w:rFonts w:ascii="Times New Roman" w:hAnsi="Times New Roman" w:cs="Times New Roman"/>
          <w:sz w:val="24"/>
          <w:szCs w:val="24"/>
        </w:rPr>
        <w:t xml:space="preserve"> injections. Depending on the eye disease, the participant may be excluded if the condition is</w:t>
      </w:r>
      <w:r>
        <w:rPr>
          <w:rFonts w:ascii="Times New Roman" w:hAnsi="Times New Roman" w:cs="Times New Roman"/>
          <w:sz w:val="24"/>
          <w:szCs w:val="24"/>
        </w:rPr>
        <w:t xml:space="preserve"> </w:t>
      </w:r>
      <w:r w:rsidRPr="00342892">
        <w:rPr>
          <w:rFonts w:ascii="Times New Roman" w:hAnsi="Times New Roman" w:cs="Times New Roman"/>
          <w:sz w:val="24"/>
          <w:szCs w:val="24"/>
        </w:rPr>
        <w:t>present in one or both eyes. The ocular part B platform lead should be consulted.</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a known diagnosis of multiple sclerosis.</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a known history of optic neuritis or other optic neuropathy in one or both eyes.</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has poorly controlled diabetes, defined by </w:t>
      </w:r>
      <w:proofErr w:type="gramStart"/>
      <w:r w:rsidRPr="00342892">
        <w:rPr>
          <w:rFonts w:ascii="Times New Roman" w:hAnsi="Times New Roman" w:cs="Times New Roman"/>
          <w:sz w:val="24"/>
          <w:szCs w:val="24"/>
        </w:rPr>
        <w:t>an</w:t>
      </w:r>
      <w:proofErr w:type="gramEnd"/>
      <w:r w:rsidRPr="00342892">
        <w:rPr>
          <w:rFonts w:ascii="Times New Roman" w:hAnsi="Times New Roman" w:cs="Times New Roman"/>
          <w:sz w:val="24"/>
          <w:szCs w:val="24"/>
        </w:rPr>
        <w:t xml:space="preserve"> hemoglobin A1c of 7.5% or higher obtained from the screening bloodwork.</w:t>
      </w:r>
    </w:p>
    <w:p w:rsidR="00893B63" w:rsidRPr="00342892" w:rsidRDefault="00893B63" w:rsidP="00893B63">
      <w:pPr>
        <w:pStyle w:val="ListParagraph"/>
        <w:numPr>
          <w:ilvl w:val="0"/>
          <w:numId w:val="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who has had known retinal laser therapy (either pan-retinal, or grid/focal) for diabetic retinopathy in one or both eyes.</w:t>
      </w:r>
    </w:p>
    <w:p w:rsidR="00893B63" w:rsidRPr="00342892" w:rsidRDefault="00893B63" w:rsidP="00893B63">
      <w:pPr>
        <w:tabs>
          <w:tab w:val="left" w:pos="4143"/>
        </w:tabs>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ab/>
      </w:r>
    </w:p>
    <w:p w:rsidR="00893B63" w:rsidRPr="00CD22B4" w:rsidRDefault="00893B63" w:rsidP="00893B63">
      <w:pPr>
        <w:spacing w:after="120" w:line="240" w:lineRule="auto"/>
        <w:jc w:val="center"/>
        <w:rPr>
          <w:rFonts w:ascii="Times New Roman" w:hAnsi="Times New Roman" w:cs="Times New Roman"/>
          <w:b/>
          <w:bCs/>
          <w:sz w:val="24"/>
          <w:szCs w:val="24"/>
        </w:rPr>
      </w:pPr>
      <w:r w:rsidRPr="00CD22B4">
        <w:rPr>
          <w:rFonts w:ascii="Times New Roman" w:hAnsi="Times New Roman" w:cs="Times New Roman"/>
          <w:b/>
          <w:bCs/>
          <w:sz w:val="24"/>
          <w:szCs w:val="24"/>
        </w:rPr>
        <w:t>DISEASE SPECIFIC INCLUSION AND EXCLUSION CRITERIA</w:t>
      </w:r>
    </w:p>
    <w:p w:rsidR="00893B63" w:rsidRPr="00342892" w:rsidRDefault="00893B63" w:rsidP="00893B63">
      <w:pPr>
        <w:tabs>
          <w:tab w:val="left" w:pos="1019"/>
        </w:tabs>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ab/>
      </w:r>
    </w:p>
    <w:p w:rsidR="00893B63" w:rsidRPr="00CD22B4" w:rsidRDefault="00893B63" w:rsidP="00893B63">
      <w:pPr>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VCI INCLUSION AND EXCLUSION CRITERIA</w:t>
      </w: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2"/>
          <w:numId w:val="6"/>
        </w:numPr>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t>55-85 years of age.</w:t>
      </w:r>
    </w:p>
    <w:p w:rsidR="00893B63" w:rsidRPr="00342892" w:rsidRDefault="00893B63" w:rsidP="00893B63">
      <w:pPr>
        <w:pStyle w:val="ListParagraph"/>
        <w:numPr>
          <w:ilvl w:val="2"/>
          <w:numId w:val="6"/>
        </w:numPr>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t>Participants with ischemic stroke event documented on MRI or CT and meet the following:</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a. </w:t>
      </w:r>
      <w:r w:rsidRPr="00342892">
        <w:rPr>
          <w:rFonts w:ascii="Times New Roman" w:hAnsi="Times New Roman" w:cs="Times New Roman"/>
          <w:sz w:val="24"/>
          <w:szCs w:val="24"/>
        </w:rPr>
        <w:tab/>
        <w:t>≥ 3 months since stroke.</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b. </w:t>
      </w:r>
      <w:r w:rsidRPr="00342892">
        <w:rPr>
          <w:rFonts w:ascii="Times New Roman" w:hAnsi="Times New Roman" w:cs="Times New Roman"/>
          <w:sz w:val="24"/>
          <w:szCs w:val="24"/>
        </w:rPr>
        <w:tab/>
        <w:t>Mild-moderate stroke (modified Rankin Scale (</w:t>
      </w:r>
      <w:proofErr w:type="spellStart"/>
      <w:r w:rsidRPr="00342892">
        <w:rPr>
          <w:rFonts w:ascii="Times New Roman" w:hAnsi="Times New Roman" w:cs="Times New Roman"/>
          <w:sz w:val="24"/>
          <w:szCs w:val="24"/>
        </w:rPr>
        <w:t>mRS</w:t>
      </w:r>
      <w:proofErr w:type="spellEnd"/>
      <w:r w:rsidRPr="00342892">
        <w:rPr>
          <w:rFonts w:ascii="Times New Roman" w:hAnsi="Times New Roman" w:cs="Times New Roman"/>
          <w:sz w:val="24"/>
          <w:szCs w:val="24"/>
        </w:rPr>
        <w:t>) must be 0-3).</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proofErr w:type="gramStart"/>
      <w:r w:rsidRPr="00342892">
        <w:rPr>
          <w:rFonts w:ascii="Times New Roman" w:hAnsi="Times New Roman" w:cs="Times New Roman"/>
          <w:sz w:val="24"/>
          <w:szCs w:val="24"/>
        </w:rPr>
        <w:t>c</w:t>
      </w:r>
      <w:proofErr w:type="gramEnd"/>
      <w:r w:rsidRPr="00342892">
        <w:rPr>
          <w:rFonts w:ascii="Times New Roman" w:hAnsi="Times New Roman" w:cs="Times New Roman"/>
          <w:sz w:val="24"/>
          <w:szCs w:val="24"/>
        </w:rPr>
        <w:t xml:space="preserve">. </w:t>
      </w:r>
      <w:r w:rsidRPr="00342892">
        <w:rPr>
          <w:rFonts w:ascii="Times New Roman" w:hAnsi="Times New Roman" w:cs="Times New Roman"/>
          <w:sz w:val="24"/>
          <w:szCs w:val="24"/>
        </w:rPr>
        <w:tab/>
        <w:t xml:space="preserve">Without history of baseline dementia before stroke (pre-stroke </w:t>
      </w:r>
      <w:proofErr w:type="spellStart"/>
      <w:r w:rsidRPr="00342892">
        <w:rPr>
          <w:rFonts w:ascii="Times New Roman" w:hAnsi="Times New Roman" w:cs="Times New Roman"/>
          <w:sz w:val="24"/>
          <w:szCs w:val="24"/>
        </w:rPr>
        <w:t>mRS</w:t>
      </w:r>
      <w:proofErr w:type="spellEnd"/>
      <w:r w:rsidRPr="00342892">
        <w:rPr>
          <w:rFonts w:ascii="Times New Roman" w:hAnsi="Times New Roman" w:cs="Times New Roman"/>
          <w:sz w:val="24"/>
          <w:szCs w:val="24"/>
        </w:rPr>
        <w:t xml:space="preserve"> ≤ 2).</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d. </w:t>
      </w:r>
      <w:r w:rsidRPr="00342892">
        <w:rPr>
          <w:rFonts w:ascii="Times New Roman" w:hAnsi="Times New Roman" w:cs="Times New Roman"/>
          <w:sz w:val="24"/>
          <w:szCs w:val="24"/>
        </w:rPr>
        <w:tab/>
        <w:t>Previous silent stroke (seen on CT or MRI but without clinical history of focal neurological deficits) allowed.</w:t>
      </w:r>
    </w:p>
    <w:p w:rsidR="00893B63" w:rsidRDefault="00893B63" w:rsidP="00893B63">
      <w:pPr>
        <w:spacing w:after="120" w:line="240" w:lineRule="auto"/>
        <w:rPr>
          <w:rFonts w:ascii="Times New Roman" w:hAnsi="Times New Roman" w:cs="Times New Roman"/>
          <w:bCs/>
          <w:sz w:val="24"/>
          <w:szCs w:val="24"/>
        </w:rPr>
      </w:pP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2"/>
          <w:numId w:val="7"/>
        </w:numPr>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t>Participant with no vascular cause of symptoms (e.g. migraine, isolated vertigo etc.).</w:t>
      </w:r>
    </w:p>
    <w:p w:rsidR="00893B63" w:rsidRPr="00342892" w:rsidRDefault="00893B63" w:rsidP="00893B63">
      <w:pPr>
        <w:pStyle w:val="ListParagraph"/>
        <w:numPr>
          <w:ilvl w:val="2"/>
          <w:numId w:val="7"/>
        </w:numPr>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t>Participant with large cortical strokes (&gt;1/3 middle Cerebral Artery (MCA)).</w:t>
      </w:r>
    </w:p>
    <w:p w:rsidR="00893B63" w:rsidRPr="00342892" w:rsidRDefault="00893B63" w:rsidP="00893B63">
      <w:pPr>
        <w:pStyle w:val="ListParagraph"/>
        <w:numPr>
          <w:ilvl w:val="2"/>
          <w:numId w:val="7"/>
        </w:numPr>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t>Participant with severe cognitive impairment, aphasia, inability to write and/or severe functional disability limiting ability to perform assessments.</w:t>
      </w:r>
    </w:p>
    <w:p w:rsidR="00893B63" w:rsidRPr="00342892" w:rsidRDefault="00893B63" w:rsidP="00893B63">
      <w:pPr>
        <w:spacing w:after="120" w:line="240" w:lineRule="auto"/>
        <w:rPr>
          <w:rFonts w:ascii="Times New Roman" w:hAnsi="Times New Roman" w:cs="Times New Roman"/>
          <w:sz w:val="24"/>
          <w:szCs w:val="24"/>
        </w:rPr>
      </w:pPr>
    </w:p>
    <w:p w:rsidR="00893B63" w:rsidRPr="00CD22B4" w:rsidRDefault="00893B63" w:rsidP="00893B63">
      <w:pPr>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AD/MCI INCLUSION AND EXCLUSION CRITERIA</w:t>
      </w: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2"/>
          <w:numId w:val="8"/>
        </w:numPr>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t>45-90 years of age.</w:t>
      </w:r>
    </w:p>
    <w:p w:rsidR="00893B63" w:rsidRPr="00342892" w:rsidRDefault="00893B63" w:rsidP="00893B63">
      <w:pPr>
        <w:pStyle w:val="ListParagraph"/>
        <w:numPr>
          <w:ilvl w:val="2"/>
          <w:numId w:val="8"/>
        </w:numPr>
        <w:autoSpaceDE w:val="0"/>
        <w:autoSpaceDN w:val="0"/>
        <w:adjustRightInd w:val="0"/>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lastRenderedPageBreak/>
        <w:t>Participant meets the National Institute on Aging-Alzheimer’s Association (NIA-AA) core clinical criteria for probable AD dementia or amnestic single or multiple domain Mild Cognitive Impairment.</w:t>
      </w:r>
    </w:p>
    <w:p w:rsidR="00893B63" w:rsidRPr="00342892" w:rsidRDefault="00893B63" w:rsidP="00893B63">
      <w:pPr>
        <w:pStyle w:val="ListParagraph"/>
        <w:numPr>
          <w:ilvl w:val="2"/>
          <w:numId w:val="8"/>
        </w:numPr>
        <w:autoSpaceDE w:val="0"/>
        <w:autoSpaceDN w:val="0"/>
        <w:adjustRightInd w:val="0"/>
        <w:spacing w:after="120" w:line="240" w:lineRule="auto"/>
        <w:ind w:left="360" w:hanging="360"/>
        <w:rPr>
          <w:rFonts w:ascii="Times New Roman" w:hAnsi="Times New Roman" w:cs="Times New Roman"/>
          <w:sz w:val="24"/>
          <w:szCs w:val="24"/>
        </w:rPr>
      </w:pPr>
      <w:r w:rsidRPr="00342892">
        <w:rPr>
          <w:rFonts w:ascii="Times New Roman" w:hAnsi="Times New Roman" w:cs="Times New Roman"/>
          <w:sz w:val="24"/>
          <w:szCs w:val="24"/>
        </w:rPr>
        <w:t>Non-AD causes of dementia ruled out by standardized work up for dementia including brain imaging and blood work screen.</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2"/>
          <w:numId w:val="4"/>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with untreated major depression within 90 days of the screening visit, substance abuse, or other significant psychiatric disorder.</w:t>
      </w:r>
    </w:p>
    <w:p w:rsidR="00893B63" w:rsidRPr="00342892" w:rsidRDefault="00893B63" w:rsidP="00893B63">
      <w:pPr>
        <w:pStyle w:val="ListParagraph"/>
        <w:numPr>
          <w:ilvl w:val="2"/>
          <w:numId w:val="4"/>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with a </w:t>
      </w:r>
      <w:proofErr w:type="spellStart"/>
      <w:r w:rsidRPr="00342892">
        <w:rPr>
          <w:rFonts w:ascii="Times New Roman" w:hAnsi="Times New Roman" w:cs="Times New Roman"/>
          <w:sz w:val="24"/>
          <w:szCs w:val="24"/>
        </w:rPr>
        <w:t>nonamnestic</w:t>
      </w:r>
      <w:proofErr w:type="spellEnd"/>
      <w:r w:rsidRPr="00342892">
        <w:rPr>
          <w:rFonts w:ascii="Times New Roman" w:hAnsi="Times New Roman" w:cs="Times New Roman"/>
          <w:sz w:val="24"/>
          <w:szCs w:val="24"/>
        </w:rPr>
        <w:t xml:space="preserve"> presentation (e.g., language, visuospatial, or executive function) of AD or MCI.</w:t>
      </w:r>
    </w:p>
    <w:p w:rsidR="00893B63" w:rsidRPr="00342892" w:rsidRDefault="00893B63" w:rsidP="00893B63">
      <w:pPr>
        <w:autoSpaceDE w:val="0"/>
        <w:autoSpaceDN w:val="0"/>
        <w:adjustRightInd w:val="0"/>
        <w:spacing w:after="120" w:line="240" w:lineRule="auto"/>
        <w:rPr>
          <w:rFonts w:ascii="Times New Roman" w:hAnsi="Times New Roman" w:cs="Times New Roman"/>
          <w:sz w:val="24"/>
          <w:szCs w:val="24"/>
        </w:rPr>
      </w:pPr>
    </w:p>
    <w:p w:rsidR="00893B63" w:rsidRPr="00CD22B4" w:rsidRDefault="00893B63" w:rsidP="00893B63">
      <w:pPr>
        <w:autoSpaceDE w:val="0"/>
        <w:autoSpaceDN w:val="0"/>
        <w:adjustRightInd w:val="0"/>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PD INCLUSION AND EXCLUSION CRITERIA</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0"/>
          <w:numId w:val="9"/>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55-85 years of age.</w:t>
      </w:r>
    </w:p>
    <w:p w:rsidR="00893B63" w:rsidRPr="00342892" w:rsidRDefault="00893B63" w:rsidP="00893B63">
      <w:pPr>
        <w:pStyle w:val="ListParagraph"/>
        <w:numPr>
          <w:ilvl w:val="0"/>
          <w:numId w:val="9"/>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been diagnosed with Idiopathic Parkinson’s disease based on United Kingdom Parkinson’s Disease Society Brain Bank (UKBB) criteria with the exclusion of the criteria that excludes more than one affected relative), including acceptable and sustained response to dopaminergic drug.</w:t>
      </w:r>
    </w:p>
    <w:p w:rsidR="00893B63" w:rsidRPr="00342892" w:rsidRDefault="00893B63" w:rsidP="00893B63">
      <w:pPr>
        <w:pStyle w:val="ListParagraph"/>
        <w:numPr>
          <w:ilvl w:val="0"/>
          <w:numId w:val="9"/>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Time since diagnosis of PD is 3-8 years.</w:t>
      </w:r>
    </w:p>
    <w:p w:rsidR="00893B63" w:rsidRPr="00342892" w:rsidRDefault="00893B63" w:rsidP="00893B63">
      <w:pPr>
        <w:pStyle w:val="ListParagraph"/>
        <w:numPr>
          <w:ilvl w:val="0"/>
          <w:numId w:val="9"/>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will have a Hoehn &amp; </w:t>
      </w:r>
      <w:proofErr w:type="spellStart"/>
      <w:r w:rsidRPr="00342892">
        <w:rPr>
          <w:rFonts w:ascii="Times New Roman" w:hAnsi="Times New Roman" w:cs="Times New Roman"/>
          <w:sz w:val="24"/>
          <w:szCs w:val="24"/>
        </w:rPr>
        <w:t>Yahr</w:t>
      </w:r>
      <w:proofErr w:type="spellEnd"/>
      <w:r w:rsidRPr="00342892">
        <w:rPr>
          <w:rFonts w:ascii="Times New Roman" w:hAnsi="Times New Roman" w:cs="Times New Roman"/>
          <w:sz w:val="24"/>
          <w:szCs w:val="24"/>
        </w:rPr>
        <w:t xml:space="preserve"> (H&amp;Y) stage of 2&amp;3.</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autoSpaceDE w:val="0"/>
        <w:autoSpaceDN w:val="0"/>
        <w:adjustRightInd w:val="0"/>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N/A</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p>
    <w:p w:rsidR="00893B63" w:rsidRPr="00CD22B4" w:rsidRDefault="00893B63" w:rsidP="00893B63">
      <w:pPr>
        <w:autoSpaceDE w:val="0"/>
        <w:autoSpaceDN w:val="0"/>
        <w:adjustRightInd w:val="0"/>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FTD INCLUSION AND EXCLUSION CRITERIA</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0"/>
          <w:numId w:val="10"/>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40-85 years of age.</w:t>
      </w:r>
    </w:p>
    <w:p w:rsidR="00893B63" w:rsidRPr="00342892" w:rsidRDefault="00893B63" w:rsidP="00893B63">
      <w:pPr>
        <w:pStyle w:val="ListParagraph"/>
        <w:numPr>
          <w:ilvl w:val="0"/>
          <w:numId w:val="10"/>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meets the FTD subtype criteria for Primary Progressive Aphasia (PPA) or possible or probable behavioural variant of Frontotemporal Degeneration (</w:t>
      </w:r>
      <w:proofErr w:type="spellStart"/>
      <w:r w:rsidRPr="00342892">
        <w:rPr>
          <w:rFonts w:ascii="Times New Roman" w:hAnsi="Times New Roman" w:cs="Times New Roman"/>
          <w:sz w:val="24"/>
          <w:szCs w:val="24"/>
        </w:rPr>
        <w:t>bvFTD</w:t>
      </w:r>
      <w:proofErr w:type="spellEnd"/>
      <w:r w:rsidRPr="00342892">
        <w:rPr>
          <w:rFonts w:ascii="Times New Roman" w:hAnsi="Times New Roman" w:cs="Times New Roman"/>
          <w:sz w:val="24"/>
          <w:szCs w:val="24"/>
        </w:rPr>
        <w:t xml:space="preserve">) or </w:t>
      </w:r>
      <w:proofErr w:type="spellStart"/>
      <w:r w:rsidRPr="00342892">
        <w:rPr>
          <w:rFonts w:ascii="Times New Roman" w:hAnsi="Times New Roman" w:cs="Times New Roman"/>
          <w:sz w:val="24"/>
          <w:szCs w:val="24"/>
        </w:rPr>
        <w:t>corticobasal</w:t>
      </w:r>
      <w:proofErr w:type="spellEnd"/>
      <w:r w:rsidRPr="00342892">
        <w:rPr>
          <w:rFonts w:ascii="Times New Roman" w:hAnsi="Times New Roman" w:cs="Times New Roman"/>
          <w:sz w:val="24"/>
          <w:szCs w:val="24"/>
        </w:rPr>
        <w:t xml:space="preserve"> syndrome, or Progressive </w:t>
      </w:r>
      <w:proofErr w:type="spellStart"/>
      <w:r w:rsidRPr="00342892">
        <w:rPr>
          <w:rFonts w:ascii="Times New Roman" w:hAnsi="Times New Roman" w:cs="Times New Roman"/>
          <w:sz w:val="24"/>
          <w:szCs w:val="24"/>
        </w:rPr>
        <w:t>Supranuclear</w:t>
      </w:r>
      <w:proofErr w:type="spellEnd"/>
      <w:r w:rsidRPr="00342892">
        <w:rPr>
          <w:rFonts w:ascii="Times New Roman" w:hAnsi="Times New Roman" w:cs="Times New Roman"/>
          <w:sz w:val="24"/>
          <w:szCs w:val="24"/>
        </w:rPr>
        <w:t xml:space="preserve"> Palsy (PSP).</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with probable AD (and only possible FTD) or history of multiple head traumas, lifelong schizophrenia, or chronic depression</w:t>
      </w:r>
    </w:p>
    <w:p w:rsidR="00893B63" w:rsidRPr="00342892" w:rsidRDefault="00893B63" w:rsidP="00893B63">
      <w:pPr>
        <w:tabs>
          <w:tab w:val="left" w:pos="2011"/>
        </w:tabs>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ab/>
      </w:r>
    </w:p>
    <w:p w:rsidR="00893B63" w:rsidRPr="00CD22B4" w:rsidRDefault="00893B63" w:rsidP="00893B63">
      <w:pPr>
        <w:autoSpaceDE w:val="0"/>
        <w:autoSpaceDN w:val="0"/>
        <w:adjustRightInd w:val="0"/>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ALS INCLUSION AND EXCLUSION CRITERIA</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0"/>
          <w:numId w:val="11"/>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40-85 years of age.</w:t>
      </w:r>
    </w:p>
    <w:p w:rsidR="00893B63" w:rsidRPr="00342892" w:rsidRDefault="00893B63" w:rsidP="00893B63">
      <w:pPr>
        <w:pStyle w:val="ListParagraph"/>
        <w:numPr>
          <w:ilvl w:val="0"/>
          <w:numId w:val="11"/>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lastRenderedPageBreak/>
        <w:t>Participant has been diagnosed with possible, probable or definite Familial or Sporadic ALS based on El Escorial Criteria.</w:t>
      </w:r>
    </w:p>
    <w:p w:rsidR="00893B63" w:rsidRPr="00342892" w:rsidRDefault="00893B63" w:rsidP="00893B63">
      <w:pPr>
        <w:pStyle w:val="ListParagraph"/>
        <w:numPr>
          <w:ilvl w:val="0"/>
          <w:numId w:val="11"/>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a Forced Vital Capacity (FVC) ≥ 60% predicted.</w:t>
      </w:r>
    </w:p>
    <w:p w:rsidR="00893B63" w:rsidRPr="00342892" w:rsidRDefault="00893B63" w:rsidP="00893B63">
      <w:pPr>
        <w:pStyle w:val="ListParagraph"/>
        <w:numPr>
          <w:ilvl w:val="0"/>
          <w:numId w:val="11"/>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The principal use of Non-Invasive Positive Pressure Ventilation (NIPPV) is nocturnally and the participant is able to tolerate an MRI.</w:t>
      </w:r>
    </w:p>
    <w:p w:rsidR="00893B63" w:rsidRPr="00342892" w:rsidRDefault="00893B63" w:rsidP="00893B63">
      <w:pPr>
        <w:pStyle w:val="ListParagraph"/>
        <w:numPr>
          <w:ilvl w:val="0"/>
          <w:numId w:val="11"/>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Participant’s time from symptom onset ≤ 4 years.</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0"/>
          <w:numId w:val="12"/>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uses permanent assisted ventilation (PAV).</w:t>
      </w:r>
    </w:p>
    <w:p w:rsidR="00893B63" w:rsidRPr="00342892" w:rsidRDefault="00893B63" w:rsidP="00893B63">
      <w:pPr>
        <w:pStyle w:val="ListParagraph"/>
        <w:numPr>
          <w:ilvl w:val="0"/>
          <w:numId w:val="12"/>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uses NIPPV greater than nocturnal requirements.</w:t>
      </w:r>
    </w:p>
    <w:p w:rsidR="00893B63" w:rsidRPr="00342892" w:rsidRDefault="00893B63" w:rsidP="00893B63">
      <w:pPr>
        <w:tabs>
          <w:tab w:val="left" w:pos="5746"/>
        </w:tabs>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
    <w:p w:rsidR="00893B63" w:rsidRPr="00CD22B4" w:rsidRDefault="00893B63" w:rsidP="00893B63">
      <w:pPr>
        <w:autoSpaceDE w:val="0"/>
        <w:autoSpaceDN w:val="0"/>
        <w:adjustRightInd w:val="0"/>
        <w:spacing w:after="120" w:line="240" w:lineRule="auto"/>
        <w:jc w:val="center"/>
        <w:rPr>
          <w:rFonts w:ascii="Times New Roman" w:hAnsi="Times New Roman" w:cs="Times New Roman"/>
          <w:b/>
          <w:bCs/>
          <w:sz w:val="24"/>
          <w:szCs w:val="24"/>
        </w:rPr>
      </w:pPr>
      <w:r w:rsidRPr="00CD22B4">
        <w:rPr>
          <w:rFonts w:ascii="Times New Roman" w:hAnsi="Times New Roman" w:cs="Times New Roman"/>
          <w:b/>
          <w:bCs/>
          <w:sz w:val="24"/>
          <w:szCs w:val="24"/>
        </w:rPr>
        <w:t>PLATFORM SPECIFIC INCLUSION AND EXCLUSION CRITERIA</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p>
    <w:p w:rsidR="00893B63" w:rsidRPr="00CD22B4" w:rsidRDefault="00893B63" w:rsidP="00893B63">
      <w:pPr>
        <w:autoSpaceDE w:val="0"/>
        <w:autoSpaceDN w:val="0"/>
        <w:adjustRightInd w:val="0"/>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NEUROIMAGING</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0"/>
          <w:numId w:val="13"/>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All participants eligible for inclusion based on clinical assessments.</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0"/>
          <w:numId w:val="14"/>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Any participant with contra-indication to an MRI procedure as listed in the site specific Magnetic Resonance Environment Screening Questionnaire (e.g., metal implant).</w:t>
      </w:r>
    </w:p>
    <w:p w:rsidR="00893B63" w:rsidRPr="00342892" w:rsidRDefault="00893B63" w:rsidP="00893B63">
      <w:pPr>
        <w:pStyle w:val="ListParagraph"/>
        <w:numPr>
          <w:ilvl w:val="0"/>
          <w:numId w:val="14"/>
        </w:numPr>
        <w:autoSpaceDE w:val="0"/>
        <w:autoSpaceDN w:val="0"/>
        <w:adjustRightInd w:val="0"/>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Any participant who may be unable to tolerate the MRI environment.</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p>
    <w:p w:rsidR="00893B63" w:rsidRPr="00CD22B4" w:rsidRDefault="00893B63" w:rsidP="00893B63">
      <w:pPr>
        <w:autoSpaceDE w:val="0"/>
        <w:autoSpaceDN w:val="0"/>
        <w:adjustRightInd w:val="0"/>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NEUROPSYCHOLOGY</w:t>
      </w:r>
    </w:p>
    <w:p w:rsidR="00893B63" w:rsidRPr="00342892" w:rsidRDefault="00893B63" w:rsidP="00893B63">
      <w:pPr>
        <w:autoSpaceDE w:val="0"/>
        <w:autoSpaceDN w:val="0"/>
        <w:adjustRightInd w:val="0"/>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0"/>
          <w:numId w:val="1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sufficient vision and hearing to complete testing based on screening measures.</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a. </w:t>
      </w:r>
      <w:r w:rsidRPr="00342892">
        <w:rPr>
          <w:rFonts w:ascii="Times New Roman" w:hAnsi="Times New Roman" w:cs="Times New Roman"/>
          <w:sz w:val="24"/>
          <w:szCs w:val="24"/>
        </w:rPr>
        <w:tab/>
        <w:t>Vision – must have 20/70 visual acuity or better in at least one eye.</w:t>
      </w:r>
    </w:p>
    <w:p w:rsidR="00893B63" w:rsidRPr="00342892" w:rsidRDefault="00893B63" w:rsidP="00893B63">
      <w:pPr>
        <w:tabs>
          <w:tab w:val="left" w:pos="1080"/>
        </w:tabs>
        <w:spacing w:after="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b. </w:t>
      </w:r>
      <w:r w:rsidRPr="00342892">
        <w:rPr>
          <w:rFonts w:ascii="Times New Roman" w:hAnsi="Times New Roman" w:cs="Times New Roman"/>
          <w:sz w:val="24"/>
          <w:szCs w:val="24"/>
        </w:rPr>
        <w:tab/>
        <w:t>Hearing – must be able to detect a 25 dB HL signal bilaterally at 1000, 2000, and 4000 Hz. A personal amplification device will be provided to accommodate those with hearing impairments.</w:t>
      </w:r>
    </w:p>
    <w:p w:rsidR="00893B63" w:rsidRPr="00342892" w:rsidRDefault="00893B63" w:rsidP="00893B63">
      <w:pPr>
        <w:pStyle w:val="ListParagraph"/>
        <w:numPr>
          <w:ilvl w:val="0"/>
          <w:numId w:val="15"/>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complete at least 75% of the test battery, which must include the hearing and vision screening measures.</w:t>
      </w:r>
    </w:p>
    <w:p w:rsidR="00893B63" w:rsidRPr="00342892" w:rsidRDefault="00893B63" w:rsidP="00893B63">
      <w:pPr>
        <w:tabs>
          <w:tab w:val="left" w:pos="1080"/>
        </w:tabs>
        <w:spacing w:after="12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a. </w:t>
      </w:r>
      <w:r w:rsidRPr="00342892">
        <w:rPr>
          <w:rFonts w:ascii="Times New Roman" w:hAnsi="Times New Roman" w:cs="Times New Roman"/>
          <w:sz w:val="24"/>
          <w:szCs w:val="24"/>
        </w:rPr>
        <w:tab/>
        <w:t>An individual test will be considered “complete” when the Participant has been administered the task instructions and the participant has adequately attempted the measure. With this criteria, if a participant fails the practice item(s) and/or the task is discontinued for cognitive reasons, the test will still be considered “complete”.</w:t>
      </w:r>
    </w:p>
    <w:p w:rsidR="00893B63" w:rsidRPr="00342892" w:rsidRDefault="00893B63" w:rsidP="00893B63">
      <w:pPr>
        <w:tabs>
          <w:tab w:val="left" w:pos="1080"/>
        </w:tabs>
        <w:spacing w:after="120" w:line="240" w:lineRule="auto"/>
        <w:ind w:left="1080" w:hanging="360"/>
        <w:rPr>
          <w:rFonts w:ascii="Times New Roman" w:hAnsi="Times New Roman" w:cs="Times New Roman"/>
          <w:sz w:val="24"/>
          <w:szCs w:val="24"/>
        </w:rPr>
      </w:pPr>
      <w:r w:rsidRPr="00342892">
        <w:rPr>
          <w:rFonts w:ascii="Times New Roman" w:hAnsi="Times New Roman" w:cs="Times New Roman"/>
          <w:sz w:val="24"/>
          <w:szCs w:val="24"/>
        </w:rPr>
        <w:t xml:space="preserve">b. </w:t>
      </w:r>
      <w:r w:rsidRPr="00342892">
        <w:rPr>
          <w:rFonts w:ascii="Times New Roman" w:hAnsi="Times New Roman" w:cs="Times New Roman"/>
          <w:sz w:val="24"/>
          <w:szCs w:val="24"/>
        </w:rPr>
        <w:tab/>
        <w:t xml:space="preserve">Participants who are non-verbal or have severe dysarthria at screening would only be able to complete approximately 55% of the neuropsychological testing. As such, </w:t>
      </w:r>
      <w:r w:rsidRPr="00342892">
        <w:rPr>
          <w:rFonts w:ascii="Times New Roman" w:hAnsi="Times New Roman" w:cs="Times New Roman"/>
          <w:sz w:val="24"/>
          <w:szCs w:val="24"/>
        </w:rPr>
        <w:lastRenderedPageBreak/>
        <w:t>potential participants who are known to be non-verbal and/or have severe dysarthria at screening will not be eligible for the study.</w:t>
      </w:r>
    </w:p>
    <w:p w:rsidR="00893B63" w:rsidRPr="00342892" w:rsidRDefault="00893B63" w:rsidP="00893B63">
      <w:pPr>
        <w:spacing w:after="120" w:line="240" w:lineRule="auto"/>
        <w:rPr>
          <w:rFonts w:ascii="Times New Roman" w:hAnsi="Times New Roman" w:cs="Times New Roman"/>
          <w:bCs/>
          <w:sz w:val="24"/>
          <w:szCs w:val="24"/>
        </w:rPr>
      </w:pP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0"/>
          <w:numId w:val="16"/>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has moderate or severe cognitive impairment, defined as a </w:t>
      </w:r>
      <w:proofErr w:type="spellStart"/>
      <w:r w:rsidRPr="00342892">
        <w:rPr>
          <w:rFonts w:ascii="Times New Roman" w:hAnsi="Times New Roman" w:cs="Times New Roman"/>
          <w:sz w:val="24"/>
          <w:szCs w:val="24"/>
        </w:rPr>
        <w:t>MoCA</w:t>
      </w:r>
      <w:proofErr w:type="spellEnd"/>
      <w:r w:rsidRPr="00342892">
        <w:rPr>
          <w:rFonts w:ascii="Times New Roman" w:hAnsi="Times New Roman" w:cs="Times New Roman"/>
          <w:sz w:val="24"/>
          <w:szCs w:val="24"/>
        </w:rPr>
        <w:t xml:space="preserve"> score below 18 (with the exception of the FTD cohort, who can have a minimum </w:t>
      </w:r>
      <w:proofErr w:type="spellStart"/>
      <w:r w:rsidRPr="00342892">
        <w:rPr>
          <w:rFonts w:ascii="Times New Roman" w:hAnsi="Times New Roman" w:cs="Times New Roman"/>
          <w:sz w:val="24"/>
          <w:szCs w:val="24"/>
        </w:rPr>
        <w:t>MoCA</w:t>
      </w:r>
      <w:proofErr w:type="spellEnd"/>
      <w:r w:rsidRPr="00342892">
        <w:rPr>
          <w:rFonts w:ascii="Times New Roman" w:hAnsi="Times New Roman" w:cs="Times New Roman"/>
          <w:sz w:val="24"/>
          <w:szCs w:val="24"/>
        </w:rPr>
        <w:t xml:space="preserve"> score of ≥ 14).</w:t>
      </w:r>
    </w:p>
    <w:p w:rsidR="00893B63" w:rsidRPr="00342892" w:rsidRDefault="00893B63" w:rsidP="00893B63">
      <w:pPr>
        <w:spacing w:after="120" w:line="240" w:lineRule="auto"/>
        <w:rPr>
          <w:rFonts w:ascii="Times New Roman" w:hAnsi="Times New Roman" w:cs="Times New Roman"/>
          <w:bCs/>
          <w:sz w:val="24"/>
          <w:szCs w:val="24"/>
        </w:rPr>
      </w:pPr>
    </w:p>
    <w:p w:rsidR="00893B63" w:rsidRPr="00CD22B4" w:rsidRDefault="00893B63" w:rsidP="00893B63">
      <w:pPr>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GENOMICS</w:t>
      </w: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0"/>
          <w:numId w:val="17"/>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have good venous access for phlebotomy to be performed.</w:t>
      </w:r>
    </w:p>
    <w:p w:rsidR="00893B63" w:rsidRPr="00342892" w:rsidRDefault="00893B63" w:rsidP="00893B63">
      <w:pPr>
        <w:spacing w:after="120" w:line="240" w:lineRule="auto"/>
        <w:rPr>
          <w:rFonts w:ascii="Times New Roman" w:hAnsi="Times New Roman" w:cs="Times New Roman"/>
          <w:bCs/>
          <w:sz w:val="24"/>
          <w:szCs w:val="24"/>
        </w:rPr>
      </w:pP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N/A</w:t>
      </w:r>
    </w:p>
    <w:p w:rsidR="00893B63" w:rsidRPr="00342892" w:rsidRDefault="00893B63" w:rsidP="00893B63">
      <w:pPr>
        <w:spacing w:after="120" w:line="240" w:lineRule="auto"/>
        <w:rPr>
          <w:rFonts w:ascii="Times New Roman" w:hAnsi="Times New Roman" w:cs="Times New Roman"/>
          <w:bCs/>
          <w:sz w:val="24"/>
          <w:szCs w:val="24"/>
        </w:rPr>
      </w:pPr>
    </w:p>
    <w:p w:rsidR="00893B63" w:rsidRPr="00CD22B4" w:rsidRDefault="00893B63" w:rsidP="00893B63">
      <w:pPr>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OCULAR PART A (EYE TRACKING)</w:t>
      </w: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pStyle w:val="ListParagraph"/>
        <w:numPr>
          <w:ilvl w:val="0"/>
          <w:numId w:val="18"/>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Participants must have relatively normal or corrected to normal vision in at least one eye so that they can identify symbols and stimuli presented on a computer screen in front of them.</w:t>
      </w:r>
    </w:p>
    <w:p w:rsidR="00893B63" w:rsidRPr="00342892" w:rsidRDefault="00893B63" w:rsidP="00893B63">
      <w:pPr>
        <w:pStyle w:val="ListParagraph"/>
        <w:numPr>
          <w:ilvl w:val="0"/>
          <w:numId w:val="18"/>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be able to sit comfortably for a period of about 45 minutes.</w:t>
      </w:r>
    </w:p>
    <w:p w:rsidR="00893B63" w:rsidRPr="00342892" w:rsidRDefault="00893B63" w:rsidP="00893B63">
      <w:pPr>
        <w:pStyle w:val="ListParagraph"/>
        <w:numPr>
          <w:ilvl w:val="0"/>
          <w:numId w:val="18"/>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be able to track stimuli on a computer screen.</w:t>
      </w:r>
    </w:p>
    <w:p w:rsidR="00893B63" w:rsidRPr="00342892" w:rsidRDefault="00893B63" w:rsidP="00893B63">
      <w:pPr>
        <w:pStyle w:val="ListParagraph"/>
        <w:numPr>
          <w:ilvl w:val="1"/>
          <w:numId w:val="19"/>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Calibration and Validation must be completed within ½ hour for the Anti-Pro Interleaved task</w:t>
      </w:r>
    </w:p>
    <w:p w:rsidR="00893B63" w:rsidRPr="00342892" w:rsidRDefault="00893B63" w:rsidP="00893B63">
      <w:pPr>
        <w:pStyle w:val="ListParagraph"/>
        <w:numPr>
          <w:ilvl w:val="1"/>
          <w:numId w:val="19"/>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 xml:space="preserve">Calibration and Validation must be completed within 15 minutes for </w:t>
      </w:r>
      <w:proofErr w:type="spellStart"/>
      <w:r w:rsidRPr="00342892">
        <w:rPr>
          <w:rFonts w:ascii="Times New Roman" w:hAnsi="Times New Roman" w:cs="Times New Roman"/>
          <w:sz w:val="24"/>
          <w:szCs w:val="24"/>
        </w:rPr>
        <w:t>FreeViewing</w:t>
      </w:r>
      <w:proofErr w:type="spellEnd"/>
      <w:r w:rsidRPr="00342892">
        <w:rPr>
          <w:rFonts w:ascii="Times New Roman" w:hAnsi="Times New Roman" w:cs="Times New Roman"/>
          <w:sz w:val="24"/>
          <w:szCs w:val="24"/>
        </w:rPr>
        <w:t>.</w:t>
      </w: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Note: Those with disease pathology (e.g. PSP, dyskinesia in PD) that directly affects the oculomotor systems are exempt from the eye-tracking platform, if they cannot be calibrated/validated in the times above.</w:t>
      </w:r>
    </w:p>
    <w:p w:rsidR="00893B63" w:rsidRPr="00342892" w:rsidRDefault="00893B63" w:rsidP="00893B63">
      <w:pPr>
        <w:pStyle w:val="ListParagraph"/>
        <w:numPr>
          <w:ilvl w:val="0"/>
          <w:numId w:val="18"/>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must complete ½ of the assessments</w:t>
      </w:r>
    </w:p>
    <w:p w:rsidR="00893B63" w:rsidRPr="00342892" w:rsidRDefault="00893B63" w:rsidP="00893B63">
      <w:pPr>
        <w:pStyle w:val="ListParagraph"/>
        <w:numPr>
          <w:ilvl w:val="1"/>
          <w:numId w:val="20"/>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120 trials for Anti-Pro Interleaved tasks*</w:t>
      </w:r>
    </w:p>
    <w:p w:rsidR="00893B63" w:rsidRPr="00342892" w:rsidRDefault="00893B63" w:rsidP="00893B63">
      <w:pPr>
        <w:pStyle w:val="ListParagraph"/>
        <w:numPr>
          <w:ilvl w:val="1"/>
          <w:numId w:val="20"/>
        </w:numPr>
        <w:tabs>
          <w:tab w:val="left" w:pos="1080"/>
        </w:tabs>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 xml:space="preserve">5 trials for </w:t>
      </w:r>
      <w:proofErr w:type="spellStart"/>
      <w:r w:rsidRPr="00342892">
        <w:rPr>
          <w:rFonts w:ascii="Times New Roman" w:hAnsi="Times New Roman" w:cs="Times New Roman"/>
          <w:sz w:val="24"/>
          <w:szCs w:val="24"/>
        </w:rPr>
        <w:t>FreeViewing</w:t>
      </w:r>
      <w:proofErr w:type="spellEnd"/>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*Note: If the participant cannot properly perform the Anti-Pro Interleaved task, such that they make 100% errors on the Anti-Saccade task but can still perform the Pro saccade task, this will still be considered ‘complete’ for the Anti-Pro Interleaved tasks.</w:t>
      </w:r>
    </w:p>
    <w:p w:rsidR="00893B63" w:rsidRPr="00342892" w:rsidRDefault="00893B63" w:rsidP="00893B63">
      <w:pPr>
        <w:spacing w:after="120" w:line="240" w:lineRule="auto"/>
        <w:rPr>
          <w:rFonts w:ascii="Times New Roman" w:hAnsi="Times New Roman" w:cs="Times New Roman"/>
          <w:sz w:val="24"/>
          <w:szCs w:val="24"/>
        </w:rPr>
      </w:pP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Exemptions:</w:t>
      </w:r>
    </w:p>
    <w:p w:rsidR="00893B63" w:rsidRPr="00342892" w:rsidRDefault="00893B63" w:rsidP="00893B63">
      <w:pPr>
        <w:pStyle w:val="ListParagraph"/>
        <w:numPr>
          <w:ilvl w:val="2"/>
          <w:numId w:val="19"/>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Participants with a </w:t>
      </w:r>
      <w:proofErr w:type="spellStart"/>
      <w:r w:rsidRPr="00342892">
        <w:rPr>
          <w:rFonts w:ascii="Times New Roman" w:hAnsi="Times New Roman" w:cs="Times New Roman"/>
          <w:sz w:val="24"/>
          <w:szCs w:val="24"/>
        </w:rPr>
        <w:t>MoCA</w:t>
      </w:r>
      <w:proofErr w:type="spellEnd"/>
      <w:r w:rsidRPr="00342892">
        <w:rPr>
          <w:rFonts w:ascii="Times New Roman" w:hAnsi="Times New Roman" w:cs="Times New Roman"/>
          <w:sz w:val="24"/>
          <w:szCs w:val="24"/>
        </w:rPr>
        <w:t xml:space="preserve"> score of 20 or less who are unable to comprehend and adequately perform the Anti-Pro Interleaved task (i.e., the participant cannot attend to the task or remember the instructions such that they cannot adequately perform correct Pro Saccade trials), may skip this task and attempt the </w:t>
      </w:r>
      <w:proofErr w:type="spellStart"/>
      <w:r w:rsidRPr="00342892">
        <w:rPr>
          <w:rFonts w:ascii="Times New Roman" w:hAnsi="Times New Roman" w:cs="Times New Roman"/>
          <w:sz w:val="24"/>
          <w:szCs w:val="24"/>
        </w:rPr>
        <w:t>FreeViewing</w:t>
      </w:r>
      <w:proofErr w:type="spellEnd"/>
      <w:r w:rsidRPr="00342892">
        <w:rPr>
          <w:rFonts w:ascii="Times New Roman" w:hAnsi="Times New Roman" w:cs="Times New Roman"/>
          <w:sz w:val="24"/>
          <w:szCs w:val="24"/>
        </w:rPr>
        <w:t xml:space="preserve"> task for the allotted amount of time. </w:t>
      </w:r>
      <w:r w:rsidRPr="00342892">
        <w:rPr>
          <w:rFonts w:ascii="Times New Roman" w:hAnsi="Times New Roman" w:cs="Times New Roman"/>
          <w:sz w:val="24"/>
          <w:szCs w:val="24"/>
        </w:rPr>
        <w:lastRenderedPageBreak/>
        <w:t xml:space="preserve">NOTE: The participant must still attempt calibration and validation and performance of the Anti-Pro Interleaved task for the allotted amount of time before proceeding to the </w:t>
      </w:r>
      <w:proofErr w:type="spellStart"/>
      <w:r w:rsidRPr="00342892">
        <w:rPr>
          <w:rFonts w:ascii="Times New Roman" w:hAnsi="Times New Roman" w:cs="Times New Roman"/>
          <w:sz w:val="24"/>
          <w:szCs w:val="24"/>
        </w:rPr>
        <w:t>FreeViewing</w:t>
      </w:r>
      <w:proofErr w:type="spellEnd"/>
      <w:r w:rsidRPr="00342892">
        <w:rPr>
          <w:rFonts w:ascii="Times New Roman" w:hAnsi="Times New Roman" w:cs="Times New Roman"/>
          <w:sz w:val="24"/>
          <w:szCs w:val="24"/>
        </w:rPr>
        <w:t xml:space="preserve"> task.</w:t>
      </w: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0"/>
          <w:numId w:val="21"/>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large visual field defects that obscure visual targets within ±10 degrees of central vision.</w:t>
      </w:r>
    </w:p>
    <w:p w:rsidR="00893B63" w:rsidRPr="00342892" w:rsidRDefault="00893B63" w:rsidP="00893B63">
      <w:pPr>
        <w:pStyle w:val="ListParagraph"/>
        <w:numPr>
          <w:ilvl w:val="0"/>
          <w:numId w:val="21"/>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cannot be calibrated/validated in the allotted amount of time and has no disease pathology allowing exemption (e.g. red/green </w:t>
      </w:r>
      <w:proofErr w:type="spellStart"/>
      <w:r w:rsidRPr="00342892">
        <w:rPr>
          <w:rFonts w:ascii="Times New Roman" w:hAnsi="Times New Roman" w:cs="Times New Roman"/>
          <w:sz w:val="24"/>
          <w:szCs w:val="24"/>
        </w:rPr>
        <w:t>colourblindness</w:t>
      </w:r>
      <w:proofErr w:type="spellEnd"/>
      <w:r w:rsidRPr="00342892">
        <w:rPr>
          <w:rFonts w:ascii="Times New Roman" w:hAnsi="Times New Roman" w:cs="Times New Roman"/>
          <w:sz w:val="24"/>
          <w:szCs w:val="24"/>
        </w:rPr>
        <w:t>).</w:t>
      </w:r>
    </w:p>
    <w:p w:rsidR="00893B63" w:rsidRPr="00342892" w:rsidRDefault="00893B63" w:rsidP="00893B63">
      <w:pPr>
        <w:pStyle w:val="ListParagraph"/>
        <w:numPr>
          <w:ilvl w:val="0"/>
          <w:numId w:val="21"/>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 xml:space="preserve">Participant cannot perform either the Anti-Pro Interleaved or </w:t>
      </w:r>
      <w:proofErr w:type="spellStart"/>
      <w:r w:rsidRPr="00342892">
        <w:rPr>
          <w:rFonts w:ascii="Times New Roman" w:hAnsi="Times New Roman" w:cs="Times New Roman"/>
          <w:sz w:val="24"/>
          <w:szCs w:val="24"/>
        </w:rPr>
        <w:t>FreeViewing</w:t>
      </w:r>
      <w:proofErr w:type="spellEnd"/>
      <w:r w:rsidRPr="00342892">
        <w:rPr>
          <w:rFonts w:ascii="Times New Roman" w:hAnsi="Times New Roman" w:cs="Times New Roman"/>
          <w:sz w:val="24"/>
          <w:szCs w:val="24"/>
        </w:rPr>
        <w:t xml:space="preserve"> tasks in the allotted amount of time and has no disease pathology allowing exemption.</w:t>
      </w:r>
    </w:p>
    <w:p w:rsidR="00893B63" w:rsidRPr="00342892" w:rsidRDefault="00893B63" w:rsidP="00893B63">
      <w:pPr>
        <w:spacing w:after="120" w:line="240" w:lineRule="auto"/>
        <w:rPr>
          <w:rFonts w:ascii="Times New Roman" w:hAnsi="Times New Roman" w:cs="Times New Roman"/>
          <w:sz w:val="24"/>
          <w:szCs w:val="24"/>
        </w:rPr>
      </w:pPr>
    </w:p>
    <w:p w:rsidR="00893B63" w:rsidRPr="00CD22B4" w:rsidRDefault="00893B63" w:rsidP="00893B63">
      <w:pPr>
        <w:spacing w:after="120" w:line="240" w:lineRule="auto"/>
        <w:rPr>
          <w:rFonts w:ascii="Times New Roman" w:hAnsi="Times New Roman" w:cs="Times New Roman"/>
          <w:b/>
          <w:bCs/>
          <w:sz w:val="24"/>
          <w:szCs w:val="24"/>
        </w:rPr>
      </w:pPr>
      <w:r w:rsidRPr="00CD22B4">
        <w:rPr>
          <w:rFonts w:ascii="Times New Roman" w:hAnsi="Times New Roman" w:cs="Times New Roman"/>
          <w:b/>
          <w:bCs/>
          <w:sz w:val="24"/>
          <w:szCs w:val="24"/>
        </w:rPr>
        <w:t>OCULAR -PART B (SD-OCT IMAGING)</w:t>
      </w: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This platform is occurring in London, Ottawa and Toronto sites only.</w:t>
      </w: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The following criteria will be determined during the ocular SD-OCT assessment at baseline. If the participant does not meet the inclusion/exclusion stated below they will be allowed to continue in the study. These criteria are to be reassessed at visits 4, 6 and 8.</w:t>
      </w: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Inclusion:</w:t>
      </w:r>
    </w:p>
    <w:p w:rsidR="00893B63" w:rsidRPr="00342892" w:rsidRDefault="00893B63" w:rsidP="00893B63">
      <w:pPr>
        <w:spacing w:after="120" w:line="240" w:lineRule="auto"/>
        <w:rPr>
          <w:rFonts w:ascii="Times New Roman" w:hAnsi="Times New Roman" w:cs="Times New Roman"/>
          <w:sz w:val="24"/>
          <w:szCs w:val="24"/>
        </w:rPr>
      </w:pPr>
      <w:r w:rsidRPr="00342892">
        <w:rPr>
          <w:rFonts w:ascii="Times New Roman" w:hAnsi="Times New Roman" w:cs="Times New Roman"/>
          <w:sz w:val="24"/>
          <w:szCs w:val="24"/>
        </w:rPr>
        <w:t>N/A</w:t>
      </w:r>
    </w:p>
    <w:p w:rsidR="00893B63" w:rsidRPr="00342892" w:rsidRDefault="00893B63" w:rsidP="00893B63">
      <w:pPr>
        <w:spacing w:after="120" w:line="240" w:lineRule="auto"/>
        <w:rPr>
          <w:rFonts w:ascii="Times New Roman" w:hAnsi="Times New Roman" w:cs="Times New Roman"/>
          <w:bCs/>
          <w:sz w:val="24"/>
          <w:szCs w:val="24"/>
        </w:rPr>
      </w:pPr>
    </w:p>
    <w:p w:rsidR="00893B63" w:rsidRPr="00342892" w:rsidRDefault="00893B63" w:rsidP="00893B63">
      <w:pPr>
        <w:spacing w:after="120" w:line="240" w:lineRule="auto"/>
        <w:rPr>
          <w:rFonts w:ascii="Times New Roman" w:hAnsi="Times New Roman" w:cs="Times New Roman"/>
          <w:bCs/>
          <w:sz w:val="24"/>
          <w:szCs w:val="24"/>
        </w:rPr>
      </w:pPr>
      <w:r w:rsidRPr="00342892">
        <w:rPr>
          <w:rFonts w:ascii="Times New Roman" w:hAnsi="Times New Roman" w:cs="Times New Roman"/>
          <w:bCs/>
          <w:sz w:val="24"/>
          <w:szCs w:val="24"/>
        </w:rPr>
        <w:t>Exclusion:</w:t>
      </w:r>
    </w:p>
    <w:p w:rsidR="00893B63" w:rsidRPr="00342892" w:rsidRDefault="00893B63" w:rsidP="00893B63">
      <w:pPr>
        <w:pStyle w:val="ListParagraph"/>
        <w:numPr>
          <w:ilvl w:val="0"/>
          <w:numId w:val="22"/>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an intra-ocular pressure greater than 22mmHg in one or both eyes or a difference in intra-ocular pressure (</w:t>
      </w:r>
      <w:proofErr w:type="spellStart"/>
      <w:r w:rsidRPr="00342892">
        <w:rPr>
          <w:rFonts w:ascii="Times New Roman" w:hAnsi="Times New Roman" w:cs="Times New Roman"/>
          <w:sz w:val="24"/>
          <w:szCs w:val="24"/>
        </w:rPr>
        <w:t>Goldmann</w:t>
      </w:r>
      <w:proofErr w:type="spellEnd"/>
      <w:r w:rsidRPr="00342892">
        <w:rPr>
          <w:rFonts w:ascii="Times New Roman" w:hAnsi="Times New Roman" w:cs="Times New Roman"/>
          <w:sz w:val="24"/>
          <w:szCs w:val="24"/>
        </w:rPr>
        <w:t xml:space="preserve">, Perkins, </w:t>
      </w:r>
      <w:proofErr w:type="spellStart"/>
      <w:r w:rsidRPr="00342892">
        <w:rPr>
          <w:rFonts w:ascii="Times New Roman" w:hAnsi="Times New Roman" w:cs="Times New Roman"/>
          <w:sz w:val="24"/>
          <w:szCs w:val="24"/>
        </w:rPr>
        <w:t>Tonopen</w:t>
      </w:r>
      <w:proofErr w:type="spellEnd"/>
      <w:r w:rsidRPr="00342892">
        <w:rPr>
          <w:rFonts w:ascii="Times New Roman" w:hAnsi="Times New Roman" w:cs="Times New Roman"/>
          <w:sz w:val="24"/>
          <w:szCs w:val="24"/>
        </w:rPr>
        <w:t xml:space="preserve"> or any form of clinically validated </w:t>
      </w:r>
      <w:proofErr w:type="spellStart"/>
      <w:r w:rsidRPr="00342892">
        <w:rPr>
          <w:rFonts w:ascii="Times New Roman" w:hAnsi="Times New Roman" w:cs="Times New Roman"/>
          <w:sz w:val="24"/>
          <w:szCs w:val="24"/>
        </w:rPr>
        <w:t>applanation</w:t>
      </w:r>
      <w:proofErr w:type="spellEnd"/>
      <w:r w:rsidRPr="00342892">
        <w:rPr>
          <w:rFonts w:ascii="Times New Roman" w:hAnsi="Times New Roman" w:cs="Times New Roman"/>
          <w:sz w:val="24"/>
          <w:szCs w:val="24"/>
        </w:rPr>
        <w:t xml:space="preserve"> tonometry) greater than 5mmHg between the two eyes.</w:t>
      </w:r>
    </w:p>
    <w:p w:rsidR="00893B63" w:rsidRPr="00CD22B4" w:rsidRDefault="00893B63" w:rsidP="00893B63">
      <w:pPr>
        <w:pStyle w:val="ListParagraph"/>
        <w:numPr>
          <w:ilvl w:val="0"/>
          <w:numId w:val="22"/>
        </w:numPr>
        <w:spacing w:after="120" w:line="240" w:lineRule="auto"/>
        <w:ind w:left="360"/>
        <w:rPr>
          <w:rFonts w:ascii="Times New Roman" w:hAnsi="Times New Roman" w:cs="Times New Roman"/>
          <w:sz w:val="24"/>
          <w:szCs w:val="24"/>
        </w:rPr>
      </w:pPr>
      <w:r w:rsidRPr="00CD22B4">
        <w:rPr>
          <w:rFonts w:ascii="Times New Roman" w:hAnsi="Times New Roman" w:cs="Times New Roman"/>
          <w:sz w:val="24"/>
          <w:szCs w:val="24"/>
        </w:rPr>
        <w:t>Participant has cupping of the optic nerve head (ONH) consistent with a diagnosis of glaucoma, as clinically determined by expert ophthalmological assessment of digital colour fundus images centered on the ONH in one or both eyes. Specifically, one or more of the following:</w:t>
      </w:r>
    </w:p>
    <w:p w:rsidR="00893B63" w:rsidRPr="00342892" w:rsidRDefault="00893B63" w:rsidP="00893B63">
      <w:pPr>
        <w:pStyle w:val="ListParagraph"/>
        <w:numPr>
          <w:ilvl w:val="0"/>
          <w:numId w:val="2"/>
        </w:numPr>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a cup/disc ratio of 0.7 or greater in either eye</w:t>
      </w:r>
    </w:p>
    <w:p w:rsidR="00893B63" w:rsidRPr="00342892" w:rsidRDefault="00893B63" w:rsidP="00893B63">
      <w:pPr>
        <w:pStyle w:val="ListParagraph"/>
        <w:numPr>
          <w:ilvl w:val="0"/>
          <w:numId w:val="2"/>
        </w:numPr>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a cup/disc asymmetry of more than 0.2</w:t>
      </w:r>
    </w:p>
    <w:p w:rsidR="00893B63" w:rsidRPr="00342892" w:rsidRDefault="00893B63" w:rsidP="00893B63">
      <w:pPr>
        <w:pStyle w:val="ListParagraph"/>
        <w:numPr>
          <w:ilvl w:val="0"/>
          <w:numId w:val="2"/>
        </w:numPr>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disc hemorrhage in one or both eyes</w:t>
      </w:r>
    </w:p>
    <w:p w:rsidR="00893B63" w:rsidRPr="00342892" w:rsidRDefault="00893B63" w:rsidP="00893B63">
      <w:pPr>
        <w:pStyle w:val="ListParagraph"/>
        <w:numPr>
          <w:ilvl w:val="0"/>
          <w:numId w:val="2"/>
        </w:numPr>
        <w:spacing w:after="120" w:line="240" w:lineRule="auto"/>
        <w:ind w:left="1080"/>
        <w:rPr>
          <w:rFonts w:ascii="Times New Roman" w:hAnsi="Times New Roman" w:cs="Times New Roman"/>
          <w:sz w:val="24"/>
          <w:szCs w:val="24"/>
        </w:rPr>
      </w:pPr>
      <w:r w:rsidRPr="00342892">
        <w:rPr>
          <w:rFonts w:ascii="Times New Roman" w:hAnsi="Times New Roman" w:cs="Times New Roman"/>
          <w:sz w:val="24"/>
          <w:szCs w:val="24"/>
        </w:rPr>
        <w:t>notch in one or both eyes</w:t>
      </w:r>
    </w:p>
    <w:p w:rsidR="00893B63" w:rsidRPr="00342892" w:rsidRDefault="00893B63" w:rsidP="00893B63">
      <w:pPr>
        <w:pStyle w:val="ListParagraph"/>
        <w:numPr>
          <w:ilvl w:val="0"/>
          <w:numId w:val="22"/>
        </w:numPr>
        <w:spacing w:after="120" w:line="240" w:lineRule="auto"/>
        <w:ind w:left="360"/>
        <w:rPr>
          <w:rFonts w:ascii="Times New Roman" w:hAnsi="Times New Roman" w:cs="Times New Roman"/>
          <w:sz w:val="24"/>
          <w:szCs w:val="24"/>
        </w:rPr>
      </w:pPr>
      <w:r w:rsidRPr="00342892">
        <w:rPr>
          <w:rFonts w:ascii="Times New Roman" w:hAnsi="Times New Roman" w:cs="Times New Roman"/>
          <w:sz w:val="24"/>
          <w:szCs w:val="24"/>
        </w:rPr>
        <w:t>Participant has wet / exudative age-related macular degeneration (ARMD in one or both eyes, as clinically determined by expert ophthalmological assessment of digital colour fundus images centered on the fovea.</w:t>
      </w:r>
    </w:p>
    <w:p w:rsidR="000A5A3D" w:rsidRDefault="000A5A3D">
      <w:bookmarkStart w:id="0" w:name="_GoBack"/>
      <w:bookmarkEnd w:id="0"/>
    </w:p>
    <w:sectPr w:rsidR="000A5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9C9"/>
    <w:multiLevelType w:val="hybridMultilevel"/>
    <w:tmpl w:val="9442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C20"/>
    <w:multiLevelType w:val="hybridMultilevel"/>
    <w:tmpl w:val="CECCE2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624A3"/>
    <w:multiLevelType w:val="hybridMultilevel"/>
    <w:tmpl w:val="955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36F9"/>
    <w:multiLevelType w:val="hybridMultilevel"/>
    <w:tmpl w:val="9DB4A7C6"/>
    <w:lvl w:ilvl="0" w:tplc="0409000F">
      <w:start w:val="1"/>
      <w:numFmt w:val="decimal"/>
      <w:lvlText w:val="%1."/>
      <w:lvlJc w:val="left"/>
      <w:pPr>
        <w:ind w:left="720" w:hanging="360"/>
      </w:pPr>
      <w:rPr>
        <w:rFonts w:hint="default"/>
      </w:rPr>
    </w:lvl>
    <w:lvl w:ilvl="1" w:tplc="5064A4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11494"/>
    <w:multiLevelType w:val="hybridMultilevel"/>
    <w:tmpl w:val="B7D4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73773"/>
    <w:multiLevelType w:val="hybridMultilevel"/>
    <w:tmpl w:val="6C9A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3AA4"/>
    <w:multiLevelType w:val="hybridMultilevel"/>
    <w:tmpl w:val="947A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67C4"/>
    <w:multiLevelType w:val="hybridMultilevel"/>
    <w:tmpl w:val="CBB2E920"/>
    <w:lvl w:ilvl="0" w:tplc="E4CC02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5770B"/>
    <w:multiLevelType w:val="hybridMultilevel"/>
    <w:tmpl w:val="0D7A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17FA"/>
    <w:multiLevelType w:val="hybridMultilevel"/>
    <w:tmpl w:val="127E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804F4"/>
    <w:multiLevelType w:val="hybridMultilevel"/>
    <w:tmpl w:val="C51A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F16D6"/>
    <w:multiLevelType w:val="hybridMultilevel"/>
    <w:tmpl w:val="77E6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6702C"/>
    <w:multiLevelType w:val="hybridMultilevel"/>
    <w:tmpl w:val="1B4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D07F9"/>
    <w:multiLevelType w:val="hybridMultilevel"/>
    <w:tmpl w:val="515837A0"/>
    <w:lvl w:ilvl="0" w:tplc="66729E30">
      <w:start w:val="1"/>
      <w:numFmt w:val="decimal"/>
      <w:lvlText w:val="%1."/>
      <w:lvlJc w:val="left"/>
      <w:pPr>
        <w:ind w:left="720" w:hanging="360"/>
      </w:pPr>
    </w:lvl>
    <w:lvl w:ilvl="1" w:tplc="4566B5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55397"/>
    <w:multiLevelType w:val="hybridMultilevel"/>
    <w:tmpl w:val="FFBC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33152"/>
    <w:multiLevelType w:val="hybridMultilevel"/>
    <w:tmpl w:val="D6D6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F67AA"/>
    <w:multiLevelType w:val="hybridMultilevel"/>
    <w:tmpl w:val="E732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87183"/>
    <w:multiLevelType w:val="hybridMultilevel"/>
    <w:tmpl w:val="FDF682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6D663D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AC7AB8"/>
    <w:multiLevelType w:val="hybridMultilevel"/>
    <w:tmpl w:val="065C5F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398A63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C80CC7"/>
    <w:multiLevelType w:val="hybridMultilevel"/>
    <w:tmpl w:val="CA908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C1768"/>
    <w:multiLevelType w:val="hybridMultilevel"/>
    <w:tmpl w:val="F74E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B4092"/>
    <w:multiLevelType w:val="hybridMultilevel"/>
    <w:tmpl w:val="E040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18"/>
  </w:num>
  <w:num w:numId="5">
    <w:abstractNumId w:val="7"/>
  </w:num>
  <w:num w:numId="6">
    <w:abstractNumId w:val="0"/>
  </w:num>
  <w:num w:numId="7">
    <w:abstractNumId w:val="14"/>
  </w:num>
  <w:num w:numId="8">
    <w:abstractNumId w:val="9"/>
  </w:num>
  <w:num w:numId="9">
    <w:abstractNumId w:val="21"/>
  </w:num>
  <w:num w:numId="10">
    <w:abstractNumId w:val="10"/>
  </w:num>
  <w:num w:numId="11">
    <w:abstractNumId w:val="5"/>
  </w:num>
  <w:num w:numId="12">
    <w:abstractNumId w:val="8"/>
  </w:num>
  <w:num w:numId="13">
    <w:abstractNumId w:val="15"/>
  </w:num>
  <w:num w:numId="14">
    <w:abstractNumId w:val="20"/>
  </w:num>
  <w:num w:numId="15">
    <w:abstractNumId w:val="2"/>
  </w:num>
  <w:num w:numId="16">
    <w:abstractNumId w:val="6"/>
  </w:num>
  <w:num w:numId="17">
    <w:abstractNumId w:val="12"/>
  </w:num>
  <w:num w:numId="18">
    <w:abstractNumId w:val="3"/>
  </w:num>
  <w:num w:numId="19">
    <w:abstractNumId w:val="17"/>
  </w:num>
  <w:num w:numId="20">
    <w:abstractNumId w:val="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63"/>
    <w:rsid w:val="000A5A3D"/>
    <w:rsid w:val="0089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DBBF7-DF1C-4494-8175-13757DAF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6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Strong</dc:creator>
  <cp:keywords/>
  <dc:description/>
  <cp:lastModifiedBy>Michael Strong</cp:lastModifiedBy>
  <cp:revision>1</cp:revision>
  <dcterms:created xsi:type="dcterms:W3CDTF">2016-03-17T16:41:00Z</dcterms:created>
  <dcterms:modified xsi:type="dcterms:W3CDTF">2016-03-17T16:42:00Z</dcterms:modified>
</cp:coreProperties>
</file>