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9A" w:rsidRPr="0024689A" w:rsidRDefault="0024689A" w:rsidP="0024689A">
      <w:pPr>
        <w:spacing w:after="160" w:line="259" w:lineRule="auto"/>
        <w:rPr>
          <w:rFonts w:asciiTheme="minorHAnsi" w:eastAsiaTheme="minorHAnsi" w:hAnsiTheme="minorHAnsi" w:cstheme="minorHAnsi"/>
          <w:b/>
          <w:sz w:val="24"/>
        </w:rPr>
      </w:pPr>
      <w:bookmarkStart w:id="0" w:name="_Toc422224252"/>
      <w:r w:rsidRPr="0024689A">
        <w:rPr>
          <w:rFonts w:asciiTheme="minorHAnsi" w:eastAsiaTheme="minorHAnsi" w:hAnsiTheme="minorHAnsi" w:cstheme="minorHAnsi"/>
          <w:b/>
          <w:sz w:val="24"/>
        </w:rPr>
        <w:t xml:space="preserve">APPENDICES  </w:t>
      </w:r>
    </w:p>
    <w:p w:rsidR="0024689A" w:rsidRPr="0024689A" w:rsidRDefault="0024689A" w:rsidP="0024689A">
      <w:pPr>
        <w:spacing w:after="160" w:line="259" w:lineRule="auto"/>
        <w:rPr>
          <w:rFonts w:asciiTheme="minorHAnsi" w:eastAsiaTheme="minorHAnsi" w:hAnsiTheme="minorHAnsi" w:cstheme="minorHAnsi"/>
          <w:b/>
          <w:szCs w:val="22"/>
        </w:rPr>
      </w:pPr>
    </w:p>
    <w:p w:rsidR="0024689A" w:rsidRPr="0024689A" w:rsidRDefault="0024689A" w:rsidP="0024689A">
      <w:pPr>
        <w:spacing w:after="160" w:line="259" w:lineRule="auto"/>
        <w:rPr>
          <w:rFonts w:asciiTheme="minorHAnsi" w:eastAsiaTheme="minorHAnsi" w:hAnsiTheme="minorHAnsi" w:cstheme="minorHAnsi"/>
          <w:b/>
          <w:szCs w:val="22"/>
        </w:rPr>
      </w:pPr>
      <w:r w:rsidRPr="0024689A">
        <w:rPr>
          <w:rFonts w:asciiTheme="minorHAnsi" w:eastAsiaTheme="minorHAnsi" w:hAnsiTheme="minorHAnsi" w:cstheme="minorHAnsi"/>
          <w:b/>
          <w:szCs w:val="22"/>
        </w:rPr>
        <w:t xml:space="preserve">Appendix 1: </w:t>
      </w:r>
      <w:r>
        <w:rPr>
          <w:rFonts w:asciiTheme="minorHAnsi" w:eastAsiaTheme="minorHAnsi" w:hAnsiTheme="minorHAnsi" w:cstheme="minorHAnsi"/>
          <w:b/>
          <w:szCs w:val="22"/>
        </w:rPr>
        <w:t>Literature Search Strategy</w:t>
      </w:r>
    </w:p>
    <w:p w:rsidR="0024689A" w:rsidRDefault="0024689A" w:rsidP="0024689A">
      <w:pPr>
        <w:spacing w:after="160" w:line="259" w:lineRule="auto"/>
        <w:rPr>
          <w:rFonts w:asciiTheme="minorHAnsi" w:eastAsiaTheme="minorHAnsi" w:hAnsiTheme="minorHAnsi" w:cstheme="minorHAnsi"/>
          <w:b/>
          <w:szCs w:val="22"/>
        </w:rPr>
      </w:pPr>
      <w:r w:rsidRPr="0024689A">
        <w:rPr>
          <w:rFonts w:asciiTheme="minorHAnsi" w:eastAsiaTheme="minorHAnsi" w:hAnsiTheme="minorHAnsi" w:cstheme="minorHAnsi"/>
          <w:b/>
          <w:szCs w:val="22"/>
        </w:rPr>
        <w:t xml:space="preserve">Appendix 2: </w:t>
      </w:r>
      <w:r>
        <w:rPr>
          <w:rFonts w:asciiTheme="minorHAnsi" w:eastAsiaTheme="minorHAnsi" w:hAnsiTheme="minorHAnsi" w:cstheme="minorHAnsi"/>
          <w:b/>
          <w:szCs w:val="22"/>
        </w:rPr>
        <w:t>Evidence Quality Assessment</w:t>
      </w:r>
      <w:r w:rsidRPr="0024689A">
        <w:rPr>
          <w:rFonts w:asciiTheme="minorHAnsi" w:eastAsiaTheme="minorHAnsi" w:hAnsiTheme="minorHAnsi" w:cstheme="minorHAnsi"/>
          <w:b/>
          <w:szCs w:val="22"/>
        </w:rPr>
        <w:t xml:space="preserve"> </w:t>
      </w:r>
    </w:p>
    <w:p w:rsidR="00692745" w:rsidRPr="0024689A" w:rsidRDefault="00692745" w:rsidP="0024689A">
      <w:pPr>
        <w:spacing w:after="160" w:line="259" w:lineRule="auto"/>
        <w:rPr>
          <w:rFonts w:asciiTheme="minorHAnsi" w:eastAsiaTheme="minorHAnsi" w:hAnsiTheme="minorHAnsi" w:cstheme="minorHAnsi"/>
          <w:b/>
          <w:szCs w:val="22"/>
        </w:rPr>
      </w:pPr>
      <w:r>
        <w:rPr>
          <w:rFonts w:asciiTheme="minorHAnsi" w:eastAsiaTheme="minorHAnsi" w:hAnsiTheme="minorHAnsi" w:cstheme="minorHAnsi"/>
          <w:b/>
          <w:szCs w:val="22"/>
        </w:rPr>
        <w:t xml:space="preserve">Appendix 3: </w:t>
      </w:r>
      <w:r w:rsidR="00521A55">
        <w:rPr>
          <w:rFonts w:asciiTheme="minorHAnsi" w:eastAsiaTheme="majorEastAsia" w:hAnsiTheme="minorHAnsi" w:cstheme="minorHAnsi"/>
          <w:b/>
          <w:bCs/>
          <w:szCs w:val="22"/>
        </w:rPr>
        <w:t>Function</w:t>
      </w:r>
      <w:r w:rsidR="00521A55">
        <w:rPr>
          <w:rFonts w:asciiTheme="minorHAnsi" w:eastAsiaTheme="majorEastAsia" w:hAnsiTheme="minorHAnsi" w:cstheme="minorHAnsi"/>
          <w:b/>
          <w:bCs/>
          <w:szCs w:val="22"/>
        </w:rPr>
        <w:t xml:space="preserve">al Independence Risk Difference and </w:t>
      </w:r>
      <w:r w:rsidR="002655E0">
        <w:rPr>
          <w:rFonts w:asciiTheme="minorHAnsi" w:eastAsiaTheme="minorHAnsi" w:hAnsiTheme="minorHAnsi" w:cstheme="minorHAnsi"/>
          <w:b/>
          <w:szCs w:val="22"/>
        </w:rPr>
        <w:t xml:space="preserve">Subgroup </w:t>
      </w:r>
      <w:r>
        <w:rPr>
          <w:rFonts w:asciiTheme="minorHAnsi" w:eastAsiaTheme="minorHAnsi" w:hAnsiTheme="minorHAnsi" w:cstheme="minorHAnsi"/>
          <w:b/>
          <w:szCs w:val="22"/>
        </w:rPr>
        <w:t>Results</w:t>
      </w:r>
    </w:p>
    <w:p w:rsidR="0024689A" w:rsidRPr="0024689A" w:rsidRDefault="00692745" w:rsidP="0024689A">
      <w:pPr>
        <w:keepNext/>
        <w:keepLines/>
        <w:spacing w:after="160"/>
        <w:outlineLvl w:val="2"/>
        <w:rPr>
          <w:rFonts w:asciiTheme="minorHAnsi" w:eastAsiaTheme="majorEastAsia" w:hAnsiTheme="minorHAnsi" w:cstheme="minorHAnsi"/>
          <w:b/>
          <w:bCs/>
          <w:szCs w:val="22"/>
        </w:rPr>
      </w:pPr>
      <w:r>
        <w:rPr>
          <w:rFonts w:asciiTheme="minorHAnsi" w:eastAsiaTheme="majorEastAsia" w:hAnsiTheme="minorHAnsi" w:cstheme="minorHAnsi"/>
          <w:b/>
          <w:bCs/>
          <w:szCs w:val="22"/>
        </w:rPr>
        <w:t>Appendix 4</w:t>
      </w:r>
      <w:r w:rsidR="0024689A" w:rsidRPr="0024689A">
        <w:rPr>
          <w:rFonts w:asciiTheme="minorHAnsi" w:eastAsiaTheme="majorEastAsia" w:hAnsiTheme="minorHAnsi" w:cstheme="minorHAnsi"/>
          <w:b/>
          <w:bCs/>
          <w:szCs w:val="22"/>
        </w:rPr>
        <w:t xml:space="preserve">: </w:t>
      </w:r>
      <w:r w:rsidR="002A5C21">
        <w:rPr>
          <w:rFonts w:asciiTheme="minorHAnsi" w:eastAsiaTheme="majorEastAsia" w:hAnsiTheme="minorHAnsi" w:cstheme="minorHAnsi"/>
          <w:b/>
          <w:bCs/>
          <w:szCs w:val="22"/>
        </w:rPr>
        <w:t xml:space="preserve">Secondary Outcome Results </w:t>
      </w:r>
      <w:r w:rsidR="0024689A" w:rsidRPr="0024689A">
        <w:rPr>
          <w:rFonts w:asciiTheme="minorHAnsi" w:eastAsiaTheme="majorEastAsia" w:hAnsiTheme="minorHAnsi" w:cstheme="minorHAnsi"/>
          <w:b/>
          <w:bCs/>
          <w:szCs w:val="22"/>
        </w:rPr>
        <w:t xml:space="preserve"> </w:t>
      </w:r>
    </w:p>
    <w:p w:rsidR="0024689A" w:rsidRDefault="0024689A" w:rsidP="00CB1366">
      <w:pPr>
        <w:pStyle w:val="Heading1"/>
      </w:pPr>
    </w:p>
    <w:p w:rsidR="00683434" w:rsidRDefault="00683434" w:rsidP="00683434"/>
    <w:p w:rsidR="00683434" w:rsidRDefault="00683434" w:rsidP="00683434"/>
    <w:p w:rsidR="00683434" w:rsidRDefault="00683434" w:rsidP="00683434"/>
    <w:p w:rsidR="00683434" w:rsidRDefault="00683434" w:rsidP="00683434"/>
    <w:p w:rsidR="00683434" w:rsidRDefault="00683434" w:rsidP="00683434"/>
    <w:p w:rsidR="00683434" w:rsidRDefault="00683434" w:rsidP="00683434"/>
    <w:p w:rsidR="00683434" w:rsidRDefault="00683434" w:rsidP="00683434"/>
    <w:p w:rsidR="00683434" w:rsidRDefault="00683434" w:rsidP="00683434"/>
    <w:p w:rsidR="00683434" w:rsidRDefault="00683434" w:rsidP="00683434"/>
    <w:p w:rsidR="00683434" w:rsidRDefault="00683434" w:rsidP="00683434"/>
    <w:p w:rsidR="00683434" w:rsidRDefault="00683434" w:rsidP="00683434"/>
    <w:p w:rsidR="00683434" w:rsidRDefault="00683434" w:rsidP="00683434"/>
    <w:p w:rsidR="00683434" w:rsidRDefault="00683434" w:rsidP="00683434"/>
    <w:p w:rsidR="00683434" w:rsidRDefault="00683434" w:rsidP="00683434"/>
    <w:p w:rsidR="00683434" w:rsidRDefault="00683434" w:rsidP="00683434"/>
    <w:p w:rsidR="00683434" w:rsidRDefault="00683434" w:rsidP="00683434"/>
    <w:p w:rsidR="00683434" w:rsidRDefault="00683434" w:rsidP="00683434"/>
    <w:p w:rsidR="00683434" w:rsidRDefault="00683434" w:rsidP="00683434"/>
    <w:p w:rsidR="00683434" w:rsidRDefault="00683434" w:rsidP="00683434"/>
    <w:p w:rsidR="00683434" w:rsidRDefault="00683434" w:rsidP="00683434"/>
    <w:p w:rsidR="00683434" w:rsidRDefault="00683434" w:rsidP="00683434"/>
    <w:p w:rsidR="00683434" w:rsidRDefault="00683434" w:rsidP="00683434"/>
    <w:p w:rsidR="00683434" w:rsidRDefault="00683434" w:rsidP="00683434"/>
    <w:p w:rsidR="00683434" w:rsidRDefault="00683434" w:rsidP="00683434"/>
    <w:p w:rsidR="00683434" w:rsidRDefault="00683434" w:rsidP="00683434"/>
    <w:p w:rsidR="00683434" w:rsidRDefault="00683434" w:rsidP="00683434"/>
    <w:p w:rsidR="00683434" w:rsidRDefault="00683434" w:rsidP="00683434"/>
    <w:p w:rsidR="00683434" w:rsidRDefault="00683434" w:rsidP="00683434"/>
    <w:p w:rsidR="00683434" w:rsidRDefault="00683434" w:rsidP="00683434"/>
    <w:p w:rsidR="00683434" w:rsidRDefault="00683434" w:rsidP="00683434"/>
    <w:p w:rsidR="00683434" w:rsidRDefault="00683434" w:rsidP="00683434"/>
    <w:p w:rsidR="00683434" w:rsidRDefault="00683434" w:rsidP="00683434"/>
    <w:p w:rsidR="00683434" w:rsidRDefault="00683434" w:rsidP="00683434"/>
    <w:p w:rsidR="00683434" w:rsidRPr="00683434" w:rsidRDefault="00683434" w:rsidP="00683434"/>
    <w:p w:rsidR="00CB1366" w:rsidRPr="00683434" w:rsidRDefault="00CB1366" w:rsidP="00CB1366">
      <w:pPr>
        <w:pStyle w:val="Heading1"/>
        <w:rPr>
          <w:color w:val="auto"/>
        </w:rPr>
      </w:pPr>
      <w:r w:rsidRPr="00683434">
        <w:rPr>
          <w:color w:val="auto"/>
        </w:rPr>
        <w:lastRenderedPageBreak/>
        <w:t>Appendices</w:t>
      </w:r>
      <w:bookmarkEnd w:id="0"/>
    </w:p>
    <w:p w:rsidR="00CB1366" w:rsidRPr="00683434" w:rsidRDefault="00CB1366" w:rsidP="00CB1366">
      <w:pPr>
        <w:pStyle w:val="Heading2"/>
        <w:rPr>
          <w:color w:val="auto"/>
        </w:rPr>
      </w:pPr>
      <w:bookmarkStart w:id="1" w:name="_Toc422224253"/>
      <w:r w:rsidRPr="00683434">
        <w:rPr>
          <w:color w:val="auto"/>
        </w:rPr>
        <w:t>Appendix 1: Literature Search Strategies</w:t>
      </w:r>
      <w:bookmarkEnd w:id="1"/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Database: EBM Reviews - Cochrane Central Register of Controlled Trials &lt;February 2015&gt;, EBM Reviews - Cochrane Database of Systematic Reviews &lt;2005 to January 2015&gt;, EBM Reviews - Database of Abstracts of Reviews of Effects &lt;1st Quarter 2015&gt;, EBM Reviews - Health Technology Assessment &lt;1st Quarter 2015&gt;, EBM Reviews - NHS Economic Evaluation Database &lt;1st Quarter 2015&gt;, Embase &lt;1980 to 2015 Week 10&gt;, All Ovid MEDLINE(R) &lt;1946 to Present&gt;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Search Strategy: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--------------------------------------------------------------------------------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1     exp Brain Ischemia/ (198337)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2     ((isch?emi* adj3 (stroke* or apoplex* or cerebr* or brain or encephalopath* or neur*)) or AIS).tw. (198076)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3     exp Stroke/ (189703)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4     (stroke* adj3 (acute or cerebr* or attack* or accident* or lacunar or cardioembol*)).tw. (76907)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5     Intracranial Arteriosclerosis/ (10347)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6     exp "Intracranial Embolism and Thrombosis"/ (367169)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7     Carotid Artery Thrombosis/ (5356)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8     ((occlus* or block* or infarct* or clot* or termination) adj6 (carotid or cerebr* or MCA or ACA)).tw. (96218)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9     or/1-8 (786703)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10     exp Thrombectomy/ (15008)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11     Embolectomy/ (4255)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12     ((Mechanical adj3 (thromb* or embol* or clot disruption* or clot retrieval*)) or ((clot* or thromb* or embol*) adj3 (retriev* or disruption* or fragmentation)) or ((stent* or stent-assisted) adj3 retriev*) or stentriever*).tw. (9056)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13     ((Merci or Trevo or Penumbra or Solitaire) adj3 (retriever* or system* or device*)).mp. (1233)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14     or/10-13 (24914)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15     9 and 14 (14515)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16     exp Animals/ not (exp Animals/ and Humans/) (8045601)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17     15 not 16 (14213)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18     (case reports or congresses).pt. (1780093)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19     17 not 18 (13866)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20     limit 19 to english language [Limit not valid in CDSR,DARE; records were retained] (12321)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21     limit 20 to yr="2005 -Current" [Limit not valid in DARE; records were retained] (9737)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22     21 use pmoz,cctr,coch,dare,clhta,cleed (970)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23     exp Brain Ischemia/ (198337)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24     ((isch?emi* adj3 (stroke* or apoplex* or cerebr* or brain or encephalopath* or neur*)) or AIS).tw. (198076)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25     exp Cerebrovascular Accident/ (189703)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26     Stroke Patient/ (13478)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27     (stroke* adj3 (acute or cerebr* or attack* or accident* or lacunar or cardioembolic)).tw. (76838)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28     exp Occlusive Cerebrovascular Disease/ (26483)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29     exp Carotid Artery Obstruction/ (25862)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30     Brain Embolism/ (8515)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31     ((occlus* or block* or infarct* or clot* or termination) adj6 (carotid or cerebr* or MCA or ACA)).tw. (96218)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32     or/23-31 (478286)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33     Mechanical Thrombectomy/ (1828)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34     Thrombectomy/ (10732)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35     Embolectomy/ (4255)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36     ((Mechanical adj3 (thromb* or embol* or clot disruption* or clot retrieval*)) or ((clot* or thromb* or embol*) adj3 (retriev* or disruption* or fragmentation)) or ((stent* or stent-assisted) adj3 retriev*) or stentriever*).tw. (9056)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37     ((Merci or Trevo or Penumbra or Solitaire) adj3 (retriever* or system* or device*)).mp. (1233)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38     or/33-37 (22583)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lastRenderedPageBreak/>
        <w:t>39     32 and 38 (4742)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40     exp animal experimentation/ or exp models animal/ or exp animal experiment/ or nonhuman/ or exp vertebrate/ (38090949)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41     exp humans/ or exp human experimentation/ or exp human experiment/ (29700691)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42     40 not 41 (8416467)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43     39 not 42 (4642)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44     case report/ or conference abstract.pt. (5381946)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45     43 not 44 (2728)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46     limit 45 to english language [Limit not valid in CDSR,DARE; records were retained] (2466)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47     limit 46 to yr="2005 -Current" [Limit not valid in DARE; records were retained] (2248)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48     47 use emez (1362)</w:t>
      </w:r>
    </w:p>
    <w:p w:rsidR="00CB1366" w:rsidRPr="007920B2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49     22 or 48 (2332)</w:t>
      </w:r>
    </w:p>
    <w:p w:rsidR="00CB1366" w:rsidRDefault="00CB1366" w:rsidP="00CB1366">
      <w:pPr>
        <w:rPr>
          <w:rFonts w:asciiTheme="minorHAnsi" w:eastAsia="Arial Unicode MS" w:hAnsiTheme="minorHAnsi" w:cs="Arial"/>
          <w:sz w:val="20"/>
          <w:szCs w:val="20"/>
        </w:rPr>
      </w:pPr>
      <w:r w:rsidRPr="007920B2">
        <w:rPr>
          <w:rFonts w:asciiTheme="minorHAnsi" w:eastAsia="Arial Unicode MS" w:hAnsiTheme="minorHAnsi" w:cs="Arial"/>
          <w:sz w:val="20"/>
          <w:szCs w:val="20"/>
        </w:rPr>
        <w:t>50     remove duplicates from 49 (1624)</w:t>
      </w:r>
    </w:p>
    <w:p w:rsidR="002B4ADA" w:rsidRDefault="005145EC"/>
    <w:p w:rsidR="004B6A3A" w:rsidRDefault="004B6A3A" w:rsidP="00CB1366">
      <w:pPr>
        <w:spacing w:after="160" w:line="259" w:lineRule="auto"/>
        <w:sectPr w:rsidR="004B6A3A" w:rsidSect="004B6A3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1366" w:rsidRDefault="00CB1366" w:rsidP="00CB1366">
      <w:pPr>
        <w:spacing w:after="160" w:line="259" w:lineRule="auto"/>
      </w:pPr>
    </w:p>
    <w:p w:rsidR="00CB1366" w:rsidRPr="00683434" w:rsidRDefault="00CB1366" w:rsidP="00CB1366">
      <w:pPr>
        <w:pStyle w:val="Heading2"/>
        <w:rPr>
          <w:color w:val="auto"/>
        </w:rPr>
      </w:pPr>
      <w:bookmarkStart w:id="2" w:name="_Toc422224254"/>
      <w:r w:rsidRPr="00683434">
        <w:rPr>
          <w:color w:val="auto"/>
        </w:rPr>
        <w:t>Appendix 2: Evidence Quality Assessment</w:t>
      </w:r>
      <w:bookmarkEnd w:id="2"/>
      <w:r w:rsidRPr="00683434">
        <w:rPr>
          <w:color w:val="auto"/>
        </w:rPr>
        <w:t xml:space="preserve"> </w:t>
      </w:r>
    </w:p>
    <w:p w:rsidR="00CB1366" w:rsidRPr="00FA6F5E" w:rsidRDefault="00CB1366" w:rsidP="00CB1366">
      <w:pPr>
        <w:pStyle w:val="TableTitle"/>
      </w:pPr>
      <w:bookmarkStart w:id="3" w:name="_Toc420672170"/>
      <w:r>
        <w:t>Table A</w:t>
      </w:r>
      <w:r w:rsidRPr="00FA6F5E">
        <w:t>1</w:t>
      </w:r>
      <w:r>
        <w:t xml:space="preserve">: GRADE Evidence Profile for Comparison of </w:t>
      </w:r>
      <w:r w:rsidRPr="00FA6F5E">
        <w:t>Mechanical Thrombectomy</w:t>
      </w:r>
      <w:r w:rsidR="00F846BB">
        <w:t xml:space="preserve"> and Best Medical Therapy</w:t>
      </w:r>
      <w:r>
        <w:t xml:space="preserve"> on</w:t>
      </w:r>
      <w:r w:rsidRPr="00FA6F5E">
        <w:t xml:space="preserve"> Clinical Outcomes</w:t>
      </w:r>
      <w:bookmarkEnd w:id="3"/>
      <w:r>
        <w:t xml:space="preserve"> </w:t>
      </w:r>
    </w:p>
    <w:tbl>
      <w:tblPr>
        <w:tblW w:w="12508" w:type="dxa"/>
        <w:tblLook w:val="00A0" w:firstRow="1" w:lastRow="0" w:firstColumn="1" w:lastColumn="0" w:noHBand="0" w:noVBand="0"/>
      </w:tblPr>
      <w:tblGrid>
        <w:gridCol w:w="1647"/>
        <w:gridCol w:w="1438"/>
        <w:gridCol w:w="1418"/>
        <w:gridCol w:w="1417"/>
        <w:gridCol w:w="1647"/>
        <w:gridCol w:w="1647"/>
        <w:gridCol w:w="1647"/>
        <w:gridCol w:w="1647"/>
      </w:tblGrid>
      <w:tr w:rsidR="00CB1366" w:rsidRPr="00FD14BF" w:rsidTr="00281331">
        <w:tc>
          <w:tcPr>
            <w:tcW w:w="164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C0C0C0"/>
          </w:tcPr>
          <w:p w:rsidR="00CB1366" w:rsidRPr="00777032" w:rsidRDefault="00CB1366" w:rsidP="00281331">
            <w:pPr>
              <w:spacing w:before="12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Number </w:t>
            </w:r>
            <w:r w:rsidRPr="00777032">
              <w:rPr>
                <w:rFonts w:cs="Arial"/>
                <w:b/>
                <w:sz w:val="16"/>
                <w:szCs w:val="16"/>
              </w:rPr>
              <w:t>of Studies (Design)</w:t>
            </w:r>
          </w:p>
        </w:tc>
        <w:tc>
          <w:tcPr>
            <w:tcW w:w="143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C0C0C0"/>
          </w:tcPr>
          <w:p w:rsidR="00CB1366" w:rsidRPr="00777032" w:rsidRDefault="00CB1366" w:rsidP="00281331">
            <w:pPr>
              <w:spacing w:before="12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777032">
              <w:rPr>
                <w:rFonts w:cs="Arial"/>
                <w:b/>
                <w:sz w:val="16"/>
                <w:szCs w:val="16"/>
              </w:rPr>
              <w:t>Risk of Bias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C0C0C0"/>
          </w:tcPr>
          <w:p w:rsidR="00CB1366" w:rsidRPr="00777032" w:rsidRDefault="00CB1366" w:rsidP="00281331">
            <w:pPr>
              <w:spacing w:before="12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777032">
              <w:rPr>
                <w:rFonts w:cs="Arial"/>
                <w:b/>
                <w:sz w:val="16"/>
                <w:szCs w:val="16"/>
              </w:rPr>
              <w:t>Inconsistency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C0C0C0"/>
          </w:tcPr>
          <w:p w:rsidR="00CB1366" w:rsidRPr="00777032" w:rsidRDefault="00CB1366" w:rsidP="00281331">
            <w:pPr>
              <w:spacing w:before="12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777032">
              <w:rPr>
                <w:rFonts w:cs="Arial"/>
                <w:b/>
                <w:sz w:val="16"/>
                <w:szCs w:val="16"/>
              </w:rPr>
              <w:t>Indirectness</w:t>
            </w:r>
          </w:p>
        </w:tc>
        <w:tc>
          <w:tcPr>
            <w:tcW w:w="164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C0C0C0"/>
          </w:tcPr>
          <w:p w:rsidR="00CB1366" w:rsidRPr="00777032" w:rsidRDefault="00CB1366" w:rsidP="00281331">
            <w:pPr>
              <w:spacing w:before="12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777032">
              <w:rPr>
                <w:rFonts w:cs="Arial"/>
                <w:b/>
                <w:sz w:val="16"/>
                <w:szCs w:val="16"/>
              </w:rPr>
              <w:t>Imprecision</w:t>
            </w:r>
          </w:p>
        </w:tc>
        <w:tc>
          <w:tcPr>
            <w:tcW w:w="164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C0C0C0"/>
          </w:tcPr>
          <w:p w:rsidR="00CB1366" w:rsidRPr="00777032" w:rsidRDefault="00CB1366" w:rsidP="00281331">
            <w:pPr>
              <w:spacing w:before="12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777032">
              <w:rPr>
                <w:rFonts w:cs="Arial"/>
                <w:b/>
                <w:sz w:val="16"/>
                <w:szCs w:val="16"/>
              </w:rPr>
              <w:t>Publication Bias</w:t>
            </w:r>
          </w:p>
        </w:tc>
        <w:tc>
          <w:tcPr>
            <w:tcW w:w="164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C0C0C0"/>
          </w:tcPr>
          <w:p w:rsidR="00CB1366" w:rsidRPr="00777032" w:rsidRDefault="00CB1366" w:rsidP="00281331">
            <w:pPr>
              <w:spacing w:before="12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777032">
              <w:rPr>
                <w:rFonts w:cs="Arial"/>
                <w:b/>
                <w:sz w:val="16"/>
                <w:szCs w:val="16"/>
              </w:rPr>
              <w:t>Upgrade Considerations</w:t>
            </w:r>
          </w:p>
        </w:tc>
        <w:tc>
          <w:tcPr>
            <w:tcW w:w="164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C0C0C0"/>
          </w:tcPr>
          <w:p w:rsidR="00CB1366" w:rsidRPr="00777032" w:rsidRDefault="00CB1366" w:rsidP="00281331">
            <w:pPr>
              <w:spacing w:before="12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777032">
              <w:rPr>
                <w:rFonts w:cs="Arial"/>
                <w:b/>
                <w:sz w:val="16"/>
                <w:szCs w:val="16"/>
              </w:rPr>
              <w:t>Quality</w:t>
            </w:r>
          </w:p>
        </w:tc>
      </w:tr>
      <w:tr w:rsidR="00460FC8" w:rsidRPr="00165BD2" w:rsidTr="002F18F6">
        <w:tc>
          <w:tcPr>
            <w:tcW w:w="1250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460FC8" w:rsidRPr="00165BD2" w:rsidRDefault="00460FC8" w:rsidP="0028133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Functional Independence (mRS)</w:t>
            </w:r>
          </w:p>
        </w:tc>
      </w:tr>
      <w:tr w:rsidR="00CB1366" w:rsidRPr="00165BD2" w:rsidTr="00281331"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BD2">
              <w:rPr>
                <w:rFonts w:cs="Arial"/>
                <w:sz w:val="16"/>
                <w:szCs w:val="16"/>
              </w:rPr>
              <w:t>5 (RCTs)</w:t>
            </w:r>
          </w:p>
          <w:p w:rsidR="00CB1366" w:rsidRPr="00165BD2" w:rsidRDefault="00CB1366" w:rsidP="0028133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 w:rsidR="00CB1366" w:rsidRPr="00165BD2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  <w:r w:rsidRPr="00165BD2">
              <w:rPr>
                <w:rFonts w:cs="Arial"/>
                <w:sz w:val="16"/>
                <w:szCs w:val="16"/>
              </w:rPr>
              <w:t>No serious limitations</w:t>
            </w:r>
          </w:p>
          <w:p w:rsidR="00CB1366" w:rsidRPr="00165BD2" w:rsidRDefault="00CB1366" w:rsidP="0028133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CB1366" w:rsidRPr="00165BD2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  <w:r w:rsidRPr="00165BD2">
              <w:rPr>
                <w:rFonts w:cs="Arial"/>
                <w:sz w:val="16"/>
                <w:szCs w:val="16"/>
              </w:rPr>
              <w:t>No serious limitations</w:t>
            </w:r>
          </w:p>
          <w:p w:rsidR="00CB1366" w:rsidRPr="00165BD2" w:rsidRDefault="00CB1366" w:rsidP="0028133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B1366" w:rsidRPr="00165BD2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  <w:r w:rsidRPr="00165BD2">
              <w:rPr>
                <w:rFonts w:cs="Arial"/>
                <w:sz w:val="16"/>
                <w:szCs w:val="16"/>
              </w:rPr>
              <w:t>No serious limitations</w:t>
            </w:r>
          </w:p>
          <w:p w:rsidR="00CB1366" w:rsidRPr="00165BD2" w:rsidRDefault="00CB1366" w:rsidP="0028133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</w:tcPr>
          <w:p w:rsidR="00CB1366" w:rsidRPr="0017467A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  <w:r w:rsidRPr="00165BD2">
              <w:rPr>
                <w:rFonts w:cs="Arial"/>
                <w:sz w:val="16"/>
                <w:szCs w:val="16"/>
              </w:rPr>
              <w:t>No serious limitations</w:t>
            </w:r>
            <w:r>
              <w:rPr>
                <w:rFonts w:cs="Arial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</w:tcPr>
          <w:p w:rsidR="00CB1366" w:rsidRPr="00165BD2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  <w:r w:rsidRPr="00165BD2">
              <w:rPr>
                <w:rFonts w:cs="Arial"/>
                <w:sz w:val="16"/>
                <w:szCs w:val="16"/>
              </w:rPr>
              <w:t>Undetected</w:t>
            </w:r>
          </w:p>
          <w:p w:rsidR="00CB1366" w:rsidRPr="00165BD2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</w:tcPr>
          <w:p w:rsidR="00CB1366" w:rsidRPr="00165BD2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other considerations</w:t>
            </w: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</w:tcPr>
          <w:p w:rsidR="00CB1366" w:rsidRPr="00165BD2" w:rsidRDefault="00CB1366" w:rsidP="00281331">
            <w:pPr>
              <w:spacing w:after="40"/>
              <w:ind w:left="27" w:hanging="27"/>
              <w:rPr>
                <w:rFonts w:cs="Arial"/>
                <w:sz w:val="16"/>
                <w:szCs w:val="16"/>
              </w:rPr>
            </w:pPr>
            <w:r w:rsidRPr="00165BD2">
              <w:rPr>
                <w:rFonts w:ascii="Cambria Math" w:hAnsi="Cambria Math" w:cs="Cambria Math"/>
                <w:sz w:val="16"/>
                <w:szCs w:val="16"/>
              </w:rPr>
              <w:t>⊕⊕⊕⊕</w:t>
            </w:r>
            <w:r w:rsidRPr="00165BD2">
              <w:rPr>
                <w:rFonts w:cs="Arial"/>
                <w:sz w:val="16"/>
                <w:szCs w:val="16"/>
              </w:rPr>
              <w:t xml:space="preserve"> High</w:t>
            </w:r>
          </w:p>
          <w:p w:rsidR="00CB1366" w:rsidRPr="00165BD2" w:rsidRDefault="00CB1366" w:rsidP="0028133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CB1366" w:rsidRPr="00165BD2" w:rsidTr="00281331"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Mortality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B1366" w:rsidRPr="00165BD2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B1366" w:rsidRPr="00165BD2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B1366" w:rsidRPr="00165BD2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B1366" w:rsidRPr="00165BD2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B1366" w:rsidRPr="00165BD2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B1366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B1366" w:rsidRPr="00165BD2" w:rsidRDefault="00CB1366" w:rsidP="00281331">
            <w:pPr>
              <w:spacing w:after="40"/>
              <w:ind w:left="27" w:hanging="27"/>
              <w:rPr>
                <w:rFonts w:ascii="Cambria Math" w:hAnsi="Cambria Math" w:cs="Cambria Math"/>
                <w:sz w:val="16"/>
                <w:szCs w:val="16"/>
              </w:rPr>
            </w:pPr>
          </w:p>
        </w:tc>
      </w:tr>
      <w:tr w:rsidR="00CB1366" w:rsidRPr="00165BD2" w:rsidTr="00281331"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BD2">
              <w:rPr>
                <w:rFonts w:cs="Arial"/>
                <w:sz w:val="16"/>
                <w:szCs w:val="16"/>
              </w:rPr>
              <w:t>5 (RCTs)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 w:rsidR="00CB1366" w:rsidRPr="00165BD2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serious limitations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CB1366" w:rsidRPr="00165BD2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  <w:r w:rsidRPr="00165BD2">
              <w:rPr>
                <w:rFonts w:cs="Arial"/>
                <w:sz w:val="16"/>
                <w:szCs w:val="16"/>
              </w:rPr>
              <w:t>No serious limitations</w:t>
            </w:r>
          </w:p>
          <w:p w:rsidR="00CB1366" w:rsidRPr="00165BD2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B1366" w:rsidRPr="00165BD2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 serious limitations </w:t>
            </w: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</w:tcPr>
          <w:p w:rsidR="00CB1366" w:rsidRPr="00165BD2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  <w:r w:rsidRPr="00165BD2">
              <w:rPr>
                <w:rFonts w:cs="Arial"/>
                <w:sz w:val="16"/>
                <w:szCs w:val="16"/>
              </w:rPr>
              <w:t>Serious limitations (–1)</w:t>
            </w:r>
            <w:r>
              <w:rPr>
                <w:rFonts w:cs="Arial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</w:tcPr>
          <w:p w:rsidR="00CB1366" w:rsidRPr="00165BD2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  <w:r w:rsidRPr="00165BD2">
              <w:rPr>
                <w:rFonts w:cs="Arial"/>
                <w:sz w:val="16"/>
                <w:szCs w:val="16"/>
              </w:rPr>
              <w:t>Undetected</w:t>
            </w:r>
          </w:p>
          <w:p w:rsidR="00CB1366" w:rsidRPr="00165BD2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</w:tcPr>
          <w:p w:rsidR="00CB1366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other considerations</w:t>
            </w: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</w:tcPr>
          <w:p w:rsidR="00CB1366" w:rsidRPr="00165BD2" w:rsidRDefault="00CB1366" w:rsidP="00281331">
            <w:pPr>
              <w:spacing w:after="40"/>
              <w:ind w:left="27" w:hanging="27"/>
              <w:rPr>
                <w:rFonts w:ascii="Cambria Math" w:hAnsi="Cambria Math" w:cs="Cambria Math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⊕⊕⊕</w:t>
            </w:r>
            <w:r>
              <w:rPr>
                <w:rFonts w:cs="Arial"/>
                <w:sz w:val="16"/>
                <w:szCs w:val="16"/>
              </w:rPr>
              <w:t xml:space="preserve"> Moderate</w:t>
            </w:r>
          </w:p>
        </w:tc>
      </w:tr>
      <w:tr w:rsidR="00CB1366" w:rsidRPr="00165BD2" w:rsidTr="00281331"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SICH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B1366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B1366" w:rsidRPr="00165BD2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B1366" w:rsidRPr="00165BD2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B1366" w:rsidRPr="00165BD2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B1366" w:rsidRPr="00165BD2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B1366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B1366" w:rsidRPr="00165BD2" w:rsidRDefault="00CB1366" w:rsidP="00281331">
            <w:pPr>
              <w:spacing w:after="40"/>
              <w:ind w:left="27" w:hanging="27"/>
              <w:rPr>
                <w:rFonts w:ascii="Cambria Math" w:hAnsi="Cambria Math" w:cs="Cambria Math"/>
                <w:sz w:val="16"/>
                <w:szCs w:val="16"/>
              </w:rPr>
            </w:pPr>
          </w:p>
        </w:tc>
      </w:tr>
      <w:tr w:rsidR="00CB1366" w:rsidRPr="00165BD2" w:rsidTr="00281331"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BD2">
              <w:rPr>
                <w:rFonts w:cs="Arial"/>
                <w:sz w:val="16"/>
                <w:szCs w:val="16"/>
              </w:rPr>
              <w:t>5 (RCTs)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 w:rsidR="00CB1366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serious limitations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CB1366" w:rsidRPr="00165BD2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  <w:r w:rsidRPr="00165BD2">
              <w:rPr>
                <w:rFonts w:cs="Arial"/>
                <w:sz w:val="16"/>
                <w:szCs w:val="16"/>
              </w:rPr>
              <w:t>No serious limitations</w:t>
            </w:r>
          </w:p>
          <w:p w:rsidR="00CB1366" w:rsidRPr="00165BD2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B1366" w:rsidRPr="00165BD2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s</w:t>
            </w:r>
            <w:r w:rsidRPr="00165BD2">
              <w:rPr>
                <w:rFonts w:cs="Arial"/>
                <w:sz w:val="16"/>
                <w:szCs w:val="16"/>
              </w:rPr>
              <w:t>eri</w:t>
            </w:r>
            <w:r>
              <w:rPr>
                <w:rFonts w:cs="Arial"/>
                <w:sz w:val="16"/>
                <w:szCs w:val="16"/>
              </w:rPr>
              <w:t>ous limitations</w:t>
            </w: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</w:tcPr>
          <w:p w:rsidR="00CB1366" w:rsidRPr="004363CD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  <w:r w:rsidRPr="00165BD2">
              <w:rPr>
                <w:rFonts w:cs="Arial"/>
                <w:sz w:val="16"/>
                <w:szCs w:val="16"/>
              </w:rPr>
              <w:t>Serious limitations (–1)</w:t>
            </w:r>
            <w:r>
              <w:rPr>
                <w:rFonts w:cs="Arial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</w:tcPr>
          <w:p w:rsidR="00CB1366" w:rsidRPr="00165BD2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  <w:r w:rsidRPr="00165BD2">
              <w:rPr>
                <w:rFonts w:cs="Arial"/>
                <w:sz w:val="16"/>
                <w:szCs w:val="16"/>
              </w:rPr>
              <w:t>Undetected</w:t>
            </w:r>
          </w:p>
          <w:p w:rsidR="00CB1366" w:rsidRPr="00165BD2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</w:tcPr>
          <w:p w:rsidR="00CB1366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other considerations</w:t>
            </w: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</w:tcPr>
          <w:p w:rsidR="00CB1366" w:rsidRPr="00165BD2" w:rsidRDefault="00CB1366" w:rsidP="00281331">
            <w:pPr>
              <w:spacing w:after="40"/>
              <w:ind w:left="27" w:hanging="27"/>
              <w:rPr>
                <w:rFonts w:cs="Arial"/>
                <w:sz w:val="16"/>
                <w:szCs w:val="16"/>
              </w:rPr>
            </w:pPr>
            <w:r w:rsidRPr="00165BD2">
              <w:rPr>
                <w:rFonts w:ascii="Cambria Math" w:hAnsi="Cambria Math" w:cs="Cambria Math"/>
                <w:sz w:val="16"/>
                <w:szCs w:val="16"/>
              </w:rPr>
              <w:t>⊕⊕⊕</w:t>
            </w:r>
            <w:r w:rsidRPr="00165BD2">
              <w:rPr>
                <w:rFonts w:cs="Arial"/>
                <w:sz w:val="16"/>
                <w:szCs w:val="16"/>
              </w:rPr>
              <w:t xml:space="preserve"> Moderate</w:t>
            </w:r>
          </w:p>
          <w:p w:rsidR="00CB1366" w:rsidRPr="00165BD2" w:rsidRDefault="00CB1366" w:rsidP="00281331">
            <w:pPr>
              <w:spacing w:after="40"/>
              <w:ind w:left="27" w:hanging="27"/>
              <w:rPr>
                <w:rFonts w:ascii="Cambria Math" w:hAnsi="Cambria Math" w:cs="Cambria Math"/>
                <w:sz w:val="16"/>
                <w:szCs w:val="16"/>
              </w:rPr>
            </w:pPr>
          </w:p>
        </w:tc>
      </w:tr>
      <w:tr w:rsidR="00CB1366" w:rsidRPr="00165BD2" w:rsidTr="00281331"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CB1366" w:rsidRPr="00165BD2" w:rsidRDefault="00CB1366" w:rsidP="00281331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Reperfusion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CB1366" w:rsidRPr="00165BD2" w:rsidTr="00281331"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 (RCTs)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 w:rsidR="00CB1366" w:rsidRPr="00165BD2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serious limitations</w:t>
            </w:r>
          </w:p>
          <w:p w:rsidR="00CB1366" w:rsidRPr="00165BD2" w:rsidRDefault="00CB1366" w:rsidP="0028133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CB1366" w:rsidRPr="00165BD2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  <w:r w:rsidRPr="00165BD2">
              <w:rPr>
                <w:rFonts w:cs="Arial"/>
                <w:sz w:val="16"/>
                <w:szCs w:val="16"/>
              </w:rPr>
              <w:t>No serious limitations</w:t>
            </w:r>
          </w:p>
          <w:p w:rsidR="00CB1366" w:rsidRPr="00165BD2" w:rsidRDefault="00CB1366" w:rsidP="0028133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B1366" w:rsidRPr="00165BD2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serious limitations</w:t>
            </w:r>
            <w:r>
              <w:rPr>
                <w:rFonts w:cs="Arial"/>
                <w:sz w:val="16"/>
                <w:szCs w:val="16"/>
                <w:vertAlign w:val="superscript"/>
              </w:rPr>
              <w:t>b</w:t>
            </w:r>
          </w:p>
          <w:p w:rsidR="00CB1366" w:rsidRPr="00165BD2" w:rsidRDefault="00CB1366" w:rsidP="0028133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</w:tcPr>
          <w:p w:rsidR="00CB1366" w:rsidRPr="002E6EE1" w:rsidRDefault="00CB1366" w:rsidP="00281331">
            <w:pPr>
              <w:spacing w:after="4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165BD2">
              <w:rPr>
                <w:rFonts w:cs="Arial"/>
                <w:sz w:val="16"/>
                <w:szCs w:val="16"/>
              </w:rPr>
              <w:t>erious limitations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65BD2">
              <w:rPr>
                <w:rFonts w:cs="Arial"/>
                <w:sz w:val="16"/>
                <w:szCs w:val="16"/>
              </w:rPr>
              <w:t>(–1)</w:t>
            </w:r>
            <w:r>
              <w:rPr>
                <w:rFonts w:cs="Arial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</w:tcPr>
          <w:p w:rsidR="00CB1366" w:rsidRPr="00165BD2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  <w:r w:rsidRPr="00165BD2">
              <w:rPr>
                <w:rFonts w:cs="Arial"/>
                <w:sz w:val="16"/>
                <w:szCs w:val="16"/>
              </w:rPr>
              <w:t>Undetected</w:t>
            </w:r>
          </w:p>
          <w:p w:rsidR="00CB1366" w:rsidRPr="00165BD2" w:rsidRDefault="00CB1366" w:rsidP="0028133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</w:tcPr>
          <w:p w:rsidR="00CB1366" w:rsidRPr="00165BD2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other considerations</w:t>
            </w: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</w:tcPr>
          <w:p w:rsidR="00CB1366" w:rsidRPr="00165BD2" w:rsidRDefault="00CB1366" w:rsidP="00281331">
            <w:pPr>
              <w:spacing w:after="40"/>
              <w:ind w:left="27" w:hanging="27"/>
              <w:rPr>
                <w:rFonts w:cs="Arial"/>
                <w:sz w:val="16"/>
                <w:szCs w:val="16"/>
              </w:rPr>
            </w:pPr>
            <w:r w:rsidRPr="00165BD2">
              <w:rPr>
                <w:rFonts w:ascii="Cambria Math" w:hAnsi="Cambria Math" w:cs="Cambria Math"/>
                <w:sz w:val="16"/>
                <w:szCs w:val="16"/>
              </w:rPr>
              <w:t>⊕⊕⊕</w:t>
            </w:r>
            <w:r>
              <w:rPr>
                <w:rFonts w:cs="Arial"/>
                <w:sz w:val="16"/>
                <w:szCs w:val="16"/>
              </w:rPr>
              <w:t xml:space="preserve"> Moderate</w:t>
            </w:r>
          </w:p>
          <w:p w:rsidR="00CB1366" w:rsidRPr="00165BD2" w:rsidRDefault="00CB1366" w:rsidP="00281331">
            <w:pPr>
              <w:spacing w:after="40"/>
              <w:ind w:left="27" w:hanging="27"/>
              <w:rPr>
                <w:rFonts w:cs="Arial"/>
                <w:sz w:val="16"/>
                <w:szCs w:val="16"/>
              </w:rPr>
            </w:pPr>
          </w:p>
        </w:tc>
      </w:tr>
      <w:tr w:rsidR="00CB1366" w:rsidRPr="00165BD2" w:rsidTr="00281331"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CB1366" w:rsidRPr="00165BD2" w:rsidRDefault="00CB1366" w:rsidP="00281331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Recanalization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CB1366" w:rsidRPr="00165BD2" w:rsidTr="00281331"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B1366" w:rsidRPr="006433EA" w:rsidRDefault="00CB1366" w:rsidP="0028133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433EA">
              <w:rPr>
                <w:rFonts w:cs="Arial"/>
                <w:sz w:val="16"/>
                <w:szCs w:val="16"/>
              </w:rPr>
              <w:t>3 (RCTs)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B1366" w:rsidRPr="00165BD2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serious limitations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B1366" w:rsidRPr="00165BD2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  <w:r w:rsidRPr="00165BD2">
              <w:rPr>
                <w:rFonts w:cs="Arial"/>
                <w:sz w:val="16"/>
                <w:szCs w:val="16"/>
              </w:rPr>
              <w:t>No serious limitations</w:t>
            </w:r>
          </w:p>
          <w:p w:rsidR="00CB1366" w:rsidRPr="00165BD2" w:rsidRDefault="00CB1366" w:rsidP="0028133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B1366" w:rsidRPr="00165BD2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  <w:r w:rsidRPr="00165BD2">
              <w:rPr>
                <w:rFonts w:cs="Arial"/>
                <w:sz w:val="16"/>
                <w:szCs w:val="16"/>
              </w:rPr>
              <w:t>Serious limitations (–1)</w:t>
            </w:r>
            <w:r>
              <w:rPr>
                <w:rFonts w:cs="Arial"/>
                <w:sz w:val="16"/>
                <w:szCs w:val="16"/>
                <w:vertAlign w:val="superscript"/>
              </w:rPr>
              <w:t>c</w:t>
            </w:r>
          </w:p>
          <w:p w:rsidR="00CB1366" w:rsidRPr="00165BD2" w:rsidRDefault="00CB1366" w:rsidP="0028133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B1366" w:rsidRPr="002E6EE1" w:rsidRDefault="00CB1366" w:rsidP="00281331">
            <w:pPr>
              <w:spacing w:after="40"/>
              <w:rPr>
                <w:rFonts w:cs="Arial"/>
                <w:sz w:val="16"/>
                <w:szCs w:val="16"/>
                <w:vertAlign w:val="superscript"/>
              </w:rPr>
            </w:pPr>
            <w:r w:rsidRPr="00165BD2">
              <w:rPr>
                <w:rFonts w:cs="Arial"/>
                <w:sz w:val="16"/>
                <w:szCs w:val="16"/>
              </w:rPr>
              <w:t>Serious limitations (–1)</w:t>
            </w:r>
            <w:r>
              <w:rPr>
                <w:rFonts w:cs="Arial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B1366" w:rsidRPr="00165BD2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  <w:r w:rsidRPr="00165BD2">
              <w:rPr>
                <w:rFonts w:cs="Arial"/>
                <w:sz w:val="16"/>
                <w:szCs w:val="16"/>
              </w:rPr>
              <w:t>Undetected</w:t>
            </w:r>
          </w:p>
          <w:p w:rsidR="00CB1366" w:rsidRPr="00165BD2" w:rsidRDefault="00CB1366" w:rsidP="0028133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B1366" w:rsidRPr="00165BD2" w:rsidRDefault="00CB1366" w:rsidP="00281331">
            <w:pPr>
              <w:spacing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other considerations</w:t>
            </w: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B1366" w:rsidRPr="00165BD2" w:rsidRDefault="00CB1366" w:rsidP="00281331">
            <w:pPr>
              <w:spacing w:after="40"/>
              <w:ind w:left="27" w:hanging="27"/>
              <w:rPr>
                <w:rFonts w:cs="Arial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⊕⊕</w:t>
            </w:r>
            <w:r>
              <w:rPr>
                <w:rFonts w:cs="Arial"/>
                <w:sz w:val="16"/>
                <w:szCs w:val="16"/>
              </w:rPr>
              <w:t xml:space="preserve"> Low</w:t>
            </w:r>
          </w:p>
          <w:p w:rsidR="00CB1366" w:rsidRPr="00165BD2" w:rsidRDefault="00CB1366" w:rsidP="00281331">
            <w:pPr>
              <w:spacing w:after="40"/>
              <w:ind w:left="27" w:hanging="27"/>
              <w:rPr>
                <w:rFonts w:cs="Arial"/>
                <w:sz w:val="16"/>
                <w:szCs w:val="16"/>
              </w:rPr>
            </w:pPr>
          </w:p>
        </w:tc>
      </w:tr>
    </w:tbl>
    <w:p w:rsidR="00CB1366" w:rsidRDefault="00CB1366" w:rsidP="00CB1366">
      <w:pPr>
        <w:pStyle w:val="TableFootnote"/>
      </w:pPr>
      <w:r w:rsidRPr="00165BD2">
        <w:t>Abbreviations</w:t>
      </w:r>
      <w:r>
        <w:t>: mRS, modified rankin</w:t>
      </w:r>
      <w:r w:rsidR="004B4680">
        <w:t xml:space="preserve"> scale;</w:t>
      </w:r>
      <w:r>
        <w:t xml:space="preserve"> SICH, symptomatic intracranial hemorrhage</w:t>
      </w:r>
    </w:p>
    <w:p w:rsidR="00CB1366" w:rsidRPr="008C5199" w:rsidRDefault="00CB1366" w:rsidP="00CB1366">
      <w:pPr>
        <w:rPr>
          <w:sz w:val="14"/>
          <w:szCs w:val="14"/>
        </w:rPr>
      </w:pPr>
      <w:r>
        <w:rPr>
          <w:sz w:val="14"/>
          <w:szCs w:val="14"/>
          <w:vertAlign w:val="superscript"/>
        </w:rPr>
        <w:t>a</w:t>
      </w:r>
      <w:r>
        <w:rPr>
          <w:sz w:val="14"/>
          <w:szCs w:val="14"/>
        </w:rPr>
        <w:t xml:space="preserve">Optimal information size (OIS) may not be met for this outcome as 4 out of 5 RCTs were stopped early. </w:t>
      </w:r>
    </w:p>
    <w:p w:rsidR="00CB1366" w:rsidRDefault="00CB1366" w:rsidP="00CB1366">
      <w:pPr>
        <w:rPr>
          <w:sz w:val="14"/>
          <w:szCs w:val="14"/>
        </w:rPr>
      </w:pPr>
      <w:r>
        <w:rPr>
          <w:sz w:val="14"/>
          <w:szCs w:val="14"/>
          <w:vertAlign w:val="superscript"/>
        </w:rPr>
        <w:t>b</w:t>
      </w:r>
      <w:r>
        <w:rPr>
          <w:sz w:val="14"/>
          <w:szCs w:val="14"/>
        </w:rPr>
        <w:t xml:space="preserve">Reperfusion can be considered a surrogate outcome. </w:t>
      </w:r>
    </w:p>
    <w:p w:rsidR="00CB1366" w:rsidRDefault="00CB1366" w:rsidP="00CB1366">
      <w:pPr>
        <w:rPr>
          <w:sz w:val="14"/>
          <w:szCs w:val="14"/>
        </w:rPr>
      </w:pPr>
      <w:r>
        <w:rPr>
          <w:sz w:val="14"/>
          <w:szCs w:val="14"/>
          <w:vertAlign w:val="superscript"/>
        </w:rPr>
        <w:t>c</w:t>
      </w:r>
      <w:r>
        <w:rPr>
          <w:sz w:val="14"/>
          <w:szCs w:val="14"/>
        </w:rPr>
        <w:t xml:space="preserve">Recanalization can be considered a surrogate outcome. </w:t>
      </w:r>
    </w:p>
    <w:p w:rsidR="00CB1366" w:rsidRDefault="00CB1366" w:rsidP="00CB1366">
      <w:pPr>
        <w:tabs>
          <w:tab w:val="left" w:pos="7710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:rsidR="00CB1366" w:rsidRDefault="00CB1366" w:rsidP="00CB1366">
      <w:pPr>
        <w:rPr>
          <w:rFonts w:cs="Arial"/>
          <w:sz w:val="16"/>
          <w:szCs w:val="16"/>
        </w:rPr>
      </w:pPr>
    </w:p>
    <w:p w:rsidR="00CB1366" w:rsidRDefault="00CB1366" w:rsidP="00CB1366">
      <w:pPr>
        <w:rPr>
          <w:b/>
          <w:sz w:val="20"/>
        </w:rPr>
      </w:pPr>
      <w:r>
        <w:br w:type="page"/>
      </w:r>
    </w:p>
    <w:p w:rsidR="00CB1366" w:rsidRPr="00A2548B" w:rsidRDefault="00CB1366" w:rsidP="00CB1366">
      <w:pPr>
        <w:pStyle w:val="TableTitle"/>
      </w:pPr>
      <w:bookmarkStart w:id="4" w:name="_Toc420672171"/>
      <w:r w:rsidRPr="00A2548B">
        <w:lastRenderedPageBreak/>
        <w:t>Table A2: Risk of Bias Among Randomized Controlled Trials for the Comparison of Mechanical Thrombectomy and Clinical Outcomes</w:t>
      </w:r>
      <w:bookmarkEnd w:id="4"/>
    </w:p>
    <w:tbl>
      <w:tblPr>
        <w:tblW w:w="13149" w:type="dxa"/>
        <w:tblLook w:val="00A0" w:firstRow="1" w:lastRow="0" w:firstColumn="1" w:lastColumn="0" w:noHBand="0" w:noVBand="0"/>
      </w:tblPr>
      <w:tblGrid>
        <w:gridCol w:w="2191"/>
        <w:gridCol w:w="2192"/>
        <w:gridCol w:w="2191"/>
        <w:gridCol w:w="2192"/>
        <w:gridCol w:w="2191"/>
        <w:gridCol w:w="2192"/>
      </w:tblGrid>
      <w:tr w:rsidR="00CB1366" w:rsidTr="00281331">
        <w:tc>
          <w:tcPr>
            <w:tcW w:w="219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C0C0C0"/>
          </w:tcPr>
          <w:p w:rsidR="00CB1366" w:rsidRPr="00777032" w:rsidRDefault="00CB1366" w:rsidP="00281331">
            <w:pPr>
              <w:spacing w:before="12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777032">
              <w:rPr>
                <w:rFonts w:cs="Arial"/>
                <w:b/>
                <w:sz w:val="18"/>
                <w:szCs w:val="18"/>
              </w:rPr>
              <w:t>Author, Year</w:t>
            </w:r>
          </w:p>
        </w:tc>
        <w:tc>
          <w:tcPr>
            <w:tcW w:w="219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C0C0C0"/>
          </w:tcPr>
          <w:p w:rsidR="00CB1366" w:rsidRPr="00022C67" w:rsidRDefault="00CB1366" w:rsidP="00281331">
            <w:pPr>
              <w:spacing w:before="120" w:after="40"/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777032">
              <w:rPr>
                <w:rFonts w:cs="Arial"/>
                <w:b/>
                <w:sz w:val="18"/>
                <w:szCs w:val="18"/>
              </w:rPr>
              <w:t>Allocation Concealment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19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C0C0C0"/>
          </w:tcPr>
          <w:p w:rsidR="00CB1366" w:rsidRPr="00057849" w:rsidRDefault="00CB1366" w:rsidP="00281331">
            <w:pPr>
              <w:spacing w:before="12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777032">
              <w:rPr>
                <w:rFonts w:cs="Arial"/>
                <w:b/>
                <w:sz w:val="18"/>
                <w:szCs w:val="18"/>
              </w:rPr>
              <w:t>Blinding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19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C0C0C0"/>
          </w:tcPr>
          <w:p w:rsidR="00CB1366" w:rsidRPr="00777032" w:rsidRDefault="00CB1366" w:rsidP="00281331">
            <w:pPr>
              <w:spacing w:before="12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777032">
              <w:rPr>
                <w:rFonts w:cs="Arial"/>
                <w:b/>
                <w:sz w:val="18"/>
                <w:szCs w:val="18"/>
              </w:rPr>
              <w:t>Complete Accounting of Patients and Outcome Events</w:t>
            </w:r>
          </w:p>
        </w:tc>
        <w:tc>
          <w:tcPr>
            <w:tcW w:w="219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C0C0C0"/>
          </w:tcPr>
          <w:p w:rsidR="00CB1366" w:rsidRPr="00777032" w:rsidRDefault="00CB1366" w:rsidP="00281331">
            <w:pPr>
              <w:spacing w:before="12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777032">
              <w:rPr>
                <w:rFonts w:cs="Arial"/>
                <w:b/>
                <w:sz w:val="18"/>
                <w:szCs w:val="18"/>
              </w:rPr>
              <w:t>Selective Reporting Bias</w:t>
            </w:r>
          </w:p>
        </w:tc>
        <w:tc>
          <w:tcPr>
            <w:tcW w:w="219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C0C0C0"/>
          </w:tcPr>
          <w:p w:rsidR="00CB1366" w:rsidRPr="00777032" w:rsidRDefault="00CB1366" w:rsidP="00281331">
            <w:pPr>
              <w:spacing w:before="12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777032">
              <w:rPr>
                <w:rFonts w:cs="Arial"/>
                <w:b/>
                <w:sz w:val="18"/>
                <w:szCs w:val="18"/>
              </w:rPr>
              <w:t>Other Limitations</w:t>
            </w:r>
          </w:p>
        </w:tc>
      </w:tr>
      <w:tr w:rsidR="00CB1366" w:rsidRPr="00165BD2" w:rsidTr="00281331">
        <w:tc>
          <w:tcPr>
            <w:tcW w:w="2191" w:type="dxa"/>
            <w:tcBorders>
              <w:top w:val="single" w:sz="4" w:space="0" w:color="000000"/>
            </w:tcBorders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Berkhemer et al, 2014</w:t>
            </w:r>
          </w:p>
        </w:tc>
        <w:tc>
          <w:tcPr>
            <w:tcW w:w="2192" w:type="dxa"/>
            <w:tcBorders>
              <w:top w:val="single" w:sz="4" w:space="0" w:color="000000"/>
            </w:tcBorders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65BD2">
              <w:rPr>
                <w:rFonts w:cs="Arial"/>
                <w:sz w:val="18"/>
                <w:szCs w:val="18"/>
              </w:rPr>
              <w:t>No limitations</w:t>
            </w:r>
          </w:p>
        </w:tc>
        <w:tc>
          <w:tcPr>
            <w:tcW w:w="2191" w:type="dxa"/>
            <w:tcBorders>
              <w:top w:val="single" w:sz="4" w:space="0" w:color="000000"/>
            </w:tcBorders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65BD2">
              <w:rPr>
                <w:rFonts w:cs="Arial"/>
                <w:sz w:val="18"/>
                <w:szCs w:val="18"/>
              </w:rPr>
              <w:t>No limitations</w:t>
            </w:r>
          </w:p>
        </w:tc>
        <w:tc>
          <w:tcPr>
            <w:tcW w:w="2192" w:type="dxa"/>
            <w:tcBorders>
              <w:top w:val="single" w:sz="4" w:space="0" w:color="000000"/>
            </w:tcBorders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65BD2">
              <w:rPr>
                <w:rFonts w:cs="Arial"/>
                <w:sz w:val="18"/>
                <w:szCs w:val="18"/>
              </w:rPr>
              <w:t>No limitations</w:t>
            </w:r>
          </w:p>
        </w:tc>
        <w:tc>
          <w:tcPr>
            <w:tcW w:w="2191" w:type="dxa"/>
            <w:tcBorders>
              <w:top w:val="single" w:sz="4" w:space="0" w:color="000000"/>
            </w:tcBorders>
          </w:tcPr>
          <w:p w:rsidR="00CB1366" w:rsidRPr="00420868" w:rsidRDefault="00CB1366" w:rsidP="00281331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165BD2">
              <w:rPr>
                <w:rFonts w:cs="Arial"/>
                <w:sz w:val="18"/>
                <w:szCs w:val="18"/>
              </w:rPr>
              <w:t>imitations</w:t>
            </w:r>
            <w:r>
              <w:rPr>
                <w:rFonts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2192" w:type="dxa"/>
            <w:tcBorders>
              <w:top w:val="single" w:sz="4" w:space="0" w:color="000000"/>
            </w:tcBorders>
          </w:tcPr>
          <w:p w:rsidR="00CB1366" w:rsidRPr="00817D1A" w:rsidRDefault="00CB1366" w:rsidP="00281331">
            <w:pPr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 w:rsidRPr="00165BD2">
              <w:rPr>
                <w:rFonts w:cs="Arial"/>
                <w:sz w:val="18"/>
                <w:szCs w:val="18"/>
              </w:rPr>
              <w:t>No limitations</w:t>
            </w:r>
            <w:r>
              <w:rPr>
                <w:rFonts w:cs="Arial"/>
                <w:sz w:val="18"/>
                <w:szCs w:val="18"/>
                <w:vertAlign w:val="superscript"/>
              </w:rPr>
              <w:t>f</w:t>
            </w:r>
          </w:p>
        </w:tc>
      </w:tr>
      <w:tr w:rsidR="00CB1366" w:rsidRPr="00165BD2" w:rsidTr="00281331">
        <w:tc>
          <w:tcPr>
            <w:tcW w:w="2191" w:type="dxa"/>
          </w:tcPr>
          <w:p w:rsidR="00CB1366" w:rsidRPr="00165BD2" w:rsidRDefault="00CB1366" w:rsidP="00281331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Campbell et al, 2015</w:t>
            </w:r>
          </w:p>
        </w:tc>
        <w:tc>
          <w:tcPr>
            <w:tcW w:w="2192" w:type="dxa"/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 w:rsidRPr="00165BD2">
              <w:rPr>
                <w:rFonts w:cs="Arial"/>
                <w:sz w:val="18"/>
                <w:szCs w:val="18"/>
              </w:rPr>
              <w:t>No limitations</w:t>
            </w:r>
          </w:p>
        </w:tc>
        <w:tc>
          <w:tcPr>
            <w:tcW w:w="2191" w:type="dxa"/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65BD2">
              <w:rPr>
                <w:rFonts w:cs="Arial"/>
                <w:sz w:val="18"/>
                <w:szCs w:val="18"/>
              </w:rPr>
              <w:t>No limitations</w:t>
            </w:r>
          </w:p>
        </w:tc>
        <w:tc>
          <w:tcPr>
            <w:tcW w:w="2192" w:type="dxa"/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65BD2">
              <w:rPr>
                <w:rFonts w:cs="Arial"/>
                <w:sz w:val="18"/>
                <w:szCs w:val="18"/>
              </w:rPr>
              <w:t>No limitations</w:t>
            </w:r>
          </w:p>
        </w:tc>
        <w:tc>
          <w:tcPr>
            <w:tcW w:w="2191" w:type="dxa"/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65BD2">
              <w:rPr>
                <w:rFonts w:cs="Arial"/>
                <w:sz w:val="18"/>
                <w:szCs w:val="18"/>
              </w:rPr>
              <w:t>No limitations</w:t>
            </w:r>
          </w:p>
        </w:tc>
        <w:tc>
          <w:tcPr>
            <w:tcW w:w="2192" w:type="dxa"/>
          </w:tcPr>
          <w:p w:rsidR="00CB1366" w:rsidRPr="006765B3" w:rsidRDefault="00CB1366" w:rsidP="00281331">
            <w:pPr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</w:rPr>
              <w:t>Limitations</w:t>
            </w:r>
            <w:r>
              <w:rPr>
                <w:rFonts w:cs="Arial"/>
                <w:sz w:val="18"/>
                <w:szCs w:val="18"/>
                <w:vertAlign w:val="superscript"/>
              </w:rPr>
              <w:t>e,f</w:t>
            </w:r>
          </w:p>
        </w:tc>
      </w:tr>
      <w:tr w:rsidR="00CB1366" w:rsidRPr="00165BD2" w:rsidTr="00281331">
        <w:tc>
          <w:tcPr>
            <w:tcW w:w="2191" w:type="dxa"/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Goyal et al, 2015</w:t>
            </w:r>
          </w:p>
        </w:tc>
        <w:tc>
          <w:tcPr>
            <w:tcW w:w="2192" w:type="dxa"/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65BD2">
              <w:rPr>
                <w:rFonts w:cs="Arial"/>
                <w:sz w:val="18"/>
                <w:szCs w:val="18"/>
              </w:rPr>
              <w:t>No limitations</w:t>
            </w:r>
          </w:p>
        </w:tc>
        <w:tc>
          <w:tcPr>
            <w:tcW w:w="2191" w:type="dxa"/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65BD2">
              <w:rPr>
                <w:rFonts w:cs="Arial"/>
                <w:sz w:val="18"/>
                <w:szCs w:val="18"/>
              </w:rPr>
              <w:t>No limitations</w:t>
            </w:r>
          </w:p>
        </w:tc>
        <w:tc>
          <w:tcPr>
            <w:tcW w:w="2192" w:type="dxa"/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65BD2">
              <w:rPr>
                <w:rFonts w:cs="Arial"/>
                <w:sz w:val="18"/>
                <w:szCs w:val="18"/>
              </w:rPr>
              <w:t>No limitations</w:t>
            </w:r>
          </w:p>
        </w:tc>
        <w:tc>
          <w:tcPr>
            <w:tcW w:w="2191" w:type="dxa"/>
          </w:tcPr>
          <w:p w:rsidR="00CB1366" w:rsidRPr="003975CE" w:rsidRDefault="00CB1366" w:rsidP="00281331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165BD2">
              <w:rPr>
                <w:rFonts w:cs="Arial"/>
                <w:sz w:val="18"/>
                <w:szCs w:val="18"/>
              </w:rPr>
              <w:t>imitations</w:t>
            </w:r>
            <w:r>
              <w:rPr>
                <w:rFonts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2192" w:type="dxa"/>
          </w:tcPr>
          <w:p w:rsidR="00CB1366" w:rsidRPr="006765B3" w:rsidRDefault="00CB1366" w:rsidP="00281331">
            <w:pPr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</w:rPr>
              <w:t>Limitations</w:t>
            </w:r>
            <w:r>
              <w:rPr>
                <w:rFonts w:cs="Arial"/>
                <w:sz w:val="18"/>
                <w:szCs w:val="18"/>
                <w:vertAlign w:val="superscript"/>
              </w:rPr>
              <w:t>e,f</w:t>
            </w:r>
          </w:p>
        </w:tc>
      </w:tr>
      <w:tr w:rsidR="00CB1366" w:rsidRPr="00165BD2" w:rsidTr="00281331">
        <w:tc>
          <w:tcPr>
            <w:tcW w:w="2191" w:type="dxa"/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Jovin et al, 2015</w:t>
            </w:r>
          </w:p>
        </w:tc>
        <w:tc>
          <w:tcPr>
            <w:tcW w:w="2192" w:type="dxa"/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65BD2">
              <w:rPr>
                <w:rFonts w:cs="Arial"/>
                <w:sz w:val="18"/>
                <w:szCs w:val="18"/>
              </w:rPr>
              <w:t>No limitations</w:t>
            </w:r>
          </w:p>
        </w:tc>
        <w:tc>
          <w:tcPr>
            <w:tcW w:w="2191" w:type="dxa"/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65BD2">
              <w:rPr>
                <w:rFonts w:cs="Arial"/>
                <w:sz w:val="18"/>
                <w:szCs w:val="18"/>
              </w:rPr>
              <w:t>No limitations</w:t>
            </w:r>
          </w:p>
        </w:tc>
        <w:tc>
          <w:tcPr>
            <w:tcW w:w="2192" w:type="dxa"/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65BD2">
              <w:rPr>
                <w:rFonts w:cs="Arial"/>
                <w:sz w:val="18"/>
                <w:szCs w:val="18"/>
              </w:rPr>
              <w:t>No limitations</w:t>
            </w:r>
          </w:p>
        </w:tc>
        <w:tc>
          <w:tcPr>
            <w:tcW w:w="2191" w:type="dxa"/>
          </w:tcPr>
          <w:p w:rsidR="00CB1366" w:rsidRPr="000C1C84" w:rsidRDefault="00CB1366" w:rsidP="00281331">
            <w:pPr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</w:rPr>
              <w:t>No l</w:t>
            </w:r>
            <w:r w:rsidRPr="00165BD2">
              <w:rPr>
                <w:rFonts w:cs="Arial"/>
                <w:sz w:val="18"/>
                <w:szCs w:val="18"/>
              </w:rPr>
              <w:t>imitations</w:t>
            </w:r>
          </w:p>
        </w:tc>
        <w:tc>
          <w:tcPr>
            <w:tcW w:w="2192" w:type="dxa"/>
          </w:tcPr>
          <w:p w:rsidR="00CB1366" w:rsidRPr="006765B3" w:rsidRDefault="00CB1366" w:rsidP="00281331">
            <w:pPr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</w:rPr>
              <w:t>Limitations</w:t>
            </w:r>
            <w:r>
              <w:rPr>
                <w:rFonts w:cs="Arial"/>
                <w:sz w:val="18"/>
                <w:szCs w:val="18"/>
                <w:vertAlign w:val="superscript"/>
              </w:rPr>
              <w:t>e,f</w:t>
            </w:r>
          </w:p>
        </w:tc>
      </w:tr>
      <w:tr w:rsidR="00CB1366" w:rsidRPr="00165BD2" w:rsidTr="00281331">
        <w:tc>
          <w:tcPr>
            <w:tcW w:w="2191" w:type="dxa"/>
            <w:tcBorders>
              <w:bottom w:val="single" w:sz="12" w:space="0" w:color="000000"/>
            </w:tcBorders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Saver et al, 2015</w:t>
            </w:r>
          </w:p>
        </w:tc>
        <w:tc>
          <w:tcPr>
            <w:tcW w:w="2192" w:type="dxa"/>
            <w:tcBorders>
              <w:bottom w:val="single" w:sz="12" w:space="0" w:color="000000"/>
            </w:tcBorders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65BD2">
              <w:rPr>
                <w:rFonts w:cs="Arial"/>
                <w:sz w:val="18"/>
                <w:szCs w:val="18"/>
              </w:rPr>
              <w:t>No limitations</w:t>
            </w:r>
          </w:p>
        </w:tc>
        <w:tc>
          <w:tcPr>
            <w:tcW w:w="2191" w:type="dxa"/>
            <w:tcBorders>
              <w:bottom w:val="single" w:sz="12" w:space="0" w:color="000000"/>
            </w:tcBorders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65BD2">
              <w:rPr>
                <w:rFonts w:cs="Arial"/>
                <w:sz w:val="18"/>
                <w:szCs w:val="18"/>
              </w:rPr>
              <w:t>No limitations</w:t>
            </w:r>
          </w:p>
        </w:tc>
        <w:tc>
          <w:tcPr>
            <w:tcW w:w="2192" w:type="dxa"/>
            <w:tcBorders>
              <w:bottom w:val="single" w:sz="12" w:space="0" w:color="000000"/>
            </w:tcBorders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65BD2">
              <w:rPr>
                <w:rFonts w:cs="Arial"/>
                <w:sz w:val="18"/>
                <w:szCs w:val="18"/>
              </w:rPr>
              <w:t>No limitations</w:t>
            </w:r>
          </w:p>
        </w:tc>
        <w:tc>
          <w:tcPr>
            <w:tcW w:w="2191" w:type="dxa"/>
            <w:tcBorders>
              <w:bottom w:val="single" w:sz="12" w:space="0" w:color="000000"/>
            </w:tcBorders>
          </w:tcPr>
          <w:p w:rsidR="00CB1366" w:rsidRPr="00165BD2" w:rsidRDefault="00CB1366" w:rsidP="0028133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65BD2">
              <w:rPr>
                <w:rFonts w:cs="Arial"/>
                <w:sz w:val="18"/>
                <w:szCs w:val="18"/>
              </w:rPr>
              <w:t>No limitations</w:t>
            </w:r>
          </w:p>
        </w:tc>
        <w:tc>
          <w:tcPr>
            <w:tcW w:w="2192" w:type="dxa"/>
            <w:tcBorders>
              <w:bottom w:val="single" w:sz="12" w:space="0" w:color="000000"/>
            </w:tcBorders>
          </w:tcPr>
          <w:p w:rsidR="00CB1366" w:rsidRPr="006765B3" w:rsidRDefault="00CB1366" w:rsidP="00281331">
            <w:pPr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</w:rPr>
              <w:t>Limitations</w:t>
            </w:r>
            <w:r>
              <w:rPr>
                <w:rFonts w:cs="Arial"/>
                <w:sz w:val="18"/>
                <w:szCs w:val="18"/>
                <w:vertAlign w:val="superscript"/>
              </w:rPr>
              <w:t>e,f</w:t>
            </w:r>
          </w:p>
        </w:tc>
      </w:tr>
    </w:tbl>
    <w:p w:rsidR="00CB1366" w:rsidRPr="00165BD2" w:rsidRDefault="00CB1366" w:rsidP="00CB1366">
      <w:pPr>
        <w:pStyle w:val="TableFootnote"/>
      </w:pPr>
      <w:r w:rsidRPr="00165BD2">
        <w:t>Abbreviations</w:t>
      </w:r>
      <w:r>
        <w:t xml:space="preserve">: </w:t>
      </w:r>
    </w:p>
    <w:p w:rsidR="00CB1366" w:rsidRDefault="00CB1366" w:rsidP="00CB1366">
      <w:pPr>
        <w:pStyle w:val="TableFootnote"/>
      </w:pPr>
      <w:r w:rsidRPr="00165BD2">
        <w:rPr>
          <w:vertAlign w:val="superscript"/>
        </w:rPr>
        <w:t>a</w:t>
      </w:r>
      <w:r>
        <w:t>All 5 RCTs used a web-based randomized minimization procedure.</w:t>
      </w:r>
    </w:p>
    <w:p w:rsidR="00CB1366" w:rsidRDefault="00CB1366" w:rsidP="00CB1366">
      <w:pPr>
        <w:rPr>
          <w:sz w:val="14"/>
          <w:szCs w:val="14"/>
        </w:rPr>
      </w:pPr>
      <w:r w:rsidRPr="00720891">
        <w:rPr>
          <w:sz w:val="14"/>
          <w:szCs w:val="14"/>
          <w:vertAlign w:val="superscript"/>
        </w:rPr>
        <w:t>b</w:t>
      </w:r>
      <w:r>
        <w:rPr>
          <w:sz w:val="14"/>
          <w:szCs w:val="14"/>
        </w:rPr>
        <w:t>All 5 included RCTs had blind outcome evaluation but physicians conducting the intervention were aware of treatment assignment. This was appropriate as a sham procedure was not ethical and standard of care is intravenous thrombolysis which is a more appropriate comparator.</w:t>
      </w:r>
    </w:p>
    <w:p w:rsidR="00CB1366" w:rsidRDefault="00CB1366" w:rsidP="00CB1366">
      <w:pPr>
        <w:rPr>
          <w:sz w:val="14"/>
          <w:szCs w:val="14"/>
        </w:rPr>
      </w:pPr>
      <w:r>
        <w:rPr>
          <w:sz w:val="14"/>
          <w:szCs w:val="14"/>
          <w:vertAlign w:val="superscript"/>
        </w:rPr>
        <w:t>c</w:t>
      </w:r>
      <w:r w:rsidR="00566B9D">
        <w:rPr>
          <w:sz w:val="14"/>
          <w:szCs w:val="14"/>
        </w:rPr>
        <w:t>RCT protocol</w:t>
      </w:r>
      <w:r>
        <w:rPr>
          <w:sz w:val="14"/>
          <w:szCs w:val="14"/>
        </w:rPr>
        <w:t xml:space="preserve"> states the functional outcome measured by ‘Academic Linear Disability Scale’ would be collected at 90 days, but this outcome is not reported in the published article. </w:t>
      </w:r>
    </w:p>
    <w:p w:rsidR="00CB1366" w:rsidRPr="003975CE" w:rsidRDefault="00CB1366" w:rsidP="00CB1366">
      <w:pPr>
        <w:rPr>
          <w:sz w:val="14"/>
          <w:szCs w:val="14"/>
        </w:rPr>
      </w:pPr>
      <w:r>
        <w:rPr>
          <w:sz w:val="14"/>
          <w:szCs w:val="14"/>
          <w:vertAlign w:val="superscript"/>
        </w:rPr>
        <w:t>d</w:t>
      </w:r>
      <w:r w:rsidR="00566B9D">
        <w:rPr>
          <w:sz w:val="14"/>
          <w:szCs w:val="14"/>
        </w:rPr>
        <w:t>RCT protocol</w:t>
      </w:r>
      <w:r>
        <w:rPr>
          <w:sz w:val="14"/>
          <w:szCs w:val="14"/>
        </w:rPr>
        <w:t xml:space="preserve"> states the functional outcome measured by ‘miFUNCTION scale’ would be collected, but this outcome is not reported in the published article.</w:t>
      </w:r>
    </w:p>
    <w:p w:rsidR="00CB1366" w:rsidRDefault="00CB1366" w:rsidP="00CB1366">
      <w:pPr>
        <w:rPr>
          <w:sz w:val="14"/>
          <w:szCs w:val="14"/>
        </w:rPr>
      </w:pPr>
      <w:r>
        <w:rPr>
          <w:sz w:val="14"/>
          <w:szCs w:val="14"/>
          <w:vertAlign w:val="superscript"/>
        </w:rPr>
        <w:t>e</w:t>
      </w:r>
      <w:r>
        <w:rPr>
          <w:sz w:val="14"/>
          <w:szCs w:val="14"/>
        </w:rPr>
        <w:t xml:space="preserve">After the Berkhemer </w:t>
      </w:r>
      <w:r w:rsidR="0044728C">
        <w:rPr>
          <w:sz w:val="14"/>
          <w:szCs w:val="14"/>
        </w:rPr>
        <w:t>et al (2015) study was presented at the World Stroke Conference in October 2014</w:t>
      </w:r>
      <w:r>
        <w:rPr>
          <w:sz w:val="14"/>
          <w:szCs w:val="14"/>
        </w:rPr>
        <w:t xml:space="preserve">, the 4 following RCTs stopped early based on prespecified boundary for efficacy during interim analysis. </w:t>
      </w:r>
    </w:p>
    <w:p w:rsidR="00CB1366" w:rsidRPr="00817D1A" w:rsidRDefault="00CB1366" w:rsidP="00CB1366">
      <w:pPr>
        <w:rPr>
          <w:sz w:val="14"/>
          <w:szCs w:val="14"/>
        </w:rPr>
      </w:pPr>
      <w:r>
        <w:rPr>
          <w:sz w:val="14"/>
          <w:szCs w:val="14"/>
          <w:vertAlign w:val="superscript"/>
        </w:rPr>
        <w:t>f</w:t>
      </w:r>
      <w:r>
        <w:rPr>
          <w:sz w:val="14"/>
          <w:szCs w:val="14"/>
        </w:rPr>
        <w:t>All studies had grant support from Covidien/ev3 (the company that manufactures the Solitaire FR stent retriever)</w:t>
      </w:r>
      <w:r w:rsidR="002D0059">
        <w:rPr>
          <w:sz w:val="14"/>
          <w:szCs w:val="14"/>
        </w:rPr>
        <w:t xml:space="preserve"> and/or other manufacturers/industry support</w:t>
      </w:r>
      <w:r>
        <w:rPr>
          <w:sz w:val="14"/>
          <w:szCs w:val="14"/>
        </w:rPr>
        <w:t>.</w:t>
      </w:r>
    </w:p>
    <w:p w:rsidR="00D35243" w:rsidRDefault="00D35243">
      <w:pPr>
        <w:sectPr w:rsidR="00D35243" w:rsidSect="00CB136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92745" w:rsidRDefault="00692745" w:rsidP="00692745"/>
    <w:p w:rsidR="00692745" w:rsidRDefault="00B87FB9" w:rsidP="00692745">
      <w:pPr>
        <w:pStyle w:val="Heading2"/>
        <w:rPr>
          <w:color w:val="auto"/>
        </w:rPr>
      </w:pPr>
      <w:r>
        <w:rPr>
          <w:color w:val="auto"/>
        </w:rPr>
        <w:t>Appendix 3</w:t>
      </w:r>
      <w:r w:rsidR="00692745" w:rsidRPr="00683434">
        <w:rPr>
          <w:color w:val="auto"/>
        </w:rPr>
        <w:t>: Subgroup Results</w:t>
      </w:r>
    </w:p>
    <w:p w:rsidR="00834ABE" w:rsidRDefault="00834ABE" w:rsidP="00834ABE"/>
    <w:p w:rsidR="00834ABE" w:rsidRDefault="00834ABE" w:rsidP="00834ABE">
      <w:r w:rsidRPr="00FE766F">
        <w:rPr>
          <w:noProof/>
          <w:lang w:val="en-US"/>
        </w:rPr>
        <w:drawing>
          <wp:inline distT="0" distB="0" distL="0" distR="0" wp14:anchorId="7887CC81" wp14:editId="0CBD606F">
            <wp:extent cx="5943600" cy="16243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ABE" w:rsidRPr="00674F30" w:rsidRDefault="00834ABE" w:rsidP="00834ABE">
      <w:pPr>
        <w:pStyle w:val="FigureTitle"/>
      </w:pPr>
      <w:r>
        <w:t>Figure A1</w:t>
      </w:r>
      <w:r w:rsidRPr="00E70F4B">
        <w:t xml:space="preserve">: </w:t>
      </w:r>
      <w:r>
        <w:t xml:space="preserve">Risk Difference of Mechanical Thrombectomy Versus Best Medical Therapy on Proportion of Functionally Independent Patients at 90-Day Follow-up </w:t>
      </w:r>
    </w:p>
    <w:p w:rsidR="00834ABE" w:rsidRPr="00834ABE" w:rsidRDefault="00834ABE" w:rsidP="00834ABE"/>
    <w:p w:rsidR="005033AE" w:rsidRDefault="00753211" w:rsidP="005033AE">
      <w:pPr>
        <w:pStyle w:val="H2HQOHeading2"/>
      </w:pPr>
      <w:r w:rsidRPr="00753211">
        <w:rPr>
          <w:noProof/>
          <w:lang w:val="en-US" w:eastAsia="en-US"/>
        </w:rPr>
        <w:drawing>
          <wp:inline distT="0" distB="0" distL="0" distR="0" wp14:anchorId="1063CFB3" wp14:editId="08109D80">
            <wp:extent cx="5943600" cy="2935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3AE" w:rsidRDefault="005033AE" w:rsidP="005033AE">
      <w:pPr>
        <w:rPr>
          <w:b/>
          <w:sz w:val="20"/>
          <w:szCs w:val="20"/>
        </w:rPr>
      </w:pPr>
    </w:p>
    <w:p w:rsidR="005033AE" w:rsidRPr="00E6072A" w:rsidRDefault="005033AE" w:rsidP="005033AE">
      <w:pPr>
        <w:pStyle w:val="FigureTitle"/>
      </w:pPr>
      <w:bookmarkStart w:id="5" w:name="_Toc422224210"/>
      <w:r>
        <w:t xml:space="preserve">Figure </w:t>
      </w:r>
      <w:r w:rsidR="00BC24CF">
        <w:t>A</w:t>
      </w:r>
      <w:r w:rsidR="00834ABE">
        <w:t>2</w:t>
      </w:r>
      <w:r w:rsidRPr="00E70F4B">
        <w:t xml:space="preserve">: </w:t>
      </w:r>
      <w:r>
        <w:t>Mechanical Thrombectomy</w:t>
      </w:r>
      <w:r w:rsidR="00753211">
        <w:t xml:space="preserve"> V</w:t>
      </w:r>
      <w:r>
        <w:t xml:space="preserve">ersus </w:t>
      </w:r>
      <w:r w:rsidR="00753211">
        <w:t>Best Medical Therapy</w:t>
      </w:r>
      <w:r>
        <w:t xml:space="preserve"> on the Proportion of Functiona</w:t>
      </w:r>
      <w:r w:rsidR="00753211">
        <w:t>lly Independent Patients at 90-D</w:t>
      </w:r>
      <w:r>
        <w:t>ay Follow-up by Status of IVT</w:t>
      </w:r>
      <w:bookmarkEnd w:id="5"/>
    </w:p>
    <w:p w:rsidR="005033AE" w:rsidRDefault="007F64D6" w:rsidP="005033AE">
      <w:pPr>
        <w:pStyle w:val="H2HQOHeading2"/>
      </w:pPr>
      <w:r w:rsidRPr="007F64D6">
        <w:rPr>
          <w:noProof/>
          <w:lang w:val="en-US" w:eastAsia="en-US"/>
        </w:rPr>
        <w:lastRenderedPageBreak/>
        <w:drawing>
          <wp:inline distT="0" distB="0" distL="0" distR="0" wp14:anchorId="721C26D2" wp14:editId="60446C38">
            <wp:extent cx="5943600" cy="29133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3AE" w:rsidRDefault="005033AE" w:rsidP="005033AE">
      <w:pPr>
        <w:pStyle w:val="H2HQOHeading2"/>
      </w:pPr>
    </w:p>
    <w:p w:rsidR="005033AE" w:rsidRPr="008737DB" w:rsidRDefault="005033AE" w:rsidP="005033AE">
      <w:pPr>
        <w:rPr>
          <w:b/>
          <w:sz w:val="14"/>
          <w:szCs w:val="14"/>
        </w:rPr>
      </w:pPr>
      <w:r w:rsidRPr="008737DB">
        <w:rPr>
          <w:b/>
          <w:sz w:val="14"/>
          <w:szCs w:val="14"/>
        </w:rPr>
        <w:t>*</w:t>
      </w:r>
      <w:r w:rsidRPr="008737DB">
        <w:rPr>
          <w:sz w:val="14"/>
          <w:szCs w:val="14"/>
        </w:rPr>
        <w:t>Goyal et al divided age in &lt;=80 years and &gt;80 years in the age sensitivity analysis.</w:t>
      </w:r>
    </w:p>
    <w:p w:rsidR="005033AE" w:rsidRDefault="005033AE" w:rsidP="005033AE">
      <w:pPr>
        <w:rPr>
          <w:b/>
          <w:sz w:val="20"/>
          <w:szCs w:val="20"/>
        </w:rPr>
      </w:pPr>
    </w:p>
    <w:p w:rsidR="005033AE" w:rsidRPr="00674F30" w:rsidRDefault="005033AE" w:rsidP="005033AE">
      <w:pPr>
        <w:pStyle w:val="FigureTitle"/>
      </w:pPr>
      <w:bookmarkStart w:id="6" w:name="_Toc422224211"/>
      <w:r>
        <w:t xml:space="preserve">Figure </w:t>
      </w:r>
      <w:r w:rsidR="00BC24CF">
        <w:t>A</w:t>
      </w:r>
      <w:r w:rsidR="00834ABE">
        <w:t>3</w:t>
      </w:r>
      <w:r w:rsidRPr="00E70F4B">
        <w:t xml:space="preserve">: </w:t>
      </w:r>
      <w:r w:rsidR="00055113">
        <w:t>Mechanical Thrombectomy V</w:t>
      </w:r>
      <w:r>
        <w:t xml:space="preserve">ersus </w:t>
      </w:r>
      <w:r w:rsidR="00753211">
        <w:t>Best Medical Therapy</w:t>
      </w:r>
      <w:r>
        <w:t xml:space="preserve"> on the Proportion of Functiona</w:t>
      </w:r>
      <w:r w:rsidR="00753211">
        <w:t>lly Independent Patients at 90-D</w:t>
      </w:r>
      <w:r>
        <w:t>ay Follow-up by Age</w:t>
      </w:r>
      <w:bookmarkEnd w:id="6"/>
      <w:r w:rsidR="0019095D">
        <w:t>, Secondary Analysis</w:t>
      </w:r>
    </w:p>
    <w:p w:rsidR="005033AE" w:rsidRDefault="00F846BB" w:rsidP="005033AE">
      <w:pPr>
        <w:rPr>
          <w:b/>
          <w:sz w:val="20"/>
          <w:szCs w:val="20"/>
        </w:rPr>
      </w:pPr>
      <w:r w:rsidRPr="00F846BB">
        <w:rPr>
          <w:b/>
          <w:noProof/>
          <w:sz w:val="20"/>
          <w:szCs w:val="20"/>
          <w:lang w:val="en-US"/>
        </w:rPr>
        <w:drawing>
          <wp:inline distT="0" distB="0" distL="0" distR="0" wp14:anchorId="690E1F2D" wp14:editId="47171ED2">
            <wp:extent cx="5943600" cy="29756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3AE" w:rsidRDefault="005033AE" w:rsidP="005033AE">
      <w:pPr>
        <w:pStyle w:val="H2HQOHeading2"/>
      </w:pPr>
    </w:p>
    <w:p w:rsidR="005033AE" w:rsidRDefault="005033AE" w:rsidP="005033AE">
      <w:pPr>
        <w:pStyle w:val="FigureTitle"/>
      </w:pPr>
      <w:bookmarkStart w:id="7" w:name="_Toc422224212"/>
      <w:r>
        <w:t xml:space="preserve">Figure </w:t>
      </w:r>
      <w:r w:rsidR="00BC24CF">
        <w:t>A</w:t>
      </w:r>
      <w:r w:rsidR="00834ABE">
        <w:t>4</w:t>
      </w:r>
      <w:r w:rsidRPr="00E70F4B">
        <w:t xml:space="preserve">: </w:t>
      </w:r>
      <w:r w:rsidR="00055113">
        <w:t>Mechanical Thrombectomy V</w:t>
      </w:r>
      <w:r>
        <w:t xml:space="preserve">ersus </w:t>
      </w:r>
      <w:r w:rsidR="00055113">
        <w:t>Best Medical Therapy</w:t>
      </w:r>
      <w:r>
        <w:t xml:space="preserve"> on the Proportion of Functiona</w:t>
      </w:r>
      <w:r w:rsidR="00055113">
        <w:t>lly Independent Patients at 90-D</w:t>
      </w:r>
      <w:r>
        <w:t>ay Follow-up by Occlusion Site</w:t>
      </w:r>
      <w:bookmarkEnd w:id="7"/>
    </w:p>
    <w:p w:rsidR="005033AE" w:rsidRDefault="007F64D6" w:rsidP="005033AE">
      <w:r w:rsidRPr="007F64D6">
        <w:rPr>
          <w:noProof/>
          <w:lang w:val="en-US"/>
        </w:rPr>
        <w:lastRenderedPageBreak/>
        <w:drawing>
          <wp:inline distT="0" distB="0" distL="0" distR="0" wp14:anchorId="34EEA89A" wp14:editId="42C6DE08">
            <wp:extent cx="5943600" cy="29133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00D" w:rsidRDefault="0021300D" w:rsidP="005033AE">
      <w:pPr>
        <w:rPr>
          <w:sz w:val="14"/>
          <w:szCs w:val="14"/>
        </w:rPr>
      </w:pPr>
    </w:p>
    <w:p w:rsidR="005033AE" w:rsidRPr="00E22FC9" w:rsidRDefault="005033AE" w:rsidP="005033AE">
      <w:pPr>
        <w:rPr>
          <w:sz w:val="14"/>
          <w:szCs w:val="14"/>
        </w:rPr>
      </w:pPr>
      <w:r w:rsidRPr="00E22FC9">
        <w:rPr>
          <w:sz w:val="14"/>
          <w:szCs w:val="14"/>
        </w:rPr>
        <w:t>*Goyal et al estimate not included in this</w:t>
      </w:r>
      <w:r w:rsidR="0021300D">
        <w:rPr>
          <w:sz w:val="14"/>
          <w:szCs w:val="14"/>
        </w:rPr>
        <w:t xml:space="preserve"> sensitivity</w:t>
      </w:r>
      <w:r w:rsidRPr="00E22FC9">
        <w:rPr>
          <w:sz w:val="14"/>
          <w:szCs w:val="14"/>
        </w:rPr>
        <w:t xml:space="preserve"> analysis</w:t>
      </w:r>
      <w:r w:rsidR="00856C67">
        <w:rPr>
          <w:sz w:val="14"/>
          <w:szCs w:val="14"/>
        </w:rPr>
        <w:t xml:space="preserve"> </w:t>
      </w:r>
      <w:r w:rsidR="0021300D">
        <w:rPr>
          <w:sz w:val="14"/>
          <w:szCs w:val="14"/>
        </w:rPr>
        <w:t>as this trial divided patients into &lt;=80 years and &gt;80 years</w:t>
      </w:r>
      <w:r w:rsidR="00856C67">
        <w:rPr>
          <w:sz w:val="14"/>
          <w:szCs w:val="14"/>
        </w:rPr>
        <w:t xml:space="preserve"> and we wanted to determine </w:t>
      </w:r>
      <w:r w:rsidR="005A22B2">
        <w:rPr>
          <w:sz w:val="14"/>
          <w:szCs w:val="14"/>
        </w:rPr>
        <w:t>if the estimate</w:t>
      </w:r>
      <w:r w:rsidR="00856C67">
        <w:rPr>
          <w:sz w:val="14"/>
          <w:szCs w:val="14"/>
        </w:rPr>
        <w:t xml:space="preserve"> influence</w:t>
      </w:r>
      <w:r w:rsidR="005A22B2">
        <w:rPr>
          <w:sz w:val="14"/>
          <w:szCs w:val="14"/>
        </w:rPr>
        <w:t>d</w:t>
      </w:r>
      <w:r w:rsidR="00856C67">
        <w:rPr>
          <w:sz w:val="14"/>
          <w:szCs w:val="14"/>
        </w:rPr>
        <w:t xml:space="preserve"> results</w:t>
      </w:r>
      <w:r w:rsidR="0021300D">
        <w:rPr>
          <w:sz w:val="14"/>
          <w:szCs w:val="14"/>
        </w:rPr>
        <w:t>.</w:t>
      </w:r>
    </w:p>
    <w:p w:rsidR="005033AE" w:rsidRDefault="005033AE" w:rsidP="005033AE"/>
    <w:p w:rsidR="005033AE" w:rsidRPr="00674F30" w:rsidRDefault="005033AE" w:rsidP="005033AE">
      <w:pPr>
        <w:pStyle w:val="FigureTitle"/>
      </w:pPr>
      <w:bookmarkStart w:id="8" w:name="_Toc422224215"/>
      <w:r>
        <w:t xml:space="preserve">Figure </w:t>
      </w:r>
      <w:r w:rsidR="00BC24CF">
        <w:t>A</w:t>
      </w:r>
      <w:r w:rsidR="00834ABE">
        <w:t>5</w:t>
      </w:r>
      <w:r w:rsidRPr="00E70F4B">
        <w:t xml:space="preserve">: </w:t>
      </w:r>
      <w:r w:rsidR="008A07E9">
        <w:t>Mechanical Thrombectomy V</w:t>
      </w:r>
      <w:r>
        <w:t xml:space="preserve">ersus </w:t>
      </w:r>
      <w:r w:rsidR="008A07E9">
        <w:t>Best Medical Therapy</w:t>
      </w:r>
      <w:r>
        <w:t xml:space="preserve"> on Proportion of Functiona</w:t>
      </w:r>
      <w:r w:rsidR="008A07E9">
        <w:t>lly Independent Patients at 90-D</w:t>
      </w:r>
      <w:r>
        <w:t>ay Follow-up by Age</w:t>
      </w:r>
      <w:bookmarkEnd w:id="8"/>
      <w:r w:rsidR="004D7055">
        <w:t>, Sec</w:t>
      </w:r>
      <w:r w:rsidR="005A22B2">
        <w:t>ondary Analysis without ESCAPE S</w:t>
      </w:r>
      <w:r w:rsidR="004D7055">
        <w:t>tudy</w:t>
      </w:r>
    </w:p>
    <w:p w:rsidR="005033AE" w:rsidRDefault="005033AE" w:rsidP="005033AE">
      <w:pPr>
        <w:pStyle w:val="BulletListlevel1"/>
        <w:numPr>
          <w:ilvl w:val="0"/>
          <w:numId w:val="0"/>
        </w:numPr>
      </w:pPr>
    </w:p>
    <w:p w:rsidR="005033AE" w:rsidRDefault="005033AE" w:rsidP="005033AE"/>
    <w:p w:rsidR="00CB1366" w:rsidRDefault="00CB1366"/>
    <w:p w:rsidR="00B87FB9" w:rsidRDefault="00B87FB9"/>
    <w:p w:rsidR="00834ABE" w:rsidRDefault="00834ABE"/>
    <w:p w:rsidR="00834ABE" w:rsidRDefault="00834ABE"/>
    <w:p w:rsidR="00834ABE" w:rsidRDefault="00834ABE"/>
    <w:p w:rsidR="00834ABE" w:rsidRDefault="00834ABE"/>
    <w:p w:rsidR="00834ABE" w:rsidRDefault="00834ABE"/>
    <w:p w:rsidR="00834ABE" w:rsidRDefault="00834ABE"/>
    <w:p w:rsidR="00834ABE" w:rsidRDefault="00834ABE"/>
    <w:p w:rsidR="00834ABE" w:rsidRDefault="00834ABE"/>
    <w:p w:rsidR="00834ABE" w:rsidRDefault="00834ABE"/>
    <w:p w:rsidR="00834ABE" w:rsidRDefault="00834ABE"/>
    <w:p w:rsidR="00834ABE" w:rsidRDefault="00834ABE"/>
    <w:p w:rsidR="00834ABE" w:rsidRDefault="00834ABE"/>
    <w:p w:rsidR="00834ABE" w:rsidRDefault="00834ABE"/>
    <w:p w:rsidR="00834ABE" w:rsidRDefault="00834ABE"/>
    <w:p w:rsidR="00834ABE" w:rsidRDefault="00834ABE"/>
    <w:p w:rsidR="00834ABE" w:rsidRDefault="00834ABE"/>
    <w:p w:rsidR="00834ABE" w:rsidRDefault="00834ABE"/>
    <w:p w:rsidR="00834ABE" w:rsidRDefault="00834ABE"/>
    <w:p w:rsidR="00834ABE" w:rsidRDefault="00834ABE"/>
    <w:p w:rsidR="00B87FB9" w:rsidRDefault="00B87FB9"/>
    <w:p w:rsidR="00B87FB9" w:rsidRDefault="00B87FB9"/>
    <w:p w:rsidR="00B87FB9" w:rsidRDefault="00B87FB9" w:rsidP="00B87FB9">
      <w:pPr>
        <w:pStyle w:val="Heading2"/>
        <w:rPr>
          <w:color w:val="auto"/>
        </w:rPr>
      </w:pPr>
      <w:bookmarkStart w:id="9" w:name="_Toc422224255"/>
      <w:r>
        <w:rPr>
          <w:color w:val="auto"/>
        </w:rPr>
        <w:lastRenderedPageBreak/>
        <w:t>Appendix 4</w:t>
      </w:r>
      <w:r w:rsidRPr="00683434">
        <w:rPr>
          <w:color w:val="auto"/>
        </w:rPr>
        <w:t xml:space="preserve">: </w:t>
      </w:r>
      <w:r w:rsidR="00834ABE">
        <w:rPr>
          <w:color w:val="auto"/>
        </w:rPr>
        <w:t>Secondary Outcome</w:t>
      </w:r>
      <w:r>
        <w:rPr>
          <w:color w:val="auto"/>
        </w:rPr>
        <w:t xml:space="preserve"> </w:t>
      </w:r>
      <w:r w:rsidRPr="00683434">
        <w:rPr>
          <w:color w:val="auto"/>
        </w:rPr>
        <w:t>Results</w:t>
      </w:r>
      <w:bookmarkEnd w:id="9"/>
    </w:p>
    <w:p w:rsidR="00B87FB9" w:rsidRDefault="00B87FB9" w:rsidP="00B87FB9"/>
    <w:p w:rsidR="00B87FB9" w:rsidRPr="00F770D9" w:rsidRDefault="00B87FB9" w:rsidP="00B87FB9">
      <w:pPr>
        <w:pStyle w:val="TableTitle"/>
        <w:ind w:left="0" w:firstLine="0"/>
        <w:rPr>
          <w:rFonts w:asciiTheme="minorHAnsi" w:hAnsiTheme="minorHAnsi"/>
          <w:sz w:val="24"/>
        </w:rPr>
      </w:pPr>
      <w:r w:rsidRPr="00F770D9">
        <w:rPr>
          <w:rFonts w:asciiTheme="minorHAnsi" w:hAnsiTheme="minorHAnsi"/>
          <w:sz w:val="24"/>
        </w:rPr>
        <w:t xml:space="preserve">Table </w:t>
      </w:r>
      <w:r>
        <w:rPr>
          <w:rFonts w:asciiTheme="minorHAnsi" w:hAnsiTheme="minorHAnsi"/>
          <w:sz w:val="24"/>
        </w:rPr>
        <w:t>1</w:t>
      </w:r>
      <w:r w:rsidRPr="00F770D9">
        <w:rPr>
          <w:rFonts w:asciiTheme="minorHAnsi" w:hAnsiTheme="minorHAnsi"/>
          <w:sz w:val="24"/>
        </w:rPr>
        <w:t>: Reperfusion and Recanalization Rates in Included RCTs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0"/>
        <w:gridCol w:w="2340"/>
        <w:gridCol w:w="3060"/>
        <w:gridCol w:w="2340"/>
      </w:tblGrid>
      <w:tr w:rsidR="00B87FB9" w:rsidRPr="00F770D9" w:rsidTr="00380A28">
        <w:trPr>
          <w:cantSplit/>
          <w:tblHeader/>
        </w:trPr>
        <w:tc>
          <w:tcPr>
            <w:tcW w:w="1620" w:type="dxa"/>
            <w:tcBorders>
              <w:top w:val="single" w:sz="12" w:space="0" w:color="000000"/>
              <w:left w:val="nil"/>
              <w:right w:val="nil"/>
            </w:tcBorders>
            <w:shd w:val="clear" w:color="auto" w:fill="C0C0C0"/>
          </w:tcPr>
          <w:p w:rsidR="00B87FB9" w:rsidRPr="00F770D9" w:rsidRDefault="00B87FB9" w:rsidP="00380A28">
            <w:pPr>
              <w:spacing w:before="120" w:after="60"/>
              <w:jc w:val="center"/>
              <w:rPr>
                <w:b/>
                <w:sz w:val="18"/>
                <w:szCs w:val="18"/>
              </w:rPr>
            </w:pPr>
            <w:r w:rsidRPr="00F770D9">
              <w:rPr>
                <w:b/>
                <w:sz w:val="18"/>
                <w:szCs w:val="18"/>
              </w:rPr>
              <w:t>Author, Year</w:t>
            </w:r>
          </w:p>
        </w:tc>
        <w:tc>
          <w:tcPr>
            <w:tcW w:w="2340" w:type="dxa"/>
            <w:tcBorders>
              <w:top w:val="single" w:sz="12" w:space="0" w:color="000000"/>
              <w:left w:val="nil"/>
              <w:right w:val="nil"/>
            </w:tcBorders>
            <w:shd w:val="clear" w:color="auto" w:fill="C0C0C0"/>
          </w:tcPr>
          <w:p w:rsidR="00B87FB9" w:rsidRPr="00F770D9" w:rsidRDefault="00B87FB9" w:rsidP="00380A28">
            <w:pPr>
              <w:jc w:val="center"/>
              <w:rPr>
                <w:b/>
                <w:sz w:val="18"/>
                <w:szCs w:val="18"/>
              </w:rPr>
            </w:pPr>
          </w:p>
          <w:p w:rsidR="00B87FB9" w:rsidRPr="00F770D9" w:rsidRDefault="00B87FB9" w:rsidP="00380A28">
            <w:pPr>
              <w:jc w:val="center"/>
              <w:rPr>
                <w:b/>
                <w:sz w:val="18"/>
                <w:szCs w:val="18"/>
              </w:rPr>
            </w:pPr>
            <w:r w:rsidRPr="00F770D9">
              <w:rPr>
                <w:b/>
                <w:sz w:val="18"/>
                <w:szCs w:val="18"/>
              </w:rPr>
              <w:t>Intervention</w:t>
            </w:r>
          </w:p>
        </w:tc>
        <w:tc>
          <w:tcPr>
            <w:tcW w:w="3060" w:type="dxa"/>
            <w:tcBorders>
              <w:top w:val="single" w:sz="12" w:space="0" w:color="000000"/>
              <w:left w:val="nil"/>
              <w:right w:val="nil"/>
            </w:tcBorders>
            <w:shd w:val="clear" w:color="auto" w:fill="C0C0C0"/>
          </w:tcPr>
          <w:p w:rsidR="00B87FB9" w:rsidRPr="00F770D9" w:rsidRDefault="00B87FB9" w:rsidP="00380A28">
            <w:pPr>
              <w:tabs>
                <w:tab w:val="left" w:pos="1110"/>
                <w:tab w:val="center" w:pos="1422"/>
              </w:tabs>
              <w:spacing w:before="120" w:after="60"/>
              <w:jc w:val="center"/>
              <w:rPr>
                <w:b/>
                <w:sz w:val="18"/>
                <w:szCs w:val="18"/>
              </w:rPr>
            </w:pPr>
            <w:r w:rsidRPr="00F770D9">
              <w:rPr>
                <w:b/>
                <w:sz w:val="18"/>
                <w:szCs w:val="18"/>
              </w:rPr>
              <w:t>Control</w:t>
            </w:r>
          </w:p>
        </w:tc>
        <w:tc>
          <w:tcPr>
            <w:tcW w:w="2340" w:type="dxa"/>
            <w:tcBorders>
              <w:top w:val="single" w:sz="12" w:space="0" w:color="000000"/>
              <w:left w:val="nil"/>
              <w:right w:val="nil"/>
            </w:tcBorders>
            <w:shd w:val="clear" w:color="auto" w:fill="C0C0C0"/>
          </w:tcPr>
          <w:p w:rsidR="00B87FB9" w:rsidRPr="00F770D9" w:rsidRDefault="00B87FB9" w:rsidP="00380A28">
            <w:pPr>
              <w:spacing w:before="120" w:after="60"/>
              <w:jc w:val="center"/>
              <w:rPr>
                <w:b/>
                <w:sz w:val="18"/>
                <w:szCs w:val="18"/>
              </w:rPr>
            </w:pPr>
            <w:r w:rsidRPr="00F770D9">
              <w:rPr>
                <w:b/>
                <w:sz w:val="18"/>
                <w:szCs w:val="18"/>
              </w:rPr>
              <w:t>Adjusted Value (95% CI)</w:t>
            </w:r>
          </w:p>
        </w:tc>
      </w:tr>
      <w:tr w:rsidR="00B87FB9" w:rsidRPr="00F770D9" w:rsidTr="00380A28">
        <w:trPr>
          <w:cantSplit/>
        </w:trPr>
        <w:tc>
          <w:tcPr>
            <w:tcW w:w="1620" w:type="dxa"/>
            <w:tcBorders>
              <w:left w:val="nil"/>
              <w:right w:val="nil"/>
            </w:tcBorders>
            <w:shd w:val="clear" w:color="auto" w:fill="E0E0E0"/>
          </w:tcPr>
          <w:p w:rsidR="00B87FB9" w:rsidRPr="00F770D9" w:rsidRDefault="00B87FB9" w:rsidP="00380A28">
            <w:pPr>
              <w:spacing w:before="60" w:after="40"/>
              <w:rPr>
                <w:b/>
                <w:sz w:val="18"/>
                <w:szCs w:val="18"/>
              </w:rPr>
            </w:pPr>
            <w:r w:rsidRPr="00F770D9">
              <w:rPr>
                <w:b/>
                <w:sz w:val="18"/>
                <w:szCs w:val="18"/>
              </w:rPr>
              <w:t>Berkhemer et al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E0E0E0"/>
          </w:tcPr>
          <w:p w:rsidR="00B87FB9" w:rsidRPr="00F770D9" w:rsidRDefault="00B87FB9" w:rsidP="00380A28">
            <w:pPr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E0E0E0"/>
          </w:tcPr>
          <w:p w:rsidR="00B87FB9" w:rsidRPr="00F770D9" w:rsidRDefault="00B87FB9" w:rsidP="00380A28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E0E0E0"/>
          </w:tcPr>
          <w:p w:rsidR="00B87FB9" w:rsidRPr="00F770D9" w:rsidRDefault="00B87FB9" w:rsidP="00380A28">
            <w:pPr>
              <w:spacing w:before="60" w:after="40"/>
              <w:rPr>
                <w:sz w:val="18"/>
                <w:szCs w:val="18"/>
              </w:rPr>
            </w:pPr>
          </w:p>
        </w:tc>
      </w:tr>
      <w:tr w:rsidR="00B87FB9" w:rsidRPr="00F770D9" w:rsidTr="00380A28">
        <w:trPr>
          <w:cantSplit/>
        </w:trPr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B87FB9" w:rsidRPr="00F770D9" w:rsidRDefault="00B87FB9" w:rsidP="00380A28">
            <w:pPr>
              <w:spacing w:after="40"/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Reperfusion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</w:tcPr>
          <w:p w:rsidR="00B87FB9" w:rsidRPr="00F770D9" w:rsidRDefault="00B87FB9" w:rsidP="00380A28">
            <w:pPr>
              <w:spacing w:after="40"/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115/196 (58.7%)</w:t>
            </w:r>
            <w:r w:rsidRPr="00F770D9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</w:tcPr>
          <w:p w:rsidR="00B87FB9" w:rsidRPr="00F770D9" w:rsidRDefault="00B87FB9" w:rsidP="00380A28">
            <w:pPr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NR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</w:tcPr>
          <w:p w:rsidR="00B87FB9" w:rsidRPr="00F770D9" w:rsidRDefault="00B87FB9" w:rsidP="00380A28">
            <w:pPr>
              <w:spacing w:after="40"/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NR</w:t>
            </w:r>
          </w:p>
        </w:tc>
      </w:tr>
      <w:tr w:rsidR="00B87FB9" w:rsidRPr="00F770D9" w:rsidTr="00380A28">
        <w:trPr>
          <w:cantSplit/>
        </w:trPr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</w:tcPr>
          <w:p w:rsidR="00B87FB9" w:rsidRPr="00F770D9" w:rsidRDefault="00B87FB9" w:rsidP="00380A28">
            <w:pPr>
              <w:spacing w:after="40"/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Recanalization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</w:tcPr>
          <w:p w:rsidR="00B87FB9" w:rsidRPr="00F770D9" w:rsidRDefault="00B87FB9" w:rsidP="00380A28">
            <w:pPr>
              <w:spacing w:after="40"/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141/187 (75.4%)</w:t>
            </w:r>
            <w:r w:rsidRPr="00F770D9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nil"/>
            </w:tcBorders>
          </w:tcPr>
          <w:p w:rsidR="00B87FB9" w:rsidRPr="00F770D9" w:rsidRDefault="00B87FB9" w:rsidP="00380A28">
            <w:pPr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68/207 (32.9%)</w:t>
            </w:r>
            <w:r w:rsidRPr="00F770D9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</w:tcPr>
          <w:p w:rsidR="00B87FB9" w:rsidRPr="00F770D9" w:rsidRDefault="00B87FB9" w:rsidP="00380A28">
            <w:pPr>
              <w:spacing w:after="40"/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6.88 (4.34 to 10.94)</w:t>
            </w:r>
          </w:p>
        </w:tc>
      </w:tr>
      <w:tr w:rsidR="00B87FB9" w:rsidRPr="00F770D9" w:rsidTr="00380A28">
        <w:trPr>
          <w:cantSplit/>
        </w:trPr>
        <w:tc>
          <w:tcPr>
            <w:tcW w:w="1620" w:type="dxa"/>
            <w:tcBorders>
              <w:left w:val="nil"/>
              <w:right w:val="nil"/>
            </w:tcBorders>
            <w:shd w:val="clear" w:color="auto" w:fill="E0E0E0"/>
          </w:tcPr>
          <w:p w:rsidR="00B87FB9" w:rsidRPr="00F770D9" w:rsidRDefault="00B87FB9" w:rsidP="00380A28">
            <w:pPr>
              <w:spacing w:before="60" w:after="40"/>
              <w:rPr>
                <w:b/>
                <w:sz w:val="18"/>
                <w:szCs w:val="18"/>
              </w:rPr>
            </w:pPr>
            <w:r w:rsidRPr="00F770D9">
              <w:rPr>
                <w:b/>
                <w:sz w:val="18"/>
                <w:szCs w:val="18"/>
              </w:rPr>
              <w:t>Campbell et al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E0E0E0"/>
          </w:tcPr>
          <w:p w:rsidR="00B87FB9" w:rsidRPr="00F770D9" w:rsidRDefault="00B87FB9" w:rsidP="00380A28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E0E0E0"/>
          </w:tcPr>
          <w:p w:rsidR="00B87FB9" w:rsidRPr="00F770D9" w:rsidRDefault="00B87FB9" w:rsidP="00380A28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E0E0E0"/>
          </w:tcPr>
          <w:p w:rsidR="00B87FB9" w:rsidRPr="00F770D9" w:rsidRDefault="00B87FB9" w:rsidP="00380A28">
            <w:pPr>
              <w:spacing w:before="60" w:after="40"/>
              <w:rPr>
                <w:sz w:val="18"/>
                <w:szCs w:val="18"/>
              </w:rPr>
            </w:pPr>
          </w:p>
        </w:tc>
      </w:tr>
      <w:tr w:rsidR="00B87FB9" w:rsidRPr="00F770D9" w:rsidTr="00380A28">
        <w:trPr>
          <w:cantSplit/>
        </w:trPr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B87FB9" w:rsidRPr="00F770D9" w:rsidRDefault="00B87FB9" w:rsidP="00380A28">
            <w:pPr>
              <w:spacing w:before="60" w:after="40"/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Reperfusion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</w:tcPr>
          <w:p w:rsidR="00B87FB9" w:rsidRPr="00F770D9" w:rsidRDefault="00B87FB9" w:rsidP="00380A28">
            <w:pPr>
              <w:spacing w:before="60" w:after="40"/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100 (100 to 100)</w:t>
            </w:r>
            <w:r w:rsidRPr="00F770D9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</w:tcPr>
          <w:p w:rsidR="00B87FB9" w:rsidRPr="00F770D9" w:rsidRDefault="00B87FB9" w:rsidP="00380A28">
            <w:pPr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37 (-0.5 to 96)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</w:tcPr>
          <w:p w:rsidR="00B87FB9" w:rsidRPr="00F770D9" w:rsidRDefault="00B87FB9" w:rsidP="00380A28">
            <w:pPr>
              <w:spacing w:before="60" w:after="40"/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4.7 (2.5 to 9.0)</w:t>
            </w:r>
            <w:r w:rsidRPr="00F770D9">
              <w:rPr>
                <w:sz w:val="18"/>
                <w:szCs w:val="18"/>
                <w:vertAlign w:val="superscript"/>
              </w:rPr>
              <w:t>d</w:t>
            </w:r>
          </w:p>
        </w:tc>
      </w:tr>
      <w:tr w:rsidR="00B87FB9" w:rsidRPr="00F770D9" w:rsidTr="00380A28">
        <w:trPr>
          <w:cantSplit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FB9" w:rsidRPr="00F770D9" w:rsidRDefault="00B87FB9" w:rsidP="00380A28">
            <w:pPr>
              <w:spacing w:before="60" w:after="40"/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Recanalization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FB9" w:rsidRPr="00F770D9" w:rsidRDefault="00B87FB9" w:rsidP="00380A28">
            <w:pPr>
              <w:spacing w:before="60" w:after="40"/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33 (94%)</w:t>
            </w:r>
            <w:r w:rsidRPr="00F770D9">
              <w:rPr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FB9" w:rsidRPr="00F770D9" w:rsidRDefault="00B87FB9" w:rsidP="00380A28">
            <w:pPr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15 (43%)</w:t>
            </w:r>
            <w:r w:rsidRPr="00F770D9">
              <w:rPr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FB9" w:rsidRPr="00F770D9" w:rsidRDefault="00B87FB9" w:rsidP="00380A28">
            <w:pPr>
              <w:spacing w:before="60" w:after="40"/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29.0 (5.4 to 155.0)</w:t>
            </w:r>
            <w:r w:rsidRPr="00F770D9">
              <w:rPr>
                <w:sz w:val="18"/>
                <w:szCs w:val="18"/>
                <w:vertAlign w:val="superscript"/>
              </w:rPr>
              <w:t>d</w:t>
            </w:r>
          </w:p>
        </w:tc>
      </w:tr>
      <w:tr w:rsidR="00B87FB9" w:rsidRPr="00F770D9" w:rsidTr="00380A28">
        <w:trPr>
          <w:cantSplit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87FB9" w:rsidRPr="00F770D9" w:rsidRDefault="00B87FB9" w:rsidP="00380A28">
            <w:pPr>
              <w:spacing w:before="60" w:after="40"/>
              <w:rPr>
                <w:b/>
                <w:sz w:val="18"/>
                <w:szCs w:val="18"/>
              </w:rPr>
            </w:pPr>
            <w:r w:rsidRPr="00F770D9">
              <w:rPr>
                <w:b/>
                <w:sz w:val="18"/>
                <w:szCs w:val="18"/>
              </w:rPr>
              <w:t xml:space="preserve">Goyal et al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87FB9" w:rsidRPr="00F770D9" w:rsidRDefault="00B87FB9" w:rsidP="00380A28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87FB9" w:rsidRPr="00F770D9" w:rsidRDefault="00B87FB9" w:rsidP="00380A28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87FB9" w:rsidRPr="00F770D9" w:rsidRDefault="00B87FB9" w:rsidP="00380A28">
            <w:pPr>
              <w:spacing w:before="60" w:after="40"/>
              <w:rPr>
                <w:sz w:val="18"/>
                <w:szCs w:val="18"/>
              </w:rPr>
            </w:pPr>
          </w:p>
        </w:tc>
      </w:tr>
      <w:tr w:rsidR="00B87FB9" w:rsidRPr="00F770D9" w:rsidTr="00380A28">
        <w:trPr>
          <w:cantSplit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FB9" w:rsidRPr="00F770D9" w:rsidRDefault="00B87FB9" w:rsidP="00380A28">
            <w:pPr>
              <w:spacing w:after="40"/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Reperfusion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FB9" w:rsidRPr="00F770D9" w:rsidRDefault="00B87FB9" w:rsidP="00380A28">
            <w:pPr>
              <w:spacing w:before="60" w:after="40"/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113/156 (72.4%)</w:t>
            </w:r>
            <w:r w:rsidRPr="00F770D9">
              <w:rPr>
                <w:sz w:val="18"/>
                <w:szCs w:val="18"/>
                <w:vertAlign w:val="superscript"/>
              </w:rPr>
              <w:t>f</w:t>
            </w:r>
            <w:r w:rsidRPr="00F770D9">
              <w:rPr>
                <w:sz w:val="18"/>
                <w:szCs w:val="18"/>
              </w:rPr>
              <w:t>:</w:t>
            </w:r>
          </w:p>
          <w:p w:rsidR="00B87FB9" w:rsidRPr="00F770D9" w:rsidRDefault="00B87FB9" w:rsidP="00380A28">
            <w:pPr>
              <w:spacing w:before="60" w:after="40"/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79/112 (70.5%) with IVT</w:t>
            </w:r>
          </w:p>
          <w:p w:rsidR="00B87FB9" w:rsidRPr="00F770D9" w:rsidRDefault="00B87FB9" w:rsidP="00380A28">
            <w:pPr>
              <w:spacing w:after="40"/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34/44 (77%) w/o IVT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FB9" w:rsidRPr="00F770D9" w:rsidRDefault="00B87FB9" w:rsidP="00380A28">
            <w:pPr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NR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FB9" w:rsidRPr="00F770D9" w:rsidRDefault="00B87FB9" w:rsidP="00380A28">
            <w:pPr>
              <w:spacing w:after="40"/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NR</w:t>
            </w:r>
          </w:p>
        </w:tc>
      </w:tr>
      <w:tr w:rsidR="00B87FB9" w:rsidRPr="00F770D9" w:rsidTr="00380A28">
        <w:trPr>
          <w:cantSplit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FB9" w:rsidRPr="00F770D9" w:rsidRDefault="00B87FB9" w:rsidP="00380A28">
            <w:pPr>
              <w:spacing w:after="40"/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Recanalization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FB9" w:rsidRPr="00F770D9" w:rsidRDefault="00B87FB9" w:rsidP="00380A28">
            <w:pPr>
              <w:spacing w:after="40"/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NR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FB9" w:rsidRPr="00F770D9" w:rsidRDefault="00B87FB9" w:rsidP="00380A28">
            <w:pPr>
              <w:spacing w:before="60"/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43/138 (31.2%)</w:t>
            </w:r>
            <w:r w:rsidRPr="00F770D9">
              <w:rPr>
                <w:sz w:val="18"/>
                <w:szCs w:val="18"/>
                <w:vertAlign w:val="superscript"/>
              </w:rPr>
              <w:t>g</w:t>
            </w:r>
            <w:r w:rsidRPr="00F770D9">
              <w:rPr>
                <w:sz w:val="18"/>
                <w:szCs w:val="18"/>
              </w:rPr>
              <w:t>:</w:t>
            </w:r>
          </w:p>
          <w:p w:rsidR="00B87FB9" w:rsidRPr="00F770D9" w:rsidRDefault="00B87FB9" w:rsidP="00380A28">
            <w:pPr>
              <w:spacing w:before="60"/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41/110 (32.3%) with IVT</w:t>
            </w:r>
          </w:p>
          <w:p w:rsidR="00B87FB9" w:rsidRPr="00F770D9" w:rsidRDefault="00B87FB9" w:rsidP="00380A28">
            <w:pPr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2/28 (7%) w/o IVT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FB9" w:rsidRPr="00F770D9" w:rsidRDefault="00B87FB9" w:rsidP="00380A28">
            <w:pPr>
              <w:spacing w:after="40"/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NR</w:t>
            </w:r>
          </w:p>
        </w:tc>
      </w:tr>
      <w:tr w:rsidR="00B87FB9" w:rsidRPr="00F770D9" w:rsidTr="00380A28">
        <w:trPr>
          <w:cantSplit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87FB9" w:rsidRPr="00F770D9" w:rsidRDefault="00B87FB9" w:rsidP="00380A28">
            <w:pPr>
              <w:spacing w:before="60" w:after="40"/>
              <w:rPr>
                <w:b/>
                <w:sz w:val="18"/>
                <w:szCs w:val="18"/>
              </w:rPr>
            </w:pPr>
            <w:r w:rsidRPr="00F770D9">
              <w:rPr>
                <w:b/>
                <w:sz w:val="18"/>
                <w:szCs w:val="18"/>
              </w:rPr>
              <w:t xml:space="preserve">Jovin et al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87FB9" w:rsidRPr="00F770D9" w:rsidRDefault="00B87FB9" w:rsidP="00380A28">
            <w:pPr>
              <w:spacing w:before="60" w:after="40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87FB9" w:rsidRPr="00F770D9" w:rsidRDefault="00B87FB9" w:rsidP="00380A28">
            <w:pPr>
              <w:spacing w:before="60" w:after="40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87FB9" w:rsidRPr="00F770D9" w:rsidRDefault="00B87FB9" w:rsidP="00380A28">
            <w:pPr>
              <w:spacing w:before="60" w:after="40"/>
              <w:rPr>
                <w:b/>
                <w:sz w:val="18"/>
                <w:szCs w:val="18"/>
              </w:rPr>
            </w:pPr>
          </w:p>
        </w:tc>
      </w:tr>
      <w:tr w:rsidR="00B87FB9" w:rsidRPr="00F770D9" w:rsidTr="00380A28">
        <w:trPr>
          <w:cantSplit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FB9" w:rsidRPr="00F770D9" w:rsidRDefault="00B87FB9" w:rsidP="00380A28">
            <w:pPr>
              <w:spacing w:after="40"/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Reperfusion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FB9" w:rsidRPr="00F770D9" w:rsidRDefault="00B87FB9" w:rsidP="00380A28">
            <w:pPr>
              <w:spacing w:after="40"/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67/102 (65.7%)</w:t>
            </w:r>
            <w:r w:rsidRPr="00F770D9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FB9" w:rsidRPr="00F770D9" w:rsidRDefault="00B87FB9" w:rsidP="00380A28">
            <w:pPr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NR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FB9" w:rsidRPr="00F770D9" w:rsidRDefault="00B87FB9" w:rsidP="00380A28">
            <w:pPr>
              <w:spacing w:after="40"/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NR</w:t>
            </w:r>
          </w:p>
        </w:tc>
      </w:tr>
      <w:tr w:rsidR="00B87FB9" w:rsidRPr="00F770D9" w:rsidTr="00380A28">
        <w:trPr>
          <w:cantSplit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FB9" w:rsidRPr="00F770D9" w:rsidRDefault="00B87FB9" w:rsidP="00380A28">
            <w:pPr>
              <w:spacing w:after="40"/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Recanalization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FB9" w:rsidRPr="00F770D9" w:rsidRDefault="00B87FB9" w:rsidP="00380A28">
            <w:pPr>
              <w:spacing w:after="40"/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NR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FB9" w:rsidRPr="00F770D9" w:rsidRDefault="00B87FB9" w:rsidP="00380A28">
            <w:pPr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NR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FB9" w:rsidRPr="00F770D9" w:rsidRDefault="00B87FB9" w:rsidP="00380A28">
            <w:pPr>
              <w:spacing w:after="40"/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NR</w:t>
            </w:r>
          </w:p>
        </w:tc>
      </w:tr>
      <w:tr w:rsidR="00B87FB9" w:rsidRPr="00F770D9" w:rsidTr="00380A28">
        <w:trPr>
          <w:cantSplit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87FB9" w:rsidRPr="00F770D9" w:rsidRDefault="00B87FB9" w:rsidP="00380A28">
            <w:pPr>
              <w:spacing w:before="60" w:after="40"/>
              <w:rPr>
                <w:b/>
                <w:sz w:val="18"/>
                <w:szCs w:val="18"/>
              </w:rPr>
            </w:pPr>
            <w:r w:rsidRPr="00F770D9">
              <w:rPr>
                <w:b/>
                <w:sz w:val="18"/>
                <w:szCs w:val="18"/>
              </w:rPr>
              <w:t>Saver et al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87FB9" w:rsidRPr="00F770D9" w:rsidRDefault="00B87FB9" w:rsidP="00380A28">
            <w:pPr>
              <w:spacing w:before="60" w:after="40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87FB9" w:rsidRPr="00F770D9" w:rsidRDefault="00B87FB9" w:rsidP="00380A28">
            <w:pPr>
              <w:spacing w:before="60" w:after="40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87FB9" w:rsidRPr="00F770D9" w:rsidRDefault="00B87FB9" w:rsidP="00380A28">
            <w:pPr>
              <w:spacing w:before="60" w:after="40"/>
              <w:rPr>
                <w:b/>
                <w:sz w:val="18"/>
                <w:szCs w:val="18"/>
              </w:rPr>
            </w:pPr>
          </w:p>
        </w:tc>
      </w:tr>
      <w:tr w:rsidR="00B87FB9" w:rsidRPr="00F770D9" w:rsidTr="00380A28">
        <w:trPr>
          <w:cantSplit/>
        </w:trPr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B87FB9" w:rsidRPr="00F770D9" w:rsidRDefault="00B87FB9" w:rsidP="00380A28">
            <w:pPr>
              <w:spacing w:after="40"/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Reperfusion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B87FB9" w:rsidRPr="00F770D9" w:rsidRDefault="00B87FB9" w:rsidP="00380A28">
            <w:pPr>
              <w:spacing w:before="60" w:after="40"/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73/83 (88%)</w:t>
            </w:r>
            <w:r w:rsidRPr="00F770D9">
              <w:rPr>
                <w:sz w:val="18"/>
                <w:szCs w:val="18"/>
                <w:vertAlign w:val="superscript"/>
              </w:rPr>
              <w:t xml:space="preserve">a </w:t>
            </w:r>
          </w:p>
          <w:p w:rsidR="00B87FB9" w:rsidRPr="00F770D9" w:rsidRDefault="00B87FB9" w:rsidP="00380A28">
            <w:pPr>
              <w:spacing w:after="40"/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53/64 (83%)</w:t>
            </w:r>
            <w:r w:rsidRPr="00F770D9">
              <w:rPr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B87FB9" w:rsidRPr="00F770D9" w:rsidRDefault="00B87FB9" w:rsidP="00380A28">
            <w:pPr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21/52 (40%)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B87FB9" w:rsidRPr="00F770D9" w:rsidRDefault="00B87FB9" w:rsidP="00380A28">
            <w:pPr>
              <w:spacing w:after="40"/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2.05 (1.45 to 2.91)</w:t>
            </w:r>
            <w:r w:rsidRPr="00F770D9">
              <w:rPr>
                <w:sz w:val="18"/>
                <w:szCs w:val="18"/>
                <w:vertAlign w:val="superscript"/>
              </w:rPr>
              <w:t>d</w:t>
            </w:r>
          </w:p>
        </w:tc>
      </w:tr>
      <w:tr w:rsidR="00B87FB9" w:rsidRPr="00F770D9" w:rsidTr="00380A28">
        <w:trPr>
          <w:cantSplit/>
        </w:trPr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</w:tcPr>
          <w:p w:rsidR="00B87FB9" w:rsidRPr="00F770D9" w:rsidRDefault="00B87FB9" w:rsidP="00380A28">
            <w:pPr>
              <w:spacing w:after="40"/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Recanalization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</w:tcPr>
          <w:p w:rsidR="00B87FB9" w:rsidRPr="00F770D9" w:rsidRDefault="00B87FB9" w:rsidP="00380A28">
            <w:pPr>
              <w:spacing w:after="40"/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NR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nil"/>
            </w:tcBorders>
          </w:tcPr>
          <w:p w:rsidR="00B87FB9" w:rsidRPr="00F770D9" w:rsidRDefault="00B87FB9" w:rsidP="00380A28">
            <w:pPr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NR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</w:tcPr>
          <w:p w:rsidR="00B87FB9" w:rsidRPr="00F770D9" w:rsidRDefault="00B87FB9" w:rsidP="00380A28">
            <w:pPr>
              <w:spacing w:after="40"/>
              <w:rPr>
                <w:sz w:val="18"/>
                <w:szCs w:val="18"/>
              </w:rPr>
            </w:pPr>
            <w:r w:rsidRPr="00F770D9">
              <w:rPr>
                <w:sz w:val="18"/>
                <w:szCs w:val="18"/>
              </w:rPr>
              <w:t>NR</w:t>
            </w:r>
          </w:p>
        </w:tc>
      </w:tr>
    </w:tbl>
    <w:p w:rsidR="00B87FB9" w:rsidRPr="00F770D9" w:rsidRDefault="00B87FB9" w:rsidP="00B87FB9">
      <w:pPr>
        <w:pStyle w:val="TableFootnote"/>
        <w:rPr>
          <w:rFonts w:asciiTheme="minorHAnsi" w:hAnsiTheme="minorHAnsi"/>
        </w:rPr>
      </w:pPr>
      <w:r w:rsidRPr="00F770D9">
        <w:rPr>
          <w:rFonts w:asciiTheme="minorHAnsi" w:hAnsiTheme="minorHAnsi"/>
        </w:rPr>
        <w:t>Abbreviations: IVT, intravenous thrombolysis, NR, not reported</w:t>
      </w:r>
    </w:p>
    <w:p w:rsidR="00B87FB9" w:rsidRPr="00F770D9" w:rsidRDefault="00B87FB9" w:rsidP="00B87FB9">
      <w:pPr>
        <w:pStyle w:val="TableFootnote"/>
        <w:rPr>
          <w:rFonts w:asciiTheme="minorHAnsi" w:hAnsiTheme="minorHAnsi"/>
          <w:vertAlign w:val="superscript"/>
        </w:rPr>
      </w:pPr>
      <w:r w:rsidRPr="00F770D9">
        <w:rPr>
          <w:rFonts w:asciiTheme="minorHAnsi" w:hAnsiTheme="minorHAnsi"/>
          <w:vertAlign w:val="superscript"/>
        </w:rPr>
        <w:t>a</w:t>
      </w:r>
      <w:r w:rsidRPr="00F770D9">
        <w:rPr>
          <w:rFonts w:asciiTheme="minorHAnsi" w:hAnsiTheme="minorHAnsi"/>
        </w:rPr>
        <w:t>Reperfusion was measured by the modified Thrombolysis in Cerebral Infarction (TICI) score where a score of 2b or 3, indicating complete filling of the expected vascular territory – no./total no. (%).</w:t>
      </w:r>
    </w:p>
    <w:p w:rsidR="00B87FB9" w:rsidRPr="00F770D9" w:rsidRDefault="00B87FB9" w:rsidP="00B87FB9">
      <w:pPr>
        <w:pStyle w:val="TableFootnote"/>
        <w:rPr>
          <w:rFonts w:asciiTheme="minorHAnsi" w:hAnsiTheme="minorHAnsi"/>
          <w:lang w:val="en-US"/>
        </w:rPr>
      </w:pPr>
      <w:r w:rsidRPr="00F770D9">
        <w:rPr>
          <w:rFonts w:asciiTheme="minorHAnsi" w:hAnsiTheme="minorHAnsi"/>
          <w:vertAlign w:val="superscript"/>
        </w:rPr>
        <w:t>b</w:t>
      </w:r>
      <w:r w:rsidRPr="00F770D9">
        <w:rPr>
          <w:rFonts w:asciiTheme="minorHAnsi" w:hAnsiTheme="minorHAnsi"/>
        </w:rPr>
        <w:t>Measured as number of patients with no intracranial occlusion on follow-up CT angiography – no./total no. (%).</w:t>
      </w:r>
      <w:r w:rsidRPr="00F770D9">
        <w:rPr>
          <w:rFonts w:asciiTheme="minorHAnsi" w:hAnsiTheme="minorHAnsi"/>
          <w:lang w:val="en-US"/>
        </w:rPr>
        <w:t>Data for follow-up CT angiography were not available for 106 patients owing to imminent death or death (24 patients), decreased kidney function (13 patients), insufficient scan quality (5 patients), and other reasons (64 patients).</w:t>
      </w:r>
    </w:p>
    <w:p w:rsidR="00B87FB9" w:rsidRPr="00F770D9" w:rsidRDefault="00B87FB9" w:rsidP="00B87FB9">
      <w:pPr>
        <w:rPr>
          <w:sz w:val="14"/>
          <w:szCs w:val="14"/>
        </w:rPr>
      </w:pPr>
      <w:r w:rsidRPr="00F770D9">
        <w:rPr>
          <w:sz w:val="14"/>
          <w:szCs w:val="14"/>
          <w:vertAlign w:val="superscript"/>
        </w:rPr>
        <w:t>c</w:t>
      </w:r>
      <w:r w:rsidRPr="00F770D9">
        <w:rPr>
          <w:sz w:val="14"/>
          <w:szCs w:val="14"/>
        </w:rPr>
        <w:t>Reperfusion was defined as the percentage reduction in the perfusion-lesion volume between initial imaging and 24-hour imaging (IQR). This value can be negative if hypoperfusion becomes more severe over time. This analysis was adjusted for the site of vessel occlusion at baseline.</w:t>
      </w:r>
    </w:p>
    <w:p w:rsidR="00B87FB9" w:rsidRPr="00F770D9" w:rsidRDefault="00B87FB9" w:rsidP="00B87FB9">
      <w:pPr>
        <w:rPr>
          <w:sz w:val="14"/>
          <w:szCs w:val="14"/>
        </w:rPr>
      </w:pPr>
      <w:r w:rsidRPr="00F770D9">
        <w:rPr>
          <w:sz w:val="14"/>
          <w:szCs w:val="14"/>
          <w:vertAlign w:val="superscript"/>
        </w:rPr>
        <w:t>d</w:t>
      </w:r>
      <w:r w:rsidRPr="00F770D9">
        <w:rPr>
          <w:sz w:val="14"/>
          <w:szCs w:val="14"/>
        </w:rPr>
        <w:t>P&lt;0.001.</w:t>
      </w:r>
    </w:p>
    <w:p w:rsidR="00B87FB9" w:rsidRPr="00F770D9" w:rsidRDefault="00B87FB9" w:rsidP="00B87FB9">
      <w:pPr>
        <w:rPr>
          <w:sz w:val="14"/>
          <w:szCs w:val="14"/>
        </w:rPr>
      </w:pPr>
      <w:r w:rsidRPr="00F770D9">
        <w:rPr>
          <w:sz w:val="14"/>
          <w:szCs w:val="14"/>
          <w:vertAlign w:val="superscript"/>
        </w:rPr>
        <w:t>e</w:t>
      </w:r>
      <w:r w:rsidRPr="00F770D9">
        <w:rPr>
          <w:sz w:val="14"/>
          <w:szCs w:val="14"/>
        </w:rPr>
        <w:t>Recanalization was defined as a Thrombolysis in Myocardial Infarction score of 2 or 3 (partial or complete restoration of flow at the site of arterial occlusion) and measured at 24 hours. This analysis was adjusted for the site of vessel occlusion at baseline.</w:t>
      </w:r>
    </w:p>
    <w:p w:rsidR="00B87FB9" w:rsidRPr="00F770D9" w:rsidRDefault="00B87FB9" w:rsidP="00B87FB9">
      <w:pPr>
        <w:pStyle w:val="TableFootnote"/>
        <w:spacing w:after="0"/>
        <w:rPr>
          <w:rFonts w:asciiTheme="minorHAnsi" w:hAnsiTheme="minorHAnsi"/>
        </w:rPr>
      </w:pPr>
      <w:r w:rsidRPr="00F770D9">
        <w:rPr>
          <w:rFonts w:asciiTheme="minorHAnsi" w:hAnsiTheme="minorHAnsi"/>
          <w:vertAlign w:val="superscript"/>
        </w:rPr>
        <w:t>f</w:t>
      </w:r>
      <w:r w:rsidRPr="00F770D9">
        <w:rPr>
          <w:rFonts w:asciiTheme="minorHAnsi" w:hAnsiTheme="minorHAnsi"/>
        </w:rPr>
        <w:t xml:space="preserve">Reperfusion was measured by the Thrombolysis in Cerebral Infarction (TICI) score where a score of 2b or 3, indicating complete filling of the expected vascular territory – no./total no. (%). </w:t>
      </w:r>
    </w:p>
    <w:p w:rsidR="00B87FB9" w:rsidRPr="00F770D9" w:rsidRDefault="00B87FB9" w:rsidP="00B87FB9">
      <w:pPr>
        <w:rPr>
          <w:sz w:val="14"/>
          <w:szCs w:val="14"/>
        </w:rPr>
      </w:pPr>
      <w:r w:rsidRPr="00F770D9">
        <w:rPr>
          <w:sz w:val="14"/>
          <w:szCs w:val="14"/>
          <w:vertAlign w:val="superscript"/>
        </w:rPr>
        <w:t>g</w:t>
      </w:r>
      <w:r w:rsidRPr="00F770D9">
        <w:rPr>
          <w:sz w:val="14"/>
          <w:szCs w:val="14"/>
        </w:rPr>
        <w:t>Recanalization was measured by a modified Arterial Occlusive Lesion (AOL) score of 2 or 3 indicates partial or complete recanalization – no./total no.</w:t>
      </w:r>
    </w:p>
    <w:p w:rsidR="00B87FB9" w:rsidRPr="00F770D9" w:rsidRDefault="00B87FB9" w:rsidP="00B87FB9">
      <w:pPr>
        <w:rPr>
          <w:sz w:val="14"/>
          <w:szCs w:val="14"/>
        </w:rPr>
      </w:pPr>
      <w:r w:rsidRPr="00F770D9">
        <w:rPr>
          <w:sz w:val="14"/>
          <w:szCs w:val="14"/>
          <w:vertAlign w:val="superscript"/>
        </w:rPr>
        <w:t>h</w:t>
      </w:r>
      <w:r w:rsidRPr="00F770D9">
        <w:rPr>
          <w:sz w:val="14"/>
          <w:szCs w:val="14"/>
        </w:rPr>
        <w:t>Saver et al also reported successful reperfusion at 27 hr. – no./total no (%). Successful reperfusion was defined as reperfusion at least 90%, as assessed with the use of perfusion CT or MRI. Data on successful reperfusion were not obtained for all patients after the adoption of the protocol amendment making penumbral imaging optional</w:t>
      </w:r>
    </w:p>
    <w:p w:rsidR="00B87FB9" w:rsidRDefault="00B87FB9"/>
    <w:p w:rsidR="00A03903" w:rsidRDefault="00A03903"/>
    <w:p w:rsidR="00A03903" w:rsidRDefault="00A03903"/>
    <w:p w:rsidR="00A03903" w:rsidRDefault="00A03903"/>
    <w:p w:rsidR="00A03903" w:rsidRDefault="00A03903"/>
    <w:p w:rsidR="00A03903" w:rsidRDefault="00A03903"/>
    <w:p w:rsidR="00A03903" w:rsidRDefault="00A03903"/>
    <w:p w:rsidR="00A03903" w:rsidRDefault="00A03903"/>
    <w:p w:rsidR="00A03903" w:rsidRDefault="00A03903"/>
    <w:p w:rsidR="00A03903" w:rsidRDefault="00A03903">
      <w:bookmarkStart w:id="10" w:name="_GoBack"/>
      <w:bookmarkEnd w:id="10"/>
    </w:p>
    <w:sectPr w:rsidR="00A03903" w:rsidSect="00D35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5EC" w:rsidRDefault="005145EC" w:rsidP="00A03903">
      <w:r>
        <w:separator/>
      </w:r>
    </w:p>
  </w:endnote>
  <w:endnote w:type="continuationSeparator" w:id="0">
    <w:p w:rsidR="005145EC" w:rsidRDefault="005145EC" w:rsidP="00A0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5EC" w:rsidRDefault="005145EC" w:rsidP="00A03903">
      <w:r>
        <w:separator/>
      </w:r>
    </w:p>
  </w:footnote>
  <w:footnote w:type="continuationSeparator" w:id="0">
    <w:p w:rsidR="005145EC" w:rsidRDefault="005145EC" w:rsidP="00A03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67A6A"/>
    <w:multiLevelType w:val="hybridMultilevel"/>
    <w:tmpl w:val="DC203FDC"/>
    <w:lvl w:ilvl="0" w:tplc="825C94C6">
      <w:start w:val="1"/>
      <w:numFmt w:val="bullet"/>
      <w:pStyle w:val="BulletListlevel1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7EE870C7"/>
    <w:multiLevelType w:val="hybridMultilevel"/>
    <w:tmpl w:val="85D6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66"/>
    <w:rsid w:val="00055113"/>
    <w:rsid w:val="00133692"/>
    <w:rsid w:val="00147C58"/>
    <w:rsid w:val="0019095D"/>
    <w:rsid w:val="0021300D"/>
    <w:rsid w:val="0023209F"/>
    <w:rsid w:val="0024689A"/>
    <w:rsid w:val="002655E0"/>
    <w:rsid w:val="002A5C21"/>
    <w:rsid w:val="002D0059"/>
    <w:rsid w:val="003D2912"/>
    <w:rsid w:val="0044728C"/>
    <w:rsid w:val="00460FC8"/>
    <w:rsid w:val="004B4680"/>
    <w:rsid w:val="004B6A3A"/>
    <w:rsid w:val="004D7055"/>
    <w:rsid w:val="005033AE"/>
    <w:rsid w:val="005145EC"/>
    <w:rsid w:val="00521A55"/>
    <w:rsid w:val="00566B9D"/>
    <w:rsid w:val="005A22B2"/>
    <w:rsid w:val="00640014"/>
    <w:rsid w:val="00683434"/>
    <w:rsid w:val="00692745"/>
    <w:rsid w:val="00753211"/>
    <w:rsid w:val="007F64D6"/>
    <w:rsid w:val="00806F35"/>
    <w:rsid w:val="00834ABE"/>
    <w:rsid w:val="00856C67"/>
    <w:rsid w:val="008A07E9"/>
    <w:rsid w:val="00A03903"/>
    <w:rsid w:val="00B87FB9"/>
    <w:rsid w:val="00BC24CF"/>
    <w:rsid w:val="00C30D7D"/>
    <w:rsid w:val="00CB1366"/>
    <w:rsid w:val="00D35243"/>
    <w:rsid w:val="00EF77FE"/>
    <w:rsid w:val="00F846BB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423A4-2DA8-493B-82F0-48B305A7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366"/>
    <w:pPr>
      <w:spacing w:after="0" w:line="240" w:lineRule="auto"/>
    </w:pPr>
    <w:rPr>
      <w:rFonts w:ascii="Arial" w:eastAsia="Times New Roman" w:hAnsi="Arial" w:cs="Times New Roman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1366"/>
    <w:pPr>
      <w:keepNext/>
      <w:keepLines/>
      <w:spacing w:before="160" w:after="240"/>
      <w:outlineLvl w:val="0"/>
    </w:pPr>
    <w:rPr>
      <w:b/>
      <w:bCs/>
      <w:caps/>
      <w:color w:val="00788A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1366"/>
    <w:pPr>
      <w:keepNext/>
      <w:keepLines/>
      <w:spacing w:after="160"/>
      <w:outlineLvl w:val="1"/>
    </w:pPr>
    <w:rPr>
      <w:b/>
      <w:bCs/>
      <w:color w:val="00A0A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8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B1366"/>
    <w:rPr>
      <w:rFonts w:ascii="Arial" w:eastAsia="Times New Roman" w:hAnsi="Arial" w:cs="Times New Roman"/>
      <w:b/>
      <w:bCs/>
      <w:caps/>
      <w:color w:val="00788A"/>
      <w:sz w:val="24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9"/>
    <w:rsid w:val="00CB1366"/>
    <w:rPr>
      <w:rFonts w:ascii="Arial" w:eastAsia="Times New Roman" w:hAnsi="Arial" w:cs="Times New Roman"/>
      <w:b/>
      <w:bCs/>
      <w:color w:val="00A0AF"/>
      <w:sz w:val="24"/>
      <w:szCs w:val="26"/>
      <w:lang w:val="en-CA"/>
    </w:rPr>
  </w:style>
  <w:style w:type="paragraph" w:customStyle="1" w:styleId="TableTitle">
    <w:name w:val="Table Title"/>
    <w:basedOn w:val="Normal"/>
    <w:link w:val="TableTitleChar"/>
    <w:uiPriority w:val="99"/>
    <w:qFormat/>
    <w:rsid w:val="00CB1366"/>
    <w:pPr>
      <w:spacing w:after="120"/>
      <w:ind w:left="794" w:hanging="794"/>
    </w:pPr>
    <w:rPr>
      <w:b/>
      <w:sz w:val="20"/>
    </w:rPr>
  </w:style>
  <w:style w:type="paragraph" w:customStyle="1" w:styleId="TableFootnote">
    <w:name w:val="Table Footnote"/>
    <w:basedOn w:val="Normal"/>
    <w:next w:val="Normal"/>
    <w:uiPriority w:val="99"/>
    <w:rsid w:val="00CB1366"/>
    <w:pPr>
      <w:spacing w:after="20"/>
    </w:pPr>
    <w:rPr>
      <w:sz w:val="14"/>
    </w:rPr>
  </w:style>
  <w:style w:type="paragraph" w:customStyle="1" w:styleId="FigureTitle">
    <w:name w:val="Figure Title"/>
    <w:basedOn w:val="Normal"/>
    <w:next w:val="Normal"/>
    <w:qFormat/>
    <w:rsid w:val="005033AE"/>
    <w:pPr>
      <w:spacing w:after="120"/>
      <w:ind w:left="720" w:hanging="720"/>
    </w:pPr>
    <w:rPr>
      <w:b/>
      <w:sz w:val="20"/>
    </w:rPr>
  </w:style>
  <w:style w:type="paragraph" w:customStyle="1" w:styleId="H2HQOHeading2">
    <w:name w:val="H2_HQO_Heading 2"/>
    <w:qFormat/>
    <w:rsid w:val="005033AE"/>
    <w:pPr>
      <w:spacing w:after="0" w:line="240" w:lineRule="auto"/>
    </w:pPr>
    <w:rPr>
      <w:rFonts w:ascii="Arial" w:eastAsia="Times New Roman" w:hAnsi="Arial" w:cs="Arial"/>
      <w:b/>
      <w:color w:val="00A0AF"/>
      <w:sz w:val="24"/>
      <w:szCs w:val="24"/>
      <w:lang w:val="en-CA" w:eastAsia="en-CA"/>
    </w:rPr>
  </w:style>
  <w:style w:type="paragraph" w:customStyle="1" w:styleId="BulletListlevel1">
    <w:name w:val="Bullet List level 1"/>
    <w:basedOn w:val="Normal"/>
    <w:next w:val="Normal"/>
    <w:uiPriority w:val="99"/>
    <w:rsid w:val="005033AE"/>
    <w:pPr>
      <w:numPr>
        <w:numId w:val="1"/>
      </w:numPr>
      <w:spacing w:after="6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468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/>
    </w:rPr>
  </w:style>
  <w:style w:type="character" w:customStyle="1" w:styleId="TableTitleChar">
    <w:name w:val="Table Title Char"/>
    <w:basedOn w:val="DefaultParagraphFont"/>
    <w:link w:val="TableTitle"/>
    <w:uiPriority w:val="99"/>
    <w:locked/>
    <w:rsid w:val="00692745"/>
    <w:rPr>
      <w:rFonts w:ascii="Arial" w:eastAsia="Times New Roman" w:hAnsi="Arial" w:cs="Times New Roman"/>
      <w:b/>
      <w:sz w:val="20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03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903"/>
    <w:rPr>
      <w:rFonts w:ascii="Arial" w:eastAsia="Times New Roman" w:hAnsi="Arial" w:cs="Times New Roman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03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903"/>
    <w:rPr>
      <w:rFonts w:ascii="Arial" w:eastAsia="Times New Roman" w:hAnsi="Arial" w:cs="Times New Roman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1650</Words>
  <Characters>9411</Characters>
  <Application>Microsoft Office Word</Application>
  <DocSecurity>0</DocSecurity>
  <Lines>78</Lines>
  <Paragraphs>22</Paragraphs>
  <ScaleCrop>false</ScaleCrop>
  <Company/>
  <LinksUpToDate>false</LinksUpToDate>
  <CharactersWithSpaces>11039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Lambrinos, Anna</dc:creator>
  <cp:keywords/>
  <dc:description/>
  <cp:lastModifiedBy>Lambrinos, Anna</cp:lastModifiedBy>
  <cp:revision>40</cp:revision>
  <dcterms:created xsi:type="dcterms:W3CDTF">2015-07-03T14:19:00Z</dcterms:created>
  <dcterms:modified xsi:type="dcterms:W3CDTF">2015-09-30T12:08:00Z</dcterms:modified>
</cp:coreProperties>
</file>