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4" w:rsidRDefault="000204B4" w:rsidP="000204B4">
      <w:pPr>
        <w:pStyle w:val="Normal1"/>
        <w:widowControl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  <w:r w:rsidRPr="00132CFE">
        <w:rPr>
          <w:rFonts w:ascii="Times New Roman" w:eastAsia="Times New Roman" w:hAnsi="Times New Roman" w:cs="Times New Roman"/>
          <w:b/>
          <w:color w:val="auto"/>
        </w:rPr>
        <w:t>Supplementary material</w:t>
      </w:r>
      <w:r>
        <w:rPr>
          <w:rFonts w:ascii="Times New Roman" w:eastAsia="Times New Roman" w:hAnsi="Times New Roman" w:cs="Times New Roman"/>
          <w:b/>
          <w:color w:val="auto"/>
        </w:rPr>
        <w:t xml:space="preserve"> 2</w:t>
      </w:r>
    </w:p>
    <w:p w:rsidR="000204B4" w:rsidRPr="00132CFE" w:rsidRDefault="000204B4" w:rsidP="000204B4">
      <w:pPr>
        <w:pStyle w:val="Normal1"/>
        <w:widowControl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Statistical output for the pitch distance.</w:t>
      </w:r>
    </w:p>
    <w:tbl>
      <w:tblPr>
        <w:tblW w:w="8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469"/>
        <w:gridCol w:w="1467"/>
        <w:gridCol w:w="1518"/>
        <w:gridCol w:w="1605"/>
        <w:gridCol w:w="1466"/>
      </w:tblGrid>
      <w:tr w:rsidR="000204B4" w:rsidRPr="00132CFE" w:rsidTr="002269EC">
        <w:trPr>
          <w:trHeight w:val="160"/>
          <w:jc w:val="center"/>
        </w:trPr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469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467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3.261</w:t>
            </w:r>
          </w:p>
        </w:tc>
        <w:tc>
          <w:tcPr>
            <w:tcW w:w="1518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0.236</w:t>
            </w:r>
          </w:p>
        </w:tc>
        <w:tc>
          <w:tcPr>
            <w:tcW w:w="1605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13.796</w:t>
            </w:r>
          </w:p>
        </w:tc>
        <w:tc>
          <w:tcPr>
            <w:tcW w:w="1466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Age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1.593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0.127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Utterance type[Babble]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-0.694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0.197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-3.520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Utterance type = babble or word, with the reference category between []; ***: p ≤ ‘0.001’, **: p ≤ ‘0.01’, *: p ≤ ‘0.05’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, .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>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intensity ratios.</w:t>
      </w:r>
    </w:p>
    <w:tbl>
      <w:tblPr>
        <w:tblW w:w="89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1521"/>
        <w:gridCol w:w="1582"/>
        <w:gridCol w:w="2213"/>
        <w:gridCol w:w="1419"/>
      </w:tblGrid>
      <w:tr w:rsidR="000204B4" w:rsidRPr="00132CFE" w:rsidTr="002269EC">
        <w:trPr>
          <w:trHeight w:val="160"/>
          <w:jc w:val="center"/>
        </w:trPr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166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21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1.030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0.009</w:t>
            </w:r>
          </w:p>
        </w:tc>
        <w:tc>
          <w:tcPr>
            <w:tcW w:w="2213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115.786</w:t>
            </w:r>
          </w:p>
        </w:tc>
        <w:tc>
          <w:tcPr>
            <w:tcW w:w="1419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 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Age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0.809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0.427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Utterance type[Babble]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-0.016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-2.183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0.029 *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Utterance type = babble or word, with the reference category between []; ***: p ≤ ‘0.001’, **: p ≤ ‘0.01’, *: p ≤ ‘0.05’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, .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>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  <w:bookmarkStart w:id="1" w:name="h.2r0uhxc" w:colFirst="0" w:colLast="0"/>
      <w:bookmarkEnd w:id="1"/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duration ratios.</w:t>
      </w:r>
    </w:p>
    <w:tbl>
      <w:tblPr>
        <w:tblW w:w="8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566"/>
        <w:gridCol w:w="1523"/>
        <w:gridCol w:w="1582"/>
        <w:gridCol w:w="1843"/>
        <w:gridCol w:w="1372"/>
      </w:tblGrid>
      <w:tr w:rsidR="000204B4" w:rsidRPr="00132CFE" w:rsidTr="002269EC">
        <w:trPr>
          <w:trHeight w:val="160"/>
          <w:jc w:val="center"/>
        </w:trPr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566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23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0.856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0.055</w:t>
            </w:r>
          </w:p>
        </w:tc>
        <w:tc>
          <w:tcPr>
            <w:tcW w:w="1843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15.678</w:t>
            </w:r>
          </w:p>
        </w:tc>
        <w:tc>
          <w:tcPr>
            <w:tcW w:w="137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 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Age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0.037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3.920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 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Utterance type[Babble]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-0.126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-2.614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0.009 **</w:t>
            </w:r>
          </w:p>
        </w:tc>
      </w:tr>
      <w:tr w:rsidR="000204B4" w:rsidRPr="00132CFE" w:rsidTr="002269EC">
        <w:trPr>
          <w:trHeight w:val="320"/>
          <w:jc w:val="center"/>
        </w:trPr>
        <w:tc>
          <w:tcPr>
            <w:tcW w:w="256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Interaction: age*utterance type[age*Babble]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-0.037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-3.799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 ***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Utterance type = babble or word, with the reference category between []; ***: p ≤ ‘0.001’, **: p ≤ ‘0.01’, *: p ≤ ‘0.05’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, .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>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pitch distance: analysis on lexical subset with cumulative vocabulary as longitudinal predictor.</w:t>
      </w:r>
    </w:p>
    <w:tbl>
      <w:tblPr>
        <w:tblW w:w="88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1525"/>
        <w:gridCol w:w="1582"/>
        <w:gridCol w:w="1765"/>
        <w:gridCol w:w="1523"/>
      </w:tblGrid>
      <w:tr w:rsidR="000204B4" w:rsidRPr="00132CFE" w:rsidTr="002269EC">
        <w:trPr>
          <w:trHeight w:val="180"/>
          <w:jc w:val="center"/>
        </w:trPr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80"/>
          <w:jc w:val="center"/>
        </w:trPr>
        <w:tc>
          <w:tcPr>
            <w:tcW w:w="2504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25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2.943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0.323</w:t>
            </w:r>
          </w:p>
        </w:tc>
        <w:tc>
          <w:tcPr>
            <w:tcW w:w="1765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9.109</w:t>
            </w:r>
          </w:p>
        </w:tc>
        <w:tc>
          <w:tcPr>
            <w:tcW w:w="1523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180"/>
          <w:jc w:val="center"/>
        </w:trPr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Cumulative vocabulary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0.785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0.454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***: 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p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 xml:space="preserve"> ≤ ‘0.001’, **: p ≤ ‘0.01’, *: p ≤ ‘0.05’, .: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pitch distance: analysis on lexical subset with chronological age as longitudinal predictor.</w:t>
      </w:r>
    </w:p>
    <w:tbl>
      <w:tblPr>
        <w:tblW w:w="88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1520"/>
        <w:gridCol w:w="1582"/>
        <w:gridCol w:w="2121"/>
        <w:gridCol w:w="1517"/>
      </w:tblGrid>
      <w:tr w:rsidR="000204B4" w:rsidRPr="00132CFE" w:rsidTr="002269EC">
        <w:trPr>
          <w:trHeight w:val="160"/>
          <w:jc w:val="center"/>
        </w:trPr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159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20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3.254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0.264</w:t>
            </w:r>
          </w:p>
        </w:tc>
        <w:tc>
          <w:tcPr>
            <w:tcW w:w="2121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12.315</w:t>
            </w:r>
          </w:p>
        </w:tc>
        <w:tc>
          <w:tcPr>
            <w:tcW w:w="1517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Age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0.076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0.552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0.591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***: 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p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 xml:space="preserve"> ≤ ‘0.001’, **: p ≤ ‘0.01’, *: p ≤ ‘0.05’, .: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intensity ratios: analysis on lexical subset with cumulative vocabulary as longitudinal predictor.</w:t>
      </w:r>
    </w:p>
    <w:tbl>
      <w:tblPr>
        <w:tblW w:w="888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1512"/>
        <w:gridCol w:w="1582"/>
        <w:gridCol w:w="2121"/>
        <w:gridCol w:w="1502"/>
      </w:tblGrid>
      <w:tr w:rsidR="000204B4" w:rsidRPr="00132CFE" w:rsidTr="002269EC">
        <w:trPr>
          <w:trHeight w:val="180"/>
          <w:jc w:val="center"/>
        </w:trPr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80"/>
          <w:jc w:val="center"/>
        </w:trPr>
        <w:tc>
          <w:tcPr>
            <w:tcW w:w="2170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1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1.029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0.011</w:t>
            </w:r>
          </w:p>
        </w:tc>
        <w:tc>
          <w:tcPr>
            <w:tcW w:w="2121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90.643</w:t>
            </w:r>
          </w:p>
        </w:tc>
        <w:tc>
          <w:tcPr>
            <w:tcW w:w="150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180"/>
          <w:jc w:val="center"/>
        </w:trPr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Cumulative vocabulary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0.928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***: 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p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 xml:space="preserve"> ≤ ‘0.001’, **: p ≤ ‘0.01’, *: p ≤ ‘0.05’, .: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lastRenderedPageBreak/>
        <w:t>Statisti</w:t>
      </w:r>
      <w:r w:rsidRPr="00132CFE">
        <w:rPr>
          <w:rFonts w:ascii="Times New Roman" w:eastAsia="Times New Roman" w:hAnsi="Times New Roman" w:cs="Times New Roman"/>
          <w:i/>
          <w:color w:val="auto"/>
        </w:rPr>
        <w:t>cal output for the intensity ratios: analysis on lexical subset with chronological age as longitudinal predictor.</w:t>
      </w:r>
    </w:p>
    <w:tbl>
      <w:tblPr>
        <w:tblW w:w="8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1516"/>
        <w:gridCol w:w="1582"/>
        <w:gridCol w:w="2209"/>
        <w:gridCol w:w="1510"/>
      </w:tblGrid>
      <w:tr w:rsidR="000204B4" w:rsidRPr="00132CFE" w:rsidTr="002269EC">
        <w:trPr>
          <w:trHeight w:val="160"/>
          <w:jc w:val="center"/>
        </w:trPr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069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16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1.031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0.009</w:t>
            </w:r>
          </w:p>
        </w:tc>
        <w:tc>
          <w:tcPr>
            <w:tcW w:w="2209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112.093</w:t>
            </w:r>
          </w:p>
        </w:tc>
        <w:tc>
          <w:tcPr>
            <w:tcW w:w="1510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Age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0.951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***: 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p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 xml:space="preserve"> ≤ ‘0.001’, **: p ≤ ‘0.01’, *: p ≤ ‘0.05’, .: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duration ratios: analysis on lexical subset with cumulative vocabulary as longitudinal predictor.</w:t>
      </w:r>
    </w:p>
    <w:tbl>
      <w:tblPr>
        <w:tblW w:w="85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082"/>
        <w:gridCol w:w="1453"/>
        <w:gridCol w:w="1518"/>
        <w:gridCol w:w="2035"/>
        <w:gridCol w:w="1438"/>
      </w:tblGrid>
      <w:tr w:rsidR="000204B4" w:rsidRPr="00132CFE" w:rsidTr="002269EC">
        <w:trPr>
          <w:trHeight w:val="160"/>
          <w:jc w:val="center"/>
        </w:trPr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0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453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0.648</w:t>
            </w:r>
          </w:p>
        </w:tc>
        <w:tc>
          <w:tcPr>
            <w:tcW w:w="1518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0.049</w:t>
            </w:r>
          </w:p>
        </w:tc>
        <w:tc>
          <w:tcPr>
            <w:tcW w:w="2035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13.349</w:t>
            </w:r>
          </w:p>
        </w:tc>
        <w:tc>
          <w:tcPr>
            <w:tcW w:w="1438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Cumulative vocabulary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3.159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0.016</w:t>
            </w: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*</w:t>
            </w:r>
          </w:p>
        </w:tc>
      </w:tr>
    </w:tbl>
    <w:p w:rsidR="000204B4" w:rsidRPr="00132CFE" w:rsidRDefault="000204B4" w:rsidP="000204B4">
      <w:pPr>
        <w:pStyle w:val="Normal1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***: 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p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 xml:space="preserve"> ≤ ‘0.001’, **: p ≤ ‘0.01’, *: p ≤ ‘0.05’, .: p ≤ ‘0.1’</w:t>
      </w:r>
    </w:p>
    <w:p w:rsidR="000204B4" w:rsidRPr="00132CFE" w:rsidRDefault="000204B4" w:rsidP="000204B4">
      <w:pPr>
        <w:pStyle w:val="Normal1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hAnsi="Times New Roman" w:cs="Times New Roman"/>
          <w:color w:val="auto"/>
        </w:rPr>
        <w:br w:type="page"/>
      </w:r>
    </w:p>
    <w:p w:rsidR="000204B4" w:rsidRPr="00132CFE" w:rsidRDefault="000204B4" w:rsidP="000204B4">
      <w:pPr>
        <w:pStyle w:val="Normal1"/>
        <w:spacing w:line="480" w:lineRule="auto"/>
        <w:rPr>
          <w:rFonts w:ascii="Times New Roman" w:hAnsi="Times New Roman" w:cs="Times New Roman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lastRenderedPageBreak/>
        <w:t>Statistical output for the duration ratios: analysis on lexical subset with chronological age as longitudinal predictor.</w:t>
      </w:r>
    </w:p>
    <w:tbl>
      <w:tblPr>
        <w:tblW w:w="88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1528"/>
        <w:gridCol w:w="1582"/>
        <w:gridCol w:w="1673"/>
        <w:gridCol w:w="1581"/>
      </w:tblGrid>
      <w:tr w:rsidR="000204B4" w:rsidRPr="00132CFE" w:rsidTr="002269EC">
        <w:trPr>
          <w:trHeight w:val="160"/>
          <w:jc w:val="center"/>
        </w:trPr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Estimate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Standard Error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1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52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Intercept </w:t>
            </w:r>
          </w:p>
        </w:tc>
        <w:tc>
          <w:tcPr>
            <w:tcW w:w="1528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0.858</w:t>
            </w:r>
          </w:p>
        </w:tc>
        <w:tc>
          <w:tcPr>
            <w:tcW w:w="158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0.067</w:t>
            </w:r>
          </w:p>
        </w:tc>
        <w:tc>
          <w:tcPr>
            <w:tcW w:w="1673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12.843</w:t>
            </w:r>
          </w:p>
        </w:tc>
        <w:tc>
          <w:tcPr>
            <w:tcW w:w="1581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&lt; 0.001***</w:t>
            </w:r>
          </w:p>
        </w:tc>
      </w:tr>
      <w:tr w:rsidR="000204B4" w:rsidRPr="00132CFE" w:rsidTr="002269EC">
        <w:trPr>
          <w:trHeight w:val="160"/>
          <w:jc w:val="center"/>
        </w:trPr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b/>
                <w:color w:val="auto"/>
              </w:rPr>
              <w:t>Age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2.204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2" w:type="dxa"/>
            </w:tcMar>
          </w:tcPr>
          <w:p w:rsidR="000204B4" w:rsidRPr="00132CFE" w:rsidRDefault="000204B4" w:rsidP="002269EC">
            <w:pPr>
              <w:pStyle w:val="Normal1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2CFE">
              <w:rPr>
                <w:rFonts w:ascii="Times New Roman" w:eastAsia="Times New Roman" w:hAnsi="Times New Roman" w:cs="Times New Roman"/>
                <w:color w:val="auto"/>
              </w:rPr>
              <w:t>0.047*</w:t>
            </w:r>
          </w:p>
        </w:tc>
      </w:tr>
    </w:tbl>
    <w:p w:rsidR="000204B4" w:rsidRPr="00132CFE" w:rsidRDefault="000204B4" w:rsidP="000204B4">
      <w:pPr>
        <w:pStyle w:val="Normal1"/>
        <w:widowControl w:val="0"/>
        <w:spacing w:line="480" w:lineRule="auto"/>
        <w:ind w:left="720" w:hanging="720"/>
        <w:jc w:val="both"/>
        <w:rPr>
          <w:rFonts w:ascii="Nova Mono" w:eastAsia="Nova Mono" w:hAnsi="Nova Mono" w:cs="Nova Mono"/>
          <w:color w:val="auto"/>
        </w:rPr>
      </w:pPr>
      <w:r w:rsidRPr="00132CFE">
        <w:rPr>
          <w:rFonts w:ascii="Times New Roman" w:eastAsia="Times New Roman" w:hAnsi="Times New Roman" w:cs="Times New Roman"/>
          <w:i/>
          <w:color w:val="auto"/>
        </w:rPr>
        <w:t>Note.</w:t>
      </w:r>
      <w:r w:rsidRPr="00132CFE">
        <w:rPr>
          <w:rFonts w:ascii="Times New Roman" w:eastAsia="Nova Mono" w:hAnsi="Times New Roman" w:cs="Times New Roman"/>
          <w:color w:val="auto"/>
        </w:rPr>
        <w:t xml:space="preserve"> ***: </w:t>
      </w:r>
      <w:proofErr w:type="gramStart"/>
      <w:r w:rsidRPr="00132CFE">
        <w:rPr>
          <w:rFonts w:ascii="Times New Roman" w:eastAsia="Nova Mono" w:hAnsi="Times New Roman" w:cs="Times New Roman"/>
          <w:color w:val="auto"/>
        </w:rPr>
        <w:t>p</w:t>
      </w:r>
      <w:proofErr w:type="gramEnd"/>
      <w:r w:rsidRPr="00132CFE">
        <w:rPr>
          <w:rFonts w:ascii="Times New Roman" w:eastAsia="Nova Mono" w:hAnsi="Times New Roman" w:cs="Times New Roman"/>
          <w:color w:val="auto"/>
        </w:rPr>
        <w:t xml:space="preserve"> ≤ ‘0.001’, **: p ≤ ‘0.01, *: p ≤ ‘0.05’, .: p ≤ ‘0.1’</w:t>
      </w:r>
    </w:p>
    <w:p w:rsidR="00BD1F2D" w:rsidRDefault="00BD1F2D"/>
    <w:sectPr w:rsidR="00BD1F2D" w:rsidSect="00BD1F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ova Mon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4B4"/>
    <w:rsid w:val="000204B4"/>
    <w:rsid w:val="00433CFF"/>
    <w:rsid w:val="008A35A8"/>
    <w:rsid w:val="00AF49DF"/>
    <w:rsid w:val="00BD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B4"/>
    <w:rPr>
      <w:rFonts w:ascii="Cambria" w:eastAsia="Cambria" w:hAnsi="Cambria" w:cs="Cambria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04B4"/>
    <w:rPr>
      <w:rFonts w:ascii="Cambria" w:eastAsia="Cambria" w:hAnsi="Cambria" w:cs="Cambria"/>
      <w:color w:val="00000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B4"/>
    <w:rPr>
      <w:rFonts w:ascii="Cambria" w:eastAsia="Cambria" w:hAnsi="Cambria" w:cs="Cambria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04B4"/>
    <w:rPr>
      <w:rFonts w:ascii="Cambria" w:eastAsia="Cambria" w:hAnsi="Cambria" w:cs="Cambri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441</Words>
  <Characters>2516</Characters>
  <Application>Microsoft Macintosh Word</Application>
  <DocSecurity>0</DocSecurity>
  <Lines>20</Lines>
  <Paragraphs>5</Paragraphs>
  <ScaleCrop>false</ScaleCrop>
  <Company>Universiteit Antwerpen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De Clerck</dc:creator>
  <cp:lastModifiedBy>Adrian Stenton</cp:lastModifiedBy>
  <cp:revision>2</cp:revision>
  <dcterms:created xsi:type="dcterms:W3CDTF">2016-10-17T12:22:00Z</dcterms:created>
  <dcterms:modified xsi:type="dcterms:W3CDTF">2016-10-17T12:22:00Z</dcterms:modified>
</cp:coreProperties>
</file>