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10CA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  <w:bookmarkStart w:id="0" w:name="_GoBack"/>
      <w:bookmarkEnd w:id="0"/>
    </w:p>
    <w:p w14:paraId="7DB998F2" w14:textId="77777777" w:rsidR="00E00A7E" w:rsidRDefault="00E00A7E" w:rsidP="00693447">
      <w:pPr>
        <w:spacing w:after="0" w:line="240" w:lineRule="auto"/>
      </w:pPr>
    </w:p>
    <w:p w14:paraId="3FCE18CF" w14:textId="3F908836" w:rsidR="00693447" w:rsidRDefault="00693447" w:rsidP="00693447">
      <w:pPr>
        <w:spacing w:after="0" w:line="240" w:lineRule="auto"/>
      </w:pPr>
    </w:p>
    <w:p w14:paraId="74A22ED6" w14:textId="2FC9C195" w:rsidR="00A43FA4" w:rsidRPr="00A43FA4" w:rsidRDefault="00A43FA4" w:rsidP="00A43FA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43FA4">
        <w:rPr>
          <w:rFonts w:asciiTheme="majorBidi" w:hAnsiTheme="majorBidi" w:cstheme="majorBidi"/>
          <w:b/>
          <w:bCs/>
          <w:iCs/>
          <w:sz w:val="24"/>
          <w:szCs w:val="24"/>
        </w:rPr>
        <w:t xml:space="preserve">PRISMA flow diagram for systematic review </w: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2065D895" w:rsidR="00A25EB0" w:rsidRDefault="00A25EB0" w:rsidP="00693447">
      <w:pPr>
        <w:spacing w:after="0" w:line="240" w:lineRule="auto"/>
      </w:pPr>
    </w:p>
    <w:p w14:paraId="53112407" w14:textId="444E973D" w:rsidR="00A25EB0" w:rsidRDefault="00F02F06" w:rsidP="00693447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5FC63CD" wp14:editId="062A03F6">
                <wp:simplePos x="0" y="0"/>
                <wp:positionH relativeFrom="column">
                  <wp:posOffset>1681259</wp:posOffset>
                </wp:positionH>
                <wp:positionV relativeFrom="paragraph">
                  <wp:posOffset>29845</wp:posOffset>
                </wp:positionV>
                <wp:extent cx="1887220" cy="892810"/>
                <wp:effectExtent l="0" t="0" r="1778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892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6F19B" w14:textId="166EB993" w:rsidR="00560609" w:rsidRDefault="00172EB7" w:rsidP="00F02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No. of records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F02F0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through </w:t>
                            </w:r>
                            <w:r w:rsidR="00BB0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database</w:t>
                            </w:r>
                            <w:r w:rsidR="00F02F0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search</w:t>
                            </w:r>
                            <w:r w:rsidR="00BB0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ing</w:t>
                            </w:r>
                            <w:r w:rsidR="00F02F0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B0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(e.g., PsycINFO, ProQuest) (</w:t>
                            </w:r>
                            <w:r w:rsidR="00B3429D" w:rsidRPr="00B3429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B342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65371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AB09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45</w:t>
                            </w:r>
                            <w:r w:rsidR="00BB0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FC63CD" id="Rectangle 1" o:spid="_x0000_s1026" style="position:absolute;margin-left:132.4pt;margin-top:2.35pt;width:148.6pt;height:70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" fillcolor="#f2f2f2 [3052]" strokecolor="black [3213]" strokeweight="1pt">
                <v:textbox>
                  <w:txbxContent>
                    <w:p w14:paraId="68E6F19B" w14:textId="166EB993" w:rsidR="00560609" w:rsidRDefault="00172EB7" w:rsidP="00F02F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No. of records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F02F0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through </w:t>
                      </w:r>
                      <w:r w:rsidR="00BB0FF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database</w:t>
                      </w:r>
                      <w:r w:rsidR="00F02F0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search</w:t>
                      </w:r>
                      <w:r w:rsidR="00BB0FF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ing</w:t>
                      </w:r>
                      <w:r w:rsidR="00F02F0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BB0FF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(e.g., PsycINFO, ProQuest) (</w:t>
                      </w:r>
                      <w:r w:rsidR="00B3429D" w:rsidRPr="00B3429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B342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65371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AB092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45</w:t>
                      </w:r>
                      <w:r w:rsidR="00BB0FF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3A0156E" w14:textId="51D60101" w:rsidR="00A25EB0" w:rsidRDefault="00B3429D" w:rsidP="00693447">
      <w:pPr>
        <w:spacing w:after="0" w:line="240" w:lineRule="auto"/>
      </w:pPr>
      <w:r w:rsidRPr="0056060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61CBE11" wp14:editId="4ECC2882">
                <wp:simplePos x="0" y="0"/>
                <wp:positionH relativeFrom="column">
                  <wp:posOffset>4166484</wp:posOffset>
                </wp:positionH>
                <wp:positionV relativeFrom="paragraph">
                  <wp:posOffset>19105</wp:posOffset>
                </wp:positionV>
                <wp:extent cx="1524000" cy="518795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18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A31D2" w14:textId="280086A7" w:rsidR="00B3429D" w:rsidRPr="00560609" w:rsidRDefault="00172EB7" w:rsidP="00E407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No. of</w:t>
                            </w:r>
                            <w:r w:rsidR="00B342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duplicates removed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Pr="00172EB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110)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1CBE11" id="Rectangle 4" o:spid="_x0000_s1027" style="position:absolute;margin-left:328.05pt;margin-top:1.5pt;width:120pt;height:40.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" fillcolor="white [3212]" strokecolor="black [3213]" strokeweight="1pt">
                <v:textbox>
                  <w:txbxContent>
                    <w:p w14:paraId="37AA31D2" w14:textId="280086A7" w:rsidR="00B3429D" w:rsidRPr="00560609" w:rsidRDefault="00172EB7" w:rsidP="00E407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No. of</w:t>
                      </w:r>
                      <w:r w:rsidR="00B342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duplicates removed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Pr="00172EB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110)</w:t>
                      </w:r>
                    </w:p>
                  </w:txbxContent>
                </v:textbox>
              </v:rect>
            </w:pict>
          </mc:Fallback>
        </mc:AlternateContent>
      </w:r>
    </w:p>
    <w:p w14:paraId="3F630496" w14:textId="43A6753F" w:rsidR="00A25EB0" w:rsidRDefault="00A43FA4" w:rsidP="00693447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59F4545" wp14:editId="0EAC6C1B">
                <wp:simplePos x="0" y="0"/>
                <wp:positionH relativeFrom="column">
                  <wp:posOffset>466611</wp:posOffset>
                </wp:positionH>
                <wp:positionV relativeFrom="paragraph">
                  <wp:posOffset>168122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C3499" w14:textId="77777777" w:rsidR="00A43FA4" w:rsidRPr="001502CF" w:rsidRDefault="00A43FA4" w:rsidP="00A43FA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9F454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28" type="#_x0000_t176" style="position:absolute;margin-left:36.75pt;margin-top:13.25pt;width:100.55pt;height:20.7pt;rotation:-90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" fillcolor="#9cc2e5 [1944]" strokecolor="black [3213]" strokeweight="1pt">
                <v:textbox>
                  <w:txbxContent>
                    <w:p w14:paraId="673C3499" w14:textId="77777777" w:rsidR="00A43FA4" w:rsidRPr="001502CF" w:rsidRDefault="00A43FA4" w:rsidP="00A43FA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  <w:r w:rsidR="00B3429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59EC967" wp14:editId="39C8CBB8">
                <wp:simplePos x="0" y="0"/>
                <wp:positionH relativeFrom="column">
                  <wp:posOffset>3569473</wp:posOffset>
                </wp:positionH>
                <wp:positionV relativeFrom="paragraph">
                  <wp:posOffset>123024</wp:posOffset>
                </wp:positionV>
                <wp:extent cx="563245" cy="0"/>
                <wp:effectExtent l="0" t="76200" r="2730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2ED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05pt;margin-top:9.7pt;width:44.35pt;height:0;z-index:251660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</w:p>
    <w:p w14:paraId="54B3D059" w14:textId="1CBDED7C" w:rsidR="00A25EB0" w:rsidRDefault="00A25EB0" w:rsidP="00693447">
      <w:pPr>
        <w:spacing w:after="0" w:line="240" w:lineRule="auto"/>
      </w:pPr>
    </w:p>
    <w:p w14:paraId="114CC8B7" w14:textId="5A5385AF" w:rsidR="00A25EB0" w:rsidRDefault="00D11F7C" w:rsidP="00693447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8A76A9" wp14:editId="7ADDFF34">
                <wp:simplePos x="0" y="0"/>
                <wp:positionH relativeFrom="column">
                  <wp:posOffset>2651898</wp:posOffset>
                </wp:positionH>
                <wp:positionV relativeFrom="paragraph">
                  <wp:posOffset>166370</wp:posOffset>
                </wp:positionV>
                <wp:extent cx="0" cy="746151"/>
                <wp:effectExtent l="76200" t="0" r="57150" b="539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66AF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8.8pt;margin-top:13.1pt;width:0;height:58.7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</w:p>
    <w:p w14:paraId="659CAC1F" w14:textId="77777777" w:rsidR="00761646" w:rsidRDefault="00761646" w:rsidP="00761646">
      <w:pPr>
        <w:spacing w:after="0" w:line="240" w:lineRule="auto"/>
      </w:pPr>
    </w:p>
    <w:p w14:paraId="52C5E947" w14:textId="77777777" w:rsidR="00761646" w:rsidRDefault="00761646" w:rsidP="00761646">
      <w:pPr>
        <w:spacing w:after="0" w:line="240" w:lineRule="auto"/>
      </w:pPr>
    </w:p>
    <w:p w14:paraId="4C3FEE66" w14:textId="46840BCF" w:rsidR="00517898" w:rsidRPr="00761646" w:rsidRDefault="009F45AC" w:rsidP="00761646">
      <w:pPr>
        <w:spacing w:after="0" w:line="240" w:lineRule="auto"/>
      </w:pPr>
      <w:r w:rsidRPr="0056060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E409AD7" wp14:editId="195D65C0">
                <wp:simplePos x="0" y="0"/>
                <wp:positionH relativeFrom="column">
                  <wp:posOffset>4133850</wp:posOffset>
                </wp:positionH>
                <wp:positionV relativeFrom="paragraph">
                  <wp:posOffset>69215</wp:posOffset>
                </wp:positionV>
                <wp:extent cx="1760220" cy="518795"/>
                <wp:effectExtent l="0" t="0" r="1778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518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3A33C" w14:textId="3BF8A44E" w:rsidR="009F45AC" w:rsidRPr="00560609" w:rsidRDefault="009F45AC" w:rsidP="009F45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No. of additional records identified through references (</w:t>
                            </w:r>
                            <w:r w:rsidRPr="00172EB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= </w:t>
                            </w:r>
                            <w:r w:rsidR="0065371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409AD7" id="Rectangle 5" o:spid="_x0000_s1029" style="position:absolute;margin-left:325.5pt;margin-top:5.45pt;width:138.6pt;height:40.8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" fillcolor="white [3212]" strokecolor="black [3213]" strokeweight="1pt">
                <v:textbox>
                  <w:txbxContent>
                    <w:p w14:paraId="5313A33C" w14:textId="3BF8A44E" w:rsidR="009F45AC" w:rsidRPr="00560609" w:rsidRDefault="009F45AC" w:rsidP="009F45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No. of additional records identified through references (</w:t>
                      </w:r>
                      <w:r w:rsidRPr="00172EB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= </w:t>
                      </w:r>
                      <w:r w:rsidR="0065371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987FC61" wp14:editId="00442D94">
                <wp:simplePos x="0" y="0"/>
                <wp:positionH relativeFrom="column">
                  <wp:posOffset>3599288</wp:posOffset>
                </wp:positionH>
                <wp:positionV relativeFrom="paragraph">
                  <wp:posOffset>115719</wp:posOffset>
                </wp:positionV>
                <wp:extent cx="466874" cy="515566"/>
                <wp:effectExtent l="12700" t="0" r="15875" b="6921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874" cy="51556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8298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283.4pt;margin-top:9.1pt;width:36.75pt;height:40.6pt;flip:x;z-index:2516715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" strokecolor="black [3200]" strokeweight=".5pt">
                <v:stroke endarrow="block"/>
              </v:shape>
            </w:pict>
          </mc:Fallback>
        </mc:AlternateContent>
      </w:r>
    </w:p>
    <w:p w14:paraId="506ECED6" w14:textId="2135D5BA" w:rsidR="00A25EB0" w:rsidRDefault="00A25EB0" w:rsidP="00693447">
      <w:pPr>
        <w:spacing w:after="0" w:line="240" w:lineRule="auto"/>
      </w:pPr>
    </w:p>
    <w:p w14:paraId="4601B8D1" w14:textId="396C7D73" w:rsidR="00A25EB0" w:rsidRDefault="00172EB7" w:rsidP="00693447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C37AEA5" wp14:editId="38D2F9A7">
                <wp:simplePos x="0" y="0"/>
                <wp:positionH relativeFrom="column">
                  <wp:posOffset>1618090</wp:posOffset>
                </wp:positionH>
                <wp:positionV relativeFrom="paragraph">
                  <wp:posOffset>123411</wp:posOffset>
                </wp:positionV>
                <wp:extent cx="1982636" cy="571500"/>
                <wp:effectExtent l="0" t="0" r="114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6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4C0D8" w14:textId="58A5B671" w:rsidR="00C40704" w:rsidRDefault="00172EB7" w:rsidP="00C407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No. of records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ing</w:t>
                            </w:r>
                            <w:r w:rsidR="006117B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15B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based on the titles, abstracts, and metho</w:t>
                            </w:r>
                            <w:r w:rsidR="005E02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ds</w:t>
                            </w:r>
                            <w:r w:rsidR="00215B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EF568A1" w14:textId="29CDAA9B" w:rsidR="00560609" w:rsidRPr="00560609" w:rsidRDefault="00560609" w:rsidP="00C407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DC169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B1397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73</w:t>
                            </w:r>
                            <w:r w:rsidR="00AB09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37AEA5" id="Rectangle 3" o:spid="_x0000_s1030" style="position:absolute;margin-left:127.4pt;margin-top:9.7pt;width:156.1pt;height: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" fillcolor="white [3212]" strokecolor="black [3213]" strokeweight="1pt">
                <v:textbox>
                  <w:txbxContent>
                    <w:p w14:paraId="7AD4C0D8" w14:textId="58A5B671" w:rsidR="00C40704" w:rsidRDefault="00172EB7" w:rsidP="00C407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No. of records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ing</w:t>
                      </w:r>
                      <w:r w:rsidR="006117B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215B3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based on the titles, abstracts, and metho</w:t>
                      </w:r>
                      <w:r w:rsidR="005E02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ds</w:t>
                      </w:r>
                      <w:r w:rsidR="00215B3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EF568A1" w14:textId="29CDAA9B" w:rsidR="00560609" w:rsidRPr="00560609" w:rsidRDefault="00560609" w:rsidP="00C407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DC169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B1397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73</w:t>
                      </w:r>
                      <w:r w:rsidR="00AB092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407F5" w:rsidRPr="0056060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DAB327D" wp14:editId="795B871B">
                <wp:simplePos x="0" y="0"/>
                <wp:positionH relativeFrom="column">
                  <wp:posOffset>4161790</wp:posOffset>
                </wp:positionH>
                <wp:positionV relativeFrom="paragraph">
                  <wp:posOffset>174625</wp:posOffset>
                </wp:positionV>
                <wp:extent cx="1524000" cy="518795"/>
                <wp:effectExtent l="0" t="0" r="1905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18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534EE" w14:textId="14A59164" w:rsidR="00172EB7" w:rsidRDefault="00172EB7" w:rsidP="00E407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No. of </w:t>
                            </w:r>
                            <w:bookmarkStart w:id="1" w:name="_Hlk119320055"/>
                            <w:bookmarkStart w:id="2" w:name="_Hlk119320056"/>
                            <w:bookmarkEnd w:id="1"/>
                            <w:bookmarkEnd w:id="2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 w:rsidR="00E407F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zh-CN"/>
                              </w:rPr>
                              <w:t xml:space="preserve"> excluded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7CC0A80" w14:textId="6ADA7FB0" w:rsidR="00FD4917" w:rsidRPr="00560609" w:rsidRDefault="00172EB7" w:rsidP="00E407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zh-CN"/>
                              </w:rPr>
                              <w:t>(</w:t>
                            </w:r>
                            <w:r w:rsidRPr="00172EB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zh-CN"/>
                              </w:rPr>
                              <w:t xml:space="preserve"> =</w:t>
                            </w:r>
                            <w:r w:rsidR="0076164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zh-CN"/>
                              </w:rPr>
                              <w:t>389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AB327D" id="Rectangle 23" o:spid="_x0000_s1031" style="position:absolute;margin-left:327.7pt;margin-top:13.75pt;width:120pt;height:40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" fillcolor="white [3212]" strokecolor="black [3213]" strokeweight="1pt">
                <v:textbox>
                  <w:txbxContent>
                    <w:p w14:paraId="6B9534EE" w14:textId="14A59164" w:rsidR="00172EB7" w:rsidRDefault="00172EB7" w:rsidP="00E407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No. of </w:t>
                      </w:r>
                      <w:bookmarkStart w:id="2" w:name="_Hlk119320055"/>
                      <w:bookmarkStart w:id="3" w:name="_Hlk119320056"/>
                      <w:bookmarkEnd w:id="2"/>
                      <w:bookmarkEnd w:id="3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 w:rsidR="00E407F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zh-CN"/>
                        </w:rPr>
                        <w:t xml:space="preserve"> excluded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47CC0A80" w14:textId="6ADA7FB0" w:rsidR="00FD4917" w:rsidRPr="00560609" w:rsidRDefault="00172EB7" w:rsidP="00E407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zh-CN"/>
                        </w:rPr>
                        <w:t>(</w:t>
                      </w:r>
                      <w:r w:rsidRPr="00172EB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eastAsia="zh-CN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zh-CN"/>
                        </w:rPr>
                        <w:t xml:space="preserve"> =</w:t>
                      </w:r>
                      <w:r w:rsidR="0076164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zh-CN"/>
                        </w:rPr>
                        <w:t>389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B1BF1EE" w14:textId="45FD5881" w:rsidR="00A25EB0" w:rsidRDefault="00A25EB0" w:rsidP="00693447">
      <w:pPr>
        <w:spacing w:after="0" w:line="240" w:lineRule="auto"/>
      </w:pPr>
    </w:p>
    <w:p w14:paraId="0A1D26A8" w14:textId="064B192A" w:rsidR="00A25EB0" w:rsidRDefault="00E407F5" w:rsidP="00693447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FD1A2A" wp14:editId="5216F1C2">
                <wp:simplePos x="0" y="0"/>
                <wp:positionH relativeFrom="column">
                  <wp:posOffset>3601361</wp:posOffset>
                </wp:positionH>
                <wp:positionV relativeFrom="paragraph">
                  <wp:posOffset>77746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B0DC0" id="Straight Arrow Connector 17" o:spid="_x0000_s1026" type="#_x0000_t32" style="position:absolute;margin-left:283.55pt;margin-top:6.1pt;width:44.35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054EAD74" w:rsidR="00A25EB0" w:rsidRDefault="00A25EB0" w:rsidP="00693447">
      <w:pPr>
        <w:spacing w:after="0" w:line="240" w:lineRule="auto"/>
      </w:pPr>
    </w:p>
    <w:p w14:paraId="6A43DE2B" w14:textId="32D7AF1F" w:rsidR="00A25EB0" w:rsidRDefault="00E407F5" w:rsidP="00693447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632D368" wp14:editId="1199035F">
                <wp:simplePos x="0" y="0"/>
                <wp:positionH relativeFrom="column">
                  <wp:posOffset>2667663</wp:posOffset>
                </wp:positionH>
                <wp:positionV relativeFrom="paragraph">
                  <wp:posOffset>62727</wp:posOffset>
                </wp:positionV>
                <wp:extent cx="0" cy="746125"/>
                <wp:effectExtent l="76200" t="0" r="57150" b="539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AAAF9" id="Straight Arrow Connector 12" o:spid="_x0000_s1026" type="#_x0000_t32" style="position:absolute;margin-left:210.05pt;margin-top:4.95pt;width:0;height:58.7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48AF03E4" w14:textId="5D4AE80F" w:rsidR="00A25EB0" w:rsidRPr="00B1397D" w:rsidRDefault="00A25EB0" w:rsidP="00E407F5">
      <w:pPr>
        <w:spacing w:after="0" w:line="240" w:lineRule="auto"/>
        <w:ind w:left="720" w:hanging="720"/>
        <w:rPr>
          <w:lang w:val="en-CA" w:eastAsia="zh-CN"/>
        </w:rPr>
      </w:pPr>
    </w:p>
    <w:p w14:paraId="7D352DB9" w14:textId="1DB57299" w:rsidR="00A25EB0" w:rsidRDefault="00A43FA4" w:rsidP="00693447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8E4C2BD" wp14:editId="1569E143">
                <wp:simplePos x="0" y="0"/>
                <wp:positionH relativeFrom="column">
                  <wp:posOffset>-287378</wp:posOffset>
                </wp:positionH>
                <wp:positionV relativeFrom="paragraph">
                  <wp:posOffset>87948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11271" w14:textId="77777777" w:rsidR="00A43FA4" w:rsidRDefault="00A43FA4" w:rsidP="00A43FA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766D708F" w14:textId="77777777" w:rsidR="00A43FA4" w:rsidRPr="001502CF" w:rsidRDefault="00A43FA4" w:rsidP="00A43F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E4C2BD" id="Flowchart: Alternate Process 32" o:spid="_x0000_s1032" type="#_x0000_t176" style="position:absolute;margin-left:-22.65pt;margin-top:6.95pt;width:219.5pt;height:20.7pt;rotation:-90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" fillcolor="#9cc2e5 [1944]" strokecolor="black [3213]" strokeweight="1pt">
                <v:textbox>
                  <w:txbxContent>
                    <w:p w14:paraId="57411271" w14:textId="77777777" w:rsidR="00A43FA4" w:rsidRDefault="00A43FA4" w:rsidP="00A43FA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766D708F" w14:textId="77777777" w:rsidR="00A43FA4" w:rsidRPr="001502CF" w:rsidRDefault="00A43FA4" w:rsidP="00A43FA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73E06B86" w:rsidR="00A25EB0" w:rsidRDefault="00A25EB0" w:rsidP="00693447">
      <w:pPr>
        <w:spacing w:after="0" w:line="240" w:lineRule="auto"/>
      </w:pPr>
    </w:p>
    <w:p w14:paraId="25D334DD" w14:textId="79C05DFF" w:rsidR="00A25EB0" w:rsidRDefault="00172EB7" w:rsidP="00693447">
      <w:pPr>
        <w:spacing w:after="0" w:line="240" w:lineRule="auto"/>
      </w:pPr>
      <w:r w:rsidRPr="0056060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784D8" wp14:editId="699AAD02">
                <wp:simplePos x="0" y="0"/>
                <wp:positionH relativeFrom="column">
                  <wp:posOffset>4209554</wp:posOffset>
                </wp:positionH>
                <wp:positionV relativeFrom="paragraph">
                  <wp:posOffset>129402</wp:posOffset>
                </wp:positionV>
                <wp:extent cx="1524000" cy="526415"/>
                <wp:effectExtent l="0" t="0" r="1905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97DBE" w14:textId="25694A64" w:rsidR="00560609" w:rsidRPr="00560609" w:rsidRDefault="00172EB7" w:rsidP="00ED5F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No. of </w:t>
                            </w:r>
                            <w:r w:rsidR="00B86DA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</w:t>
                            </w:r>
                            <w:r w:rsidR="00F5130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-text </w:t>
                            </w:r>
                            <w:r w:rsidR="00A43FA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articles not meeting inclusion criteria </w:t>
                            </w:r>
                            <w:r w:rsidR="00C407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C40704" w:rsidRPr="00DC169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C407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76164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329</w:t>
                            </w:r>
                            <w:r w:rsidR="00C407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6784D8" id="Rectangle 9" o:spid="_x0000_s1033" style="position:absolute;margin-left:331.45pt;margin-top:10.2pt;width:120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" filled="f" strokecolor="black [3213]" strokeweight="1pt">
                <v:textbox>
                  <w:txbxContent>
                    <w:p w14:paraId="16997DBE" w14:textId="25694A64" w:rsidR="00560609" w:rsidRPr="00560609" w:rsidRDefault="00172EB7" w:rsidP="00ED5F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No. of </w:t>
                      </w:r>
                      <w:r w:rsidR="00B86DA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</w:t>
                      </w:r>
                      <w:r w:rsidR="00F5130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-text </w:t>
                      </w:r>
                      <w:r w:rsidR="00A43FA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articles not meeting inclusion criteria </w:t>
                      </w:r>
                      <w:r w:rsidR="00C407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C40704" w:rsidRPr="00DC169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C407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76164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329</w:t>
                      </w:r>
                      <w:r w:rsidR="00C407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407F5" w:rsidRPr="0056060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56BB765" wp14:editId="6E4A10A8">
                <wp:simplePos x="0" y="0"/>
                <wp:positionH relativeFrom="column">
                  <wp:posOffset>1714693</wp:posOffset>
                </wp:positionH>
                <wp:positionV relativeFrom="paragraph">
                  <wp:posOffset>128740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83F31" w14:textId="4ADA7152" w:rsidR="00560609" w:rsidRPr="00560609" w:rsidRDefault="00B86DA8" w:rsidP="009870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No. of full</w:t>
                            </w:r>
                            <w:r w:rsidR="009870E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-text </w:t>
                            </w:r>
                            <w:r w:rsidR="00172E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  <w:r w:rsidR="009870E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DC169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76164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350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6BB765" id="Rectangle 8" o:spid="_x0000_s1034" style="position:absolute;margin-left:135pt;margin-top:10.15pt;width:148.6pt;height:41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" fillcolor="#f2f2f2 [3052]" strokecolor="black [3213]" strokeweight="1pt">
                <v:textbox>
                  <w:txbxContent>
                    <w:p w14:paraId="04D83F31" w14:textId="4ADA7152" w:rsidR="00560609" w:rsidRPr="00560609" w:rsidRDefault="00B86DA8" w:rsidP="009870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No. of full</w:t>
                      </w:r>
                      <w:r w:rsidR="009870E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-text </w:t>
                      </w:r>
                      <w:r w:rsidR="00172EB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  <w:r w:rsidR="009870E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DC169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76164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350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29FBEC1" w14:textId="732EDF19" w:rsidR="00A25EB0" w:rsidRDefault="00A25EB0" w:rsidP="00693447">
      <w:pPr>
        <w:spacing w:after="0" w:line="240" w:lineRule="auto"/>
      </w:pPr>
    </w:p>
    <w:p w14:paraId="3565BBFE" w14:textId="6D46FA9D" w:rsidR="00A25EB0" w:rsidRDefault="00172EB7" w:rsidP="00693447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DAA09C1" wp14:editId="66230AD9">
                <wp:simplePos x="0" y="0"/>
                <wp:positionH relativeFrom="column">
                  <wp:posOffset>3602631</wp:posOffset>
                </wp:positionH>
                <wp:positionV relativeFrom="paragraph">
                  <wp:posOffset>43705</wp:posOffset>
                </wp:positionV>
                <wp:extent cx="563245" cy="0"/>
                <wp:effectExtent l="0" t="76200" r="2730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81928E" id="Straight Arrow Connector 25" o:spid="_x0000_s1026" type="#_x0000_t32" style="position:absolute;margin-left:283.65pt;margin-top:3.45pt;width:44.35pt;height:0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</w:p>
    <w:p w14:paraId="1AE9DCDD" w14:textId="25B3B200" w:rsidR="00A25EB0" w:rsidRDefault="00A25EB0" w:rsidP="00693447">
      <w:pPr>
        <w:spacing w:after="0" w:line="240" w:lineRule="auto"/>
      </w:pPr>
    </w:p>
    <w:p w14:paraId="18CAB8BE" w14:textId="578473F8" w:rsidR="00A25EB0" w:rsidRDefault="000249D2" w:rsidP="00693447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891119" wp14:editId="606B3678">
                <wp:simplePos x="0" y="0"/>
                <wp:positionH relativeFrom="column">
                  <wp:posOffset>2645852</wp:posOffset>
                </wp:positionH>
                <wp:positionV relativeFrom="paragraph">
                  <wp:posOffset>29637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DFCA5A" id="Straight Arrow Connector 19" o:spid="_x0000_s1026" type="#_x0000_t32" style="position:absolute;margin-left:208.35pt;margin-top:2.35pt;width:0;height:58.7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022BCB4F" w14:textId="11FC4639" w:rsidR="00A25EB0" w:rsidRDefault="00A25EB0" w:rsidP="00693447">
      <w:pPr>
        <w:spacing w:after="0" w:line="240" w:lineRule="auto"/>
      </w:pPr>
    </w:p>
    <w:p w14:paraId="23376CE4" w14:textId="77777777" w:rsidR="00EB134B" w:rsidRDefault="00EB134B" w:rsidP="00693447">
      <w:pPr>
        <w:spacing w:after="0" w:line="240" w:lineRule="auto"/>
      </w:pPr>
    </w:p>
    <w:p w14:paraId="65234AD2" w14:textId="1E609242" w:rsidR="00A25EB0" w:rsidRPr="0066217D" w:rsidRDefault="00A25EB0" w:rsidP="00693447">
      <w:pPr>
        <w:spacing w:after="0" w:line="240" w:lineRule="auto"/>
        <w:rPr>
          <w:lang w:val="en-CA" w:eastAsia="zh-CN"/>
        </w:rPr>
      </w:pPr>
    </w:p>
    <w:p w14:paraId="15FA522E" w14:textId="7DC93B0A" w:rsidR="00A25EB0" w:rsidRDefault="00152EBD" w:rsidP="00693447">
      <w:pPr>
        <w:spacing w:after="0" w:line="240" w:lineRule="auto"/>
      </w:pPr>
      <w:r w:rsidRPr="0056060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57DE69" wp14:editId="45B3536B">
                <wp:simplePos x="0" y="0"/>
                <wp:positionH relativeFrom="column">
                  <wp:posOffset>1716378</wp:posOffset>
                </wp:positionH>
                <wp:positionV relativeFrom="paragraph">
                  <wp:posOffset>152924</wp:posOffset>
                </wp:positionV>
                <wp:extent cx="1887220" cy="5334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66B8A" w14:textId="77777777" w:rsidR="00C40704" w:rsidRDefault="00C40704" w:rsidP="00C407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ACA85C1" w14:textId="2F39DB6B" w:rsidR="000F209F" w:rsidRDefault="000F209F" w:rsidP="00C407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</w:t>
                            </w:r>
                            <w:r w:rsidR="00F5130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eview</w:t>
                            </w:r>
                          </w:p>
                          <w:p w14:paraId="767A1F31" w14:textId="3FAAEA71" w:rsidR="000F209F" w:rsidRDefault="000F209F" w:rsidP="00C407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66217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Pr="0066217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AB09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4F3165F" w14:textId="284DFB62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4824ABA" w14:textId="77777777" w:rsidR="008A5001" w:rsidRDefault="008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57DE69" id="Rectangle 13" o:spid="_x0000_s1035" style="position:absolute;margin-left:135.15pt;margin-top:12.05pt;width:148.6pt;height:4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" filled="f" strokecolor="black [3213]" strokeweight="1pt">
                <v:textbox>
                  <w:txbxContent>
                    <w:p w14:paraId="2EE66B8A" w14:textId="77777777" w:rsidR="00C40704" w:rsidRDefault="00C40704" w:rsidP="00C407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ACA85C1" w14:textId="2F39DB6B" w:rsidR="000F209F" w:rsidRDefault="000F209F" w:rsidP="00C407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r</w:t>
                      </w:r>
                      <w:r w:rsidR="00F5130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eview</w:t>
                      </w:r>
                    </w:p>
                    <w:p w14:paraId="767A1F31" w14:textId="3FAAEA71" w:rsidR="000F209F" w:rsidRDefault="000F209F" w:rsidP="00C407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66217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Pr="0066217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AB092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4F3165F" w14:textId="284DFB62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54824ABA" w14:textId="77777777" w:rsidR="008A5001" w:rsidRDefault="008A5001"/>
                  </w:txbxContent>
                </v:textbox>
              </v:rect>
            </w:pict>
          </mc:Fallback>
        </mc:AlternateContent>
      </w:r>
    </w:p>
    <w:p w14:paraId="3F2F6ACE" w14:textId="35AB3F0E" w:rsidR="00A25EB0" w:rsidRDefault="00A43FA4" w:rsidP="00693447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C3687B4" wp14:editId="42064120">
                <wp:simplePos x="0" y="0"/>
                <wp:positionH relativeFrom="column">
                  <wp:posOffset>734953</wp:posOffset>
                </wp:positionH>
                <wp:positionV relativeFrom="paragraph">
                  <wp:posOffset>170497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EB122" w14:textId="77777777" w:rsidR="00A43FA4" w:rsidRPr="001502CF" w:rsidRDefault="00A43FA4" w:rsidP="00A43FA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687B4" id="Flowchart: Alternate Process 33" o:spid="_x0000_s1036" type="#_x0000_t176" style="position:absolute;margin-left:57.85pt;margin-top:13.4pt;width:60.2pt;height:20.7pt;rotation:-90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" fillcolor="#9cc2e5 [1944]" strokecolor="black [3213]" strokeweight="1pt">
                <v:textbox>
                  <w:txbxContent>
                    <w:p w14:paraId="16AEB122" w14:textId="77777777" w:rsidR="00A43FA4" w:rsidRPr="001502CF" w:rsidRDefault="00A43FA4" w:rsidP="00A43FA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A5839B9" w:rsidR="00A25EB0" w:rsidRDefault="00A25EB0" w:rsidP="00693447">
      <w:pPr>
        <w:spacing w:after="0" w:line="240" w:lineRule="auto"/>
      </w:pPr>
    </w:p>
    <w:p w14:paraId="28F7A5FD" w14:textId="4AE53679" w:rsidR="00A25EB0" w:rsidRPr="00212598" w:rsidRDefault="00A25EB0" w:rsidP="00693447">
      <w:pPr>
        <w:spacing w:after="0" w:line="240" w:lineRule="auto"/>
        <w:rPr>
          <w:lang w:val="en-CA" w:eastAsia="zh-CN"/>
        </w:rPr>
      </w:pPr>
    </w:p>
    <w:p w14:paraId="3FA7ADDB" w14:textId="71E59263" w:rsidR="00A25EB0" w:rsidRDefault="00A25EB0" w:rsidP="00693447">
      <w:pPr>
        <w:spacing w:after="0" w:line="240" w:lineRule="auto"/>
      </w:pPr>
    </w:p>
    <w:p w14:paraId="1EC58752" w14:textId="77777777" w:rsidR="00A25EB0" w:rsidRDefault="00A25EB0" w:rsidP="00693447">
      <w:pPr>
        <w:spacing w:after="0" w:line="240" w:lineRule="auto"/>
      </w:pPr>
    </w:p>
    <w:p w14:paraId="3D34ED9C" w14:textId="795C93D1" w:rsidR="00B26461" w:rsidRPr="00B26461" w:rsidRDefault="00B26461" w:rsidP="00B26461">
      <w:pPr>
        <w:rPr>
          <w:rFonts w:asciiTheme="majorBidi" w:eastAsiaTheme="minorEastAsia" w:hAnsiTheme="majorBidi" w:cstheme="majorBidi"/>
          <w:sz w:val="24"/>
          <w:szCs w:val="24"/>
          <w:lang w:eastAsia="zh-CN"/>
        </w:rPr>
      </w:pPr>
      <w:r>
        <w:br w:type="page"/>
      </w:r>
      <w:r w:rsidRPr="00B26461">
        <w:rPr>
          <w:rFonts w:asciiTheme="majorBidi" w:hAnsiTheme="majorBidi" w:cstheme="majorBidi"/>
          <w:b/>
          <w:bCs/>
          <w:sz w:val="24"/>
          <w:szCs w:val="24"/>
        </w:rPr>
        <w:lastRenderedPageBreak/>
        <w:t>Coding Protocol</w:t>
      </w:r>
    </w:p>
    <w:tbl>
      <w:tblPr>
        <w:tblStyle w:val="TableGrid"/>
        <w:tblW w:w="160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27"/>
        <w:gridCol w:w="11907"/>
      </w:tblGrid>
      <w:tr w:rsidR="00B26461" w14:paraId="1570A991" w14:textId="77777777" w:rsidTr="00B05D84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28C432D" w14:textId="77777777" w:rsidR="00B26461" w:rsidRPr="00683B9F" w:rsidRDefault="00B26461" w:rsidP="00B26461">
            <w:pPr>
              <w:pStyle w:val="Heading2"/>
              <w:spacing w:line="240" w:lineRule="auto"/>
              <w:outlineLvl w:val="1"/>
            </w:pPr>
            <w:r w:rsidRPr="00BF6B23">
              <w:t>Features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14:paraId="49F9F674" w14:textId="77777777" w:rsidR="00B26461" w:rsidRPr="00683B9F" w:rsidRDefault="00B26461" w:rsidP="00B26461">
            <w:pPr>
              <w:pStyle w:val="Heading2"/>
              <w:spacing w:line="240" w:lineRule="auto"/>
              <w:jc w:val="center"/>
              <w:outlineLvl w:val="1"/>
            </w:pPr>
            <w:r w:rsidRPr="00683B9F">
              <w:t>Descriptors</w:t>
            </w:r>
          </w:p>
        </w:tc>
      </w:tr>
      <w:tr w:rsidR="00B26461" w14:paraId="158E7FAE" w14:textId="77777777" w:rsidTr="00B05D84"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14:paraId="1E25E8F5" w14:textId="795439E5" w:rsidR="00B26461" w:rsidRPr="00F65D1B" w:rsidRDefault="005D0C03" w:rsidP="00B26461">
            <w:pPr>
              <w:pStyle w:val="Heading2"/>
              <w:spacing w:line="240" w:lineRule="auto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Study identification</w:t>
            </w:r>
          </w:p>
        </w:tc>
        <w:tc>
          <w:tcPr>
            <w:tcW w:w="11907" w:type="dxa"/>
            <w:tcBorders>
              <w:top w:val="single" w:sz="4" w:space="0" w:color="auto"/>
              <w:bottom w:val="nil"/>
            </w:tcBorders>
          </w:tcPr>
          <w:p w14:paraId="2F66CB35" w14:textId="77777777" w:rsidR="00B26461" w:rsidRPr="00683B9F" w:rsidRDefault="00B26461" w:rsidP="00B26461">
            <w:pPr>
              <w:pStyle w:val="Heading2"/>
              <w:spacing w:line="240" w:lineRule="auto"/>
              <w:outlineLvl w:val="1"/>
            </w:pPr>
          </w:p>
        </w:tc>
      </w:tr>
      <w:tr w:rsidR="005B6ED9" w14:paraId="65D01F3B" w14:textId="77777777" w:rsidTr="00B05D84">
        <w:tc>
          <w:tcPr>
            <w:tcW w:w="284" w:type="dxa"/>
            <w:tcBorders>
              <w:top w:val="nil"/>
            </w:tcBorders>
          </w:tcPr>
          <w:p w14:paraId="099BF673" w14:textId="77777777" w:rsidR="005B6ED9" w:rsidRPr="00683B9F" w:rsidRDefault="005B6ED9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  <w:tcBorders>
              <w:top w:val="nil"/>
            </w:tcBorders>
          </w:tcPr>
          <w:p w14:paraId="3F4A5F89" w14:textId="63648940" w:rsidR="005B6ED9" w:rsidRDefault="005B6ED9" w:rsidP="00B26461">
            <w:pPr>
              <w:pStyle w:val="Heading2"/>
              <w:spacing w:line="240" w:lineRule="auto"/>
              <w:outlineLvl w:val="1"/>
            </w:pPr>
            <w:r>
              <w:t>Author</w:t>
            </w:r>
          </w:p>
        </w:tc>
        <w:tc>
          <w:tcPr>
            <w:tcW w:w="11907" w:type="dxa"/>
            <w:tcBorders>
              <w:top w:val="nil"/>
            </w:tcBorders>
          </w:tcPr>
          <w:p w14:paraId="233FE8BB" w14:textId="14A0FF0E" w:rsidR="005B6ED9" w:rsidRDefault="005B6ED9" w:rsidP="00B26461">
            <w:pPr>
              <w:pStyle w:val="Heading2"/>
              <w:spacing w:line="240" w:lineRule="auto"/>
              <w:outlineLvl w:val="1"/>
            </w:pPr>
            <w:r>
              <w:t>The author(s) of the publication</w:t>
            </w:r>
          </w:p>
        </w:tc>
      </w:tr>
      <w:tr w:rsidR="00BE3B8C" w14:paraId="35022FB2" w14:textId="77777777" w:rsidTr="00B05D84">
        <w:tc>
          <w:tcPr>
            <w:tcW w:w="284" w:type="dxa"/>
          </w:tcPr>
          <w:p w14:paraId="277A9CEC" w14:textId="77777777" w:rsidR="00BE3B8C" w:rsidRPr="00683B9F" w:rsidRDefault="00BE3B8C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25E2DD22" w14:textId="2317D9BC" w:rsidR="00BE3B8C" w:rsidRDefault="00BE3B8C" w:rsidP="00B26461">
            <w:pPr>
              <w:pStyle w:val="Heading2"/>
              <w:spacing w:line="240" w:lineRule="auto"/>
              <w:outlineLvl w:val="1"/>
            </w:pPr>
            <w:r>
              <w:t>Title</w:t>
            </w:r>
          </w:p>
        </w:tc>
        <w:tc>
          <w:tcPr>
            <w:tcW w:w="11907" w:type="dxa"/>
          </w:tcPr>
          <w:p w14:paraId="0B4A1B33" w14:textId="27F5C930" w:rsidR="00BE3B8C" w:rsidRDefault="00BE3B8C" w:rsidP="00B26461">
            <w:pPr>
              <w:pStyle w:val="Heading2"/>
              <w:spacing w:line="240" w:lineRule="auto"/>
              <w:outlineLvl w:val="1"/>
            </w:pPr>
            <w:r>
              <w:t>Title of the publication</w:t>
            </w:r>
          </w:p>
        </w:tc>
      </w:tr>
      <w:tr w:rsidR="00B26461" w14:paraId="08EDC401" w14:textId="77777777" w:rsidTr="00B05D84">
        <w:tc>
          <w:tcPr>
            <w:tcW w:w="284" w:type="dxa"/>
          </w:tcPr>
          <w:p w14:paraId="16C4FE5F" w14:textId="77777777" w:rsidR="00B26461" w:rsidRPr="00683B9F" w:rsidRDefault="00B26461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1E5F32EB" w14:textId="49154C0A" w:rsidR="00B26461" w:rsidRPr="00683B9F" w:rsidRDefault="00B26461" w:rsidP="00B26461">
            <w:pPr>
              <w:pStyle w:val="Heading2"/>
              <w:spacing w:line="240" w:lineRule="auto"/>
              <w:outlineLvl w:val="1"/>
            </w:pPr>
            <w:r>
              <w:t xml:space="preserve">Year </w:t>
            </w:r>
          </w:p>
        </w:tc>
        <w:tc>
          <w:tcPr>
            <w:tcW w:w="11907" w:type="dxa"/>
          </w:tcPr>
          <w:p w14:paraId="453121E2" w14:textId="6551C12E" w:rsidR="00B26461" w:rsidRPr="00683B9F" w:rsidRDefault="00B26461" w:rsidP="00B26461">
            <w:pPr>
              <w:pStyle w:val="Heading2"/>
              <w:spacing w:line="240" w:lineRule="auto"/>
              <w:outlineLvl w:val="1"/>
            </w:pPr>
            <w:r>
              <w:t>Year that journal article was published, or thesis defended</w:t>
            </w:r>
          </w:p>
        </w:tc>
      </w:tr>
      <w:tr w:rsidR="00B26461" w:rsidRPr="00E96939" w14:paraId="711B179E" w14:textId="77777777" w:rsidTr="00B05D84">
        <w:tc>
          <w:tcPr>
            <w:tcW w:w="284" w:type="dxa"/>
          </w:tcPr>
          <w:p w14:paraId="2485193B" w14:textId="77777777" w:rsidR="00B26461" w:rsidRPr="00683B9F" w:rsidRDefault="00B26461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2125AF1F" w14:textId="10891B35" w:rsidR="00B26461" w:rsidRPr="00683B9F" w:rsidRDefault="00E6262F" w:rsidP="00B26461">
            <w:pPr>
              <w:pStyle w:val="Heading2"/>
              <w:spacing w:line="240" w:lineRule="auto"/>
              <w:outlineLvl w:val="1"/>
            </w:pPr>
            <w:r>
              <w:t>Publication Type</w:t>
            </w:r>
          </w:p>
        </w:tc>
        <w:tc>
          <w:tcPr>
            <w:tcW w:w="11907" w:type="dxa"/>
          </w:tcPr>
          <w:p w14:paraId="3DBC0510" w14:textId="1BD3AE0D" w:rsidR="00B26461" w:rsidRPr="00683B9F" w:rsidRDefault="00E6262F" w:rsidP="00B26461">
            <w:pPr>
              <w:pStyle w:val="Heading2"/>
              <w:spacing w:line="240" w:lineRule="auto"/>
              <w:outlineLvl w:val="1"/>
            </w:pPr>
            <w:r>
              <w:t>Type of the study that</w:t>
            </w:r>
            <w:r w:rsidR="00B26461">
              <w:t xml:space="preserve"> was published</w:t>
            </w:r>
            <w:r w:rsidR="007323D0">
              <w:t xml:space="preserve"> (i.e., journal, PhD thesis)</w:t>
            </w:r>
          </w:p>
        </w:tc>
      </w:tr>
      <w:tr w:rsidR="00B26461" w14:paraId="71180996" w14:textId="77777777" w:rsidTr="00B05D84">
        <w:tc>
          <w:tcPr>
            <w:tcW w:w="4111" w:type="dxa"/>
            <w:gridSpan w:val="2"/>
          </w:tcPr>
          <w:p w14:paraId="3765FC50" w14:textId="03A75FF2" w:rsidR="00B26461" w:rsidRDefault="006E32DC" w:rsidP="00B26461">
            <w:pPr>
              <w:pStyle w:val="Heading2"/>
              <w:spacing w:line="240" w:lineRule="auto"/>
              <w:outlineLvl w:val="1"/>
            </w:pPr>
            <w:r>
              <w:rPr>
                <w:b/>
                <w:bCs/>
              </w:rPr>
              <w:t>Learner variables</w:t>
            </w:r>
          </w:p>
        </w:tc>
        <w:tc>
          <w:tcPr>
            <w:tcW w:w="11907" w:type="dxa"/>
          </w:tcPr>
          <w:p w14:paraId="5E8D62E6" w14:textId="77777777" w:rsidR="00B26461" w:rsidRDefault="00B26461" w:rsidP="00B26461">
            <w:pPr>
              <w:pStyle w:val="Heading2"/>
              <w:spacing w:line="240" w:lineRule="auto"/>
              <w:outlineLvl w:val="1"/>
            </w:pPr>
          </w:p>
        </w:tc>
      </w:tr>
      <w:tr w:rsidR="00B26461" w14:paraId="092A92C1" w14:textId="77777777" w:rsidTr="00B05D84">
        <w:tc>
          <w:tcPr>
            <w:tcW w:w="284" w:type="dxa"/>
          </w:tcPr>
          <w:p w14:paraId="4234BF3F" w14:textId="77777777" w:rsidR="00B26461" w:rsidRPr="00EE1010" w:rsidRDefault="00B26461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7C99A22F" w14:textId="77777777" w:rsidR="00B26461" w:rsidRDefault="00B26461" w:rsidP="00B26461">
            <w:pPr>
              <w:pStyle w:val="Heading2"/>
              <w:spacing w:line="240" w:lineRule="auto"/>
              <w:outlineLvl w:val="1"/>
            </w:pPr>
            <w:r>
              <w:t xml:space="preserve">L1 </w:t>
            </w:r>
          </w:p>
        </w:tc>
        <w:tc>
          <w:tcPr>
            <w:tcW w:w="11907" w:type="dxa"/>
          </w:tcPr>
          <w:p w14:paraId="2CEFDE29" w14:textId="77777777" w:rsidR="00B26461" w:rsidRDefault="00B26461" w:rsidP="00B26461">
            <w:pPr>
              <w:pStyle w:val="Heading2"/>
              <w:spacing w:line="240" w:lineRule="auto"/>
              <w:outlineLvl w:val="1"/>
            </w:pPr>
            <w:r>
              <w:t>The first language of the participants</w:t>
            </w:r>
          </w:p>
        </w:tc>
      </w:tr>
      <w:tr w:rsidR="00B26461" w14:paraId="232287A0" w14:textId="77777777" w:rsidTr="00B05D84">
        <w:tc>
          <w:tcPr>
            <w:tcW w:w="284" w:type="dxa"/>
          </w:tcPr>
          <w:p w14:paraId="414CB102" w14:textId="77777777" w:rsidR="00B26461" w:rsidRPr="00EE1010" w:rsidRDefault="00B26461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362F6ABA" w14:textId="77777777" w:rsidR="00B26461" w:rsidRDefault="00B26461" w:rsidP="00B26461">
            <w:pPr>
              <w:pStyle w:val="Heading2"/>
              <w:spacing w:line="240" w:lineRule="auto"/>
              <w:outlineLvl w:val="1"/>
            </w:pPr>
            <w:r>
              <w:t>L2</w:t>
            </w:r>
          </w:p>
        </w:tc>
        <w:tc>
          <w:tcPr>
            <w:tcW w:w="11907" w:type="dxa"/>
          </w:tcPr>
          <w:p w14:paraId="541E229B" w14:textId="76033CCA" w:rsidR="00B26461" w:rsidRDefault="00B26461" w:rsidP="00B26461">
            <w:pPr>
              <w:pStyle w:val="Heading2"/>
              <w:spacing w:line="240" w:lineRule="auto"/>
              <w:outlineLvl w:val="1"/>
            </w:pPr>
            <w:r>
              <w:t xml:space="preserve">Target language in which participants </w:t>
            </w:r>
            <w:r w:rsidR="006E32DC">
              <w:rPr>
                <w:rFonts w:hint="eastAsia"/>
                <w:lang w:eastAsia="zh-CN"/>
              </w:rPr>
              <w:t>en</w:t>
            </w:r>
            <w:r w:rsidR="006E32DC">
              <w:rPr>
                <w:lang w:eastAsia="zh-CN"/>
              </w:rPr>
              <w:t>countered</w:t>
            </w:r>
          </w:p>
        </w:tc>
      </w:tr>
      <w:tr w:rsidR="00B26461" w14:paraId="5F226F0D" w14:textId="77777777" w:rsidTr="00B05D84">
        <w:tc>
          <w:tcPr>
            <w:tcW w:w="284" w:type="dxa"/>
          </w:tcPr>
          <w:p w14:paraId="7EB9CD81" w14:textId="77777777" w:rsidR="00B26461" w:rsidRPr="00EE1010" w:rsidRDefault="00B26461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390DB989" w14:textId="3CB6DB9E" w:rsidR="00B26461" w:rsidRDefault="006E32DC" w:rsidP="00B26461">
            <w:pPr>
              <w:pStyle w:val="Heading2"/>
              <w:spacing w:line="240" w:lineRule="auto"/>
              <w:outlineLvl w:val="1"/>
            </w:pPr>
            <w:r>
              <w:t>C</w:t>
            </w:r>
            <w:r w:rsidR="00B26461">
              <w:t>ontext</w:t>
            </w:r>
          </w:p>
        </w:tc>
        <w:tc>
          <w:tcPr>
            <w:tcW w:w="11907" w:type="dxa"/>
          </w:tcPr>
          <w:p w14:paraId="5E93975B" w14:textId="5D14AAA9" w:rsidR="00B26461" w:rsidRDefault="00B26461" w:rsidP="00B26461">
            <w:pPr>
              <w:pStyle w:val="Heading2"/>
              <w:spacing w:line="240" w:lineRule="auto"/>
              <w:outlineLvl w:val="1"/>
            </w:pPr>
            <w:r>
              <w:t>Foreign or second language learning environment</w:t>
            </w:r>
            <w:r w:rsidR="00E403AC">
              <w:t xml:space="preserve"> (i.e., FL, SL)</w:t>
            </w:r>
          </w:p>
        </w:tc>
      </w:tr>
      <w:tr w:rsidR="006E32DC" w14:paraId="67853317" w14:textId="77777777" w:rsidTr="00B05D84">
        <w:tc>
          <w:tcPr>
            <w:tcW w:w="284" w:type="dxa"/>
          </w:tcPr>
          <w:p w14:paraId="7C6D4779" w14:textId="77777777" w:rsidR="006E32DC" w:rsidRPr="00EE1010" w:rsidRDefault="006E32DC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075BD868" w14:textId="496BBB01" w:rsidR="006E32DC" w:rsidRDefault="006E32DC" w:rsidP="00B26461">
            <w:pPr>
              <w:pStyle w:val="Heading2"/>
              <w:spacing w:line="240" w:lineRule="auto"/>
              <w:outlineLvl w:val="1"/>
            </w:pPr>
            <w:r>
              <w:t>Country/Region</w:t>
            </w:r>
          </w:p>
        </w:tc>
        <w:tc>
          <w:tcPr>
            <w:tcW w:w="11907" w:type="dxa"/>
          </w:tcPr>
          <w:p w14:paraId="6989D38A" w14:textId="02401AD2" w:rsidR="006E32DC" w:rsidRDefault="006E32DC" w:rsidP="00B26461">
            <w:pPr>
              <w:pStyle w:val="Heading2"/>
              <w:spacing w:line="240" w:lineRule="auto"/>
              <w:outlineLvl w:val="1"/>
            </w:pPr>
            <w:r>
              <w:t>The country where the research was conducted</w:t>
            </w:r>
          </w:p>
        </w:tc>
      </w:tr>
      <w:tr w:rsidR="00E6181A" w14:paraId="14BB2DB7" w14:textId="77777777" w:rsidTr="00B05D84">
        <w:tc>
          <w:tcPr>
            <w:tcW w:w="284" w:type="dxa"/>
          </w:tcPr>
          <w:p w14:paraId="020267C6" w14:textId="77777777" w:rsidR="00E6181A" w:rsidRPr="00EE1010" w:rsidRDefault="00E6181A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3153B5BA" w14:textId="4BCCF739" w:rsidR="00E6181A" w:rsidRPr="00F9391F" w:rsidRDefault="00857128" w:rsidP="00B26461">
            <w:pPr>
              <w:pStyle w:val="Heading2"/>
              <w:spacing w:line="240" w:lineRule="auto"/>
              <w:outlineLvl w:val="1"/>
            </w:pPr>
            <w:r w:rsidRPr="00F9391F">
              <w:t xml:space="preserve">Script </w:t>
            </w:r>
          </w:p>
        </w:tc>
        <w:tc>
          <w:tcPr>
            <w:tcW w:w="11907" w:type="dxa"/>
          </w:tcPr>
          <w:p w14:paraId="736F6D26" w14:textId="0814887E" w:rsidR="00E6181A" w:rsidRPr="00F9391F" w:rsidRDefault="00E6181A" w:rsidP="00B26461">
            <w:pPr>
              <w:pStyle w:val="Heading2"/>
              <w:spacing w:line="240" w:lineRule="auto"/>
              <w:outlineLvl w:val="1"/>
            </w:pPr>
            <w:r w:rsidRPr="00F9391F">
              <w:t>Whether L1 and L2 share the same script (i.e., yes, no, mixed)</w:t>
            </w:r>
          </w:p>
        </w:tc>
      </w:tr>
      <w:tr w:rsidR="00B26461" w14:paraId="1C9F907E" w14:textId="77777777" w:rsidTr="00B05D84">
        <w:tc>
          <w:tcPr>
            <w:tcW w:w="284" w:type="dxa"/>
          </w:tcPr>
          <w:p w14:paraId="470B1C44" w14:textId="77777777" w:rsidR="00B26461" w:rsidRPr="00EE1010" w:rsidRDefault="00B26461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10482EAE" w14:textId="2D22FCBC" w:rsidR="00B26461" w:rsidRPr="00F9391F" w:rsidRDefault="006D4DDF" w:rsidP="00B26461">
            <w:pPr>
              <w:pStyle w:val="Heading2"/>
              <w:spacing w:line="240" w:lineRule="auto"/>
              <w:outlineLvl w:val="1"/>
            </w:pPr>
            <w:r w:rsidRPr="00F9391F">
              <w:t>Institutional</w:t>
            </w:r>
            <w:r w:rsidR="006E32DC" w:rsidRPr="00F9391F">
              <w:t xml:space="preserve"> level</w:t>
            </w:r>
          </w:p>
        </w:tc>
        <w:tc>
          <w:tcPr>
            <w:tcW w:w="11907" w:type="dxa"/>
          </w:tcPr>
          <w:p w14:paraId="3C3371BF" w14:textId="2A90B0DB" w:rsidR="00B26461" w:rsidRPr="00F9391F" w:rsidRDefault="00467854" w:rsidP="00B26461">
            <w:pPr>
              <w:pStyle w:val="Heading2"/>
              <w:spacing w:line="240" w:lineRule="auto"/>
              <w:outlineLvl w:val="1"/>
            </w:pPr>
            <w:r w:rsidRPr="00F9391F">
              <w:t xml:space="preserve">Elementary school, </w:t>
            </w:r>
            <w:r w:rsidR="00E6181A" w:rsidRPr="00F9391F">
              <w:t xml:space="preserve">secondary school, </w:t>
            </w:r>
            <w:r w:rsidRPr="00F9391F">
              <w:t>h</w:t>
            </w:r>
            <w:r w:rsidR="00B26461" w:rsidRPr="00F9391F">
              <w:t xml:space="preserve">igh school, </w:t>
            </w:r>
            <w:r w:rsidRPr="00F9391F">
              <w:t xml:space="preserve">university, </w:t>
            </w:r>
            <w:r w:rsidR="006D4DDF" w:rsidRPr="00F9391F">
              <w:t xml:space="preserve">or </w:t>
            </w:r>
            <w:r w:rsidRPr="00F9391F">
              <w:t>language institute</w:t>
            </w:r>
          </w:p>
        </w:tc>
      </w:tr>
      <w:tr w:rsidR="00B26461" w14:paraId="23CD1684" w14:textId="77777777" w:rsidTr="00B05D84">
        <w:tc>
          <w:tcPr>
            <w:tcW w:w="4111" w:type="dxa"/>
            <w:gridSpan w:val="2"/>
          </w:tcPr>
          <w:p w14:paraId="3076FF07" w14:textId="6B3CD09A" w:rsidR="00B26461" w:rsidRPr="00F9391F" w:rsidRDefault="00B26461" w:rsidP="00B26461">
            <w:pPr>
              <w:pStyle w:val="Heading2"/>
              <w:spacing w:line="240" w:lineRule="auto"/>
              <w:outlineLvl w:val="1"/>
              <w:rPr>
                <w:b/>
                <w:bCs/>
              </w:rPr>
            </w:pPr>
            <w:r w:rsidRPr="00F9391F">
              <w:rPr>
                <w:b/>
                <w:bCs/>
              </w:rPr>
              <w:t xml:space="preserve">Treatment </w:t>
            </w:r>
            <w:r w:rsidR="006D4DDF" w:rsidRPr="00F9391F">
              <w:rPr>
                <w:b/>
                <w:bCs/>
              </w:rPr>
              <w:t>variables</w:t>
            </w:r>
          </w:p>
        </w:tc>
        <w:tc>
          <w:tcPr>
            <w:tcW w:w="11907" w:type="dxa"/>
          </w:tcPr>
          <w:p w14:paraId="60226D6F" w14:textId="77777777" w:rsidR="00B26461" w:rsidRPr="00F9391F" w:rsidRDefault="00B26461" w:rsidP="00B26461">
            <w:pPr>
              <w:pStyle w:val="Heading2"/>
              <w:spacing w:line="240" w:lineRule="auto"/>
              <w:outlineLvl w:val="1"/>
            </w:pPr>
          </w:p>
        </w:tc>
      </w:tr>
      <w:tr w:rsidR="00B26461" w14:paraId="7FD5A0A0" w14:textId="77777777" w:rsidTr="00B05D84">
        <w:tc>
          <w:tcPr>
            <w:tcW w:w="284" w:type="dxa"/>
          </w:tcPr>
          <w:p w14:paraId="0DE57B9B" w14:textId="77777777" w:rsidR="00B26461" w:rsidRPr="00683B9F" w:rsidRDefault="00B26461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37C39EE2" w14:textId="091948DE" w:rsidR="00B26461" w:rsidRPr="00F9391F" w:rsidRDefault="00B26461" w:rsidP="00B26461">
            <w:pPr>
              <w:pStyle w:val="Heading2"/>
              <w:spacing w:line="240" w:lineRule="auto"/>
              <w:outlineLvl w:val="1"/>
            </w:pPr>
            <w:r w:rsidRPr="00F9391F">
              <w:t>Mode of i</w:t>
            </w:r>
            <w:r w:rsidR="00DA7455" w:rsidRPr="00F9391F">
              <w:t>nput</w:t>
            </w:r>
          </w:p>
        </w:tc>
        <w:tc>
          <w:tcPr>
            <w:tcW w:w="11907" w:type="dxa"/>
          </w:tcPr>
          <w:p w14:paraId="66B31911" w14:textId="49F63A65" w:rsidR="00B26461" w:rsidRPr="00F9391F" w:rsidRDefault="00DA7455" w:rsidP="00B26461">
            <w:pPr>
              <w:pStyle w:val="Heading2"/>
              <w:spacing w:line="240" w:lineRule="auto"/>
              <w:outlineLvl w:val="1"/>
              <w:rPr>
                <w:lang w:eastAsia="zh-CN"/>
              </w:rPr>
            </w:pPr>
            <w:r w:rsidRPr="00F9391F">
              <w:t>Listening, reading, mixed</w:t>
            </w:r>
            <w:r w:rsidR="00E6181A" w:rsidRPr="00F9391F">
              <w:rPr>
                <w:rFonts w:hint="eastAsia"/>
                <w:lang w:eastAsia="zh-CN"/>
              </w:rPr>
              <w:t>,</w:t>
            </w:r>
            <w:r w:rsidR="00E6181A" w:rsidRPr="00F9391F">
              <w:rPr>
                <w:lang w:eastAsia="zh-CN"/>
              </w:rPr>
              <w:t xml:space="preserve"> or unreported</w:t>
            </w:r>
          </w:p>
        </w:tc>
      </w:tr>
      <w:tr w:rsidR="00B26461" w14:paraId="2402AC34" w14:textId="77777777" w:rsidTr="00B05D84">
        <w:tc>
          <w:tcPr>
            <w:tcW w:w="284" w:type="dxa"/>
          </w:tcPr>
          <w:p w14:paraId="41801934" w14:textId="77777777" w:rsidR="00B26461" w:rsidRPr="00683B9F" w:rsidRDefault="00B26461" w:rsidP="00B26461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6A53BC20" w14:textId="32B8AC7B" w:rsidR="00B26461" w:rsidRPr="00F9391F" w:rsidRDefault="00852FC1" w:rsidP="00B26461">
            <w:pPr>
              <w:pStyle w:val="Heading2"/>
              <w:spacing w:line="240" w:lineRule="auto"/>
              <w:outlineLvl w:val="1"/>
            </w:pPr>
            <w:r w:rsidRPr="00F9391F">
              <w:t>M</w:t>
            </w:r>
            <w:r w:rsidRPr="00F9391F">
              <w:rPr>
                <w:rFonts w:hint="eastAsia"/>
                <w:lang w:eastAsia="zh-CN"/>
              </w:rPr>
              <w:t>aterial</w:t>
            </w:r>
            <w:r w:rsidR="00B26461" w:rsidRPr="00F9391F">
              <w:t xml:space="preserve"> type</w:t>
            </w:r>
          </w:p>
        </w:tc>
        <w:tc>
          <w:tcPr>
            <w:tcW w:w="11907" w:type="dxa"/>
          </w:tcPr>
          <w:p w14:paraId="29650878" w14:textId="695C37DA" w:rsidR="00B26461" w:rsidRPr="00F9391F" w:rsidRDefault="00852FC1" w:rsidP="00B26461">
            <w:pPr>
              <w:pStyle w:val="Heading2"/>
              <w:spacing w:line="240" w:lineRule="auto"/>
              <w:outlineLvl w:val="1"/>
            </w:pPr>
            <w:r w:rsidRPr="00F9391F">
              <w:t>Academic discourse, non-academic discourse</w:t>
            </w:r>
            <w:r w:rsidR="00B26461" w:rsidRPr="00F9391F">
              <w:t xml:space="preserve">, </w:t>
            </w:r>
            <w:r w:rsidRPr="00F9391F">
              <w:t>mixed</w:t>
            </w:r>
            <w:r w:rsidR="00B26461" w:rsidRPr="00F9391F">
              <w:t xml:space="preserve">, or </w:t>
            </w:r>
            <w:r w:rsidR="00601F1B" w:rsidRPr="00F9391F">
              <w:t xml:space="preserve">not </w:t>
            </w:r>
            <w:r w:rsidR="004C5A0C" w:rsidRPr="00F9391F">
              <w:t>reported</w:t>
            </w:r>
          </w:p>
        </w:tc>
      </w:tr>
      <w:tr w:rsidR="006D4DDF" w:rsidRPr="006D4DDF" w14:paraId="737A1175" w14:textId="77777777" w:rsidTr="00B05D84">
        <w:tc>
          <w:tcPr>
            <w:tcW w:w="16018" w:type="dxa"/>
            <w:gridSpan w:val="3"/>
          </w:tcPr>
          <w:p w14:paraId="3CFDE655" w14:textId="2648A9D4" w:rsidR="006D4DDF" w:rsidRPr="00F9391F" w:rsidRDefault="006D4DDF" w:rsidP="006D4DDF">
            <w:pPr>
              <w:pStyle w:val="Heading2"/>
              <w:spacing w:line="240" w:lineRule="auto"/>
              <w:outlineLvl w:val="1"/>
              <w:rPr>
                <w:b/>
                <w:bCs/>
                <w:lang w:val="en-CA" w:eastAsia="zh-CN"/>
              </w:rPr>
            </w:pPr>
            <w:r w:rsidRPr="00F9391F">
              <w:rPr>
                <w:b/>
                <w:bCs/>
              </w:rPr>
              <w:t>Notetaking features</w:t>
            </w:r>
          </w:p>
        </w:tc>
      </w:tr>
      <w:tr w:rsidR="00601F1B" w14:paraId="3AD68A2A" w14:textId="77777777" w:rsidTr="00B05D84">
        <w:tc>
          <w:tcPr>
            <w:tcW w:w="284" w:type="dxa"/>
          </w:tcPr>
          <w:p w14:paraId="2E2024BB" w14:textId="77777777" w:rsidR="00601F1B" w:rsidRPr="00683B9F" w:rsidRDefault="00601F1B" w:rsidP="006D4DDF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222DD50E" w14:textId="353C1488" w:rsidR="00601F1B" w:rsidRPr="00F9391F" w:rsidRDefault="00601F1B" w:rsidP="006D4DDF">
            <w:pPr>
              <w:pStyle w:val="Heading2"/>
              <w:spacing w:line="240" w:lineRule="auto"/>
              <w:outlineLvl w:val="1"/>
            </w:pPr>
            <w:r w:rsidRPr="00F9391F">
              <w:t>Notetaking behavior</w:t>
            </w:r>
          </w:p>
        </w:tc>
        <w:tc>
          <w:tcPr>
            <w:tcW w:w="11907" w:type="dxa"/>
          </w:tcPr>
          <w:p w14:paraId="535339A0" w14:textId="05D272CC" w:rsidR="00601F1B" w:rsidRPr="00F9391F" w:rsidRDefault="00601F1B" w:rsidP="006D4DDF">
            <w:pPr>
              <w:pStyle w:val="Heading2"/>
              <w:spacing w:line="240" w:lineRule="auto"/>
              <w:outlineLvl w:val="1"/>
            </w:pPr>
            <w:r w:rsidRPr="00F9391F">
              <w:t>Allowed notetaking, required notetaking, or not reported</w:t>
            </w:r>
          </w:p>
        </w:tc>
      </w:tr>
      <w:tr w:rsidR="00E403AC" w14:paraId="6ADC3849" w14:textId="77777777" w:rsidTr="00B05D84">
        <w:tc>
          <w:tcPr>
            <w:tcW w:w="284" w:type="dxa"/>
          </w:tcPr>
          <w:p w14:paraId="3B0CA327" w14:textId="77777777" w:rsidR="00E403AC" w:rsidRPr="00683B9F" w:rsidRDefault="00E403AC" w:rsidP="006D4DDF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6EDBE70E" w14:textId="6A91D66B" w:rsidR="00E403AC" w:rsidRPr="00F9391F" w:rsidRDefault="00E403AC" w:rsidP="006D4DDF">
            <w:pPr>
              <w:pStyle w:val="Heading2"/>
              <w:spacing w:line="240" w:lineRule="auto"/>
              <w:outlineLvl w:val="1"/>
            </w:pPr>
            <w:proofErr w:type="spellStart"/>
            <w:r w:rsidRPr="00F9391F">
              <w:t>Num_notetaking_sessions</w:t>
            </w:r>
            <w:proofErr w:type="spellEnd"/>
          </w:p>
        </w:tc>
        <w:tc>
          <w:tcPr>
            <w:tcW w:w="11907" w:type="dxa"/>
          </w:tcPr>
          <w:p w14:paraId="053C06C4" w14:textId="06C85B5A" w:rsidR="00E403AC" w:rsidRPr="00F9391F" w:rsidRDefault="00E403AC" w:rsidP="006D4DDF">
            <w:pPr>
              <w:pStyle w:val="Heading2"/>
              <w:spacing w:line="240" w:lineRule="auto"/>
              <w:outlineLvl w:val="1"/>
            </w:pPr>
            <w:r w:rsidRPr="00F9391F">
              <w:t>Number of notetaking sessions</w:t>
            </w:r>
          </w:p>
        </w:tc>
      </w:tr>
      <w:tr w:rsidR="006D4DDF" w14:paraId="79A72072" w14:textId="77777777" w:rsidTr="00B05D84">
        <w:tc>
          <w:tcPr>
            <w:tcW w:w="284" w:type="dxa"/>
          </w:tcPr>
          <w:p w14:paraId="1594FABE" w14:textId="77777777" w:rsidR="006D4DDF" w:rsidRPr="00683B9F" w:rsidRDefault="006D4DDF" w:rsidP="006D4DDF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0F64192D" w14:textId="451AECD4" w:rsidR="006D4DDF" w:rsidRPr="00F9391F" w:rsidRDefault="00601F1B" w:rsidP="006D4DDF">
            <w:pPr>
              <w:pStyle w:val="Heading2"/>
              <w:spacing w:line="240" w:lineRule="auto"/>
              <w:outlineLvl w:val="1"/>
            </w:pPr>
            <w:r w:rsidRPr="00F9391F">
              <w:t>Provision of n</w:t>
            </w:r>
            <w:r w:rsidR="006D4DDF" w:rsidRPr="00F9391F">
              <w:t xml:space="preserve">otetaking </w:t>
            </w:r>
            <w:r w:rsidRPr="00F9391F">
              <w:t>instruction</w:t>
            </w:r>
          </w:p>
        </w:tc>
        <w:tc>
          <w:tcPr>
            <w:tcW w:w="11907" w:type="dxa"/>
          </w:tcPr>
          <w:p w14:paraId="0E269823" w14:textId="6E7DB44C" w:rsidR="006D4DDF" w:rsidRPr="00F9391F" w:rsidRDefault="00601F1B" w:rsidP="006D4DDF">
            <w:pPr>
              <w:pStyle w:val="Heading2"/>
              <w:spacing w:line="240" w:lineRule="auto"/>
              <w:outlineLvl w:val="1"/>
            </w:pPr>
            <w:r w:rsidRPr="00F9391F">
              <w:t>Presence, or absence</w:t>
            </w:r>
          </w:p>
        </w:tc>
      </w:tr>
      <w:tr w:rsidR="00E403AC" w14:paraId="1313BC17" w14:textId="77777777" w:rsidTr="00B05D84">
        <w:tc>
          <w:tcPr>
            <w:tcW w:w="284" w:type="dxa"/>
          </w:tcPr>
          <w:p w14:paraId="44B65BD1" w14:textId="77777777" w:rsidR="00E403AC" w:rsidRPr="00683B9F" w:rsidRDefault="00E403AC" w:rsidP="006D4DDF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22ED2C28" w14:textId="6D670047" w:rsidR="00E403AC" w:rsidRPr="00F9391F" w:rsidRDefault="00E403AC" w:rsidP="006D4DDF">
            <w:pPr>
              <w:pStyle w:val="Heading2"/>
              <w:spacing w:line="240" w:lineRule="auto"/>
              <w:outlineLvl w:val="1"/>
            </w:pPr>
            <w:proofErr w:type="spellStart"/>
            <w:r w:rsidRPr="00F9391F">
              <w:t>Instruction_length</w:t>
            </w:r>
            <w:proofErr w:type="spellEnd"/>
          </w:p>
        </w:tc>
        <w:tc>
          <w:tcPr>
            <w:tcW w:w="11907" w:type="dxa"/>
          </w:tcPr>
          <w:p w14:paraId="7FC3BC17" w14:textId="33E219B3" w:rsidR="00E403AC" w:rsidRPr="00F9391F" w:rsidRDefault="00E403AC" w:rsidP="006D4DDF">
            <w:pPr>
              <w:pStyle w:val="Heading2"/>
              <w:spacing w:line="240" w:lineRule="auto"/>
              <w:outlineLvl w:val="1"/>
            </w:pPr>
            <w:r w:rsidRPr="00F9391F">
              <w:t>Total length of instruction time in minutes</w:t>
            </w:r>
          </w:p>
        </w:tc>
      </w:tr>
      <w:tr w:rsidR="006D4DDF" w14:paraId="4CBA19BB" w14:textId="77777777" w:rsidTr="00B05D84">
        <w:tc>
          <w:tcPr>
            <w:tcW w:w="284" w:type="dxa"/>
          </w:tcPr>
          <w:p w14:paraId="1B94BC4A" w14:textId="77777777" w:rsidR="006D4DDF" w:rsidRPr="00516992" w:rsidRDefault="006D4DDF" w:rsidP="006D4DDF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34081490" w14:textId="1FD5A277" w:rsidR="006D4DDF" w:rsidRPr="00F9391F" w:rsidRDefault="00E9263C" w:rsidP="006D4DDF">
            <w:pPr>
              <w:pStyle w:val="Heading2"/>
              <w:spacing w:line="240" w:lineRule="auto"/>
              <w:outlineLvl w:val="1"/>
            </w:pPr>
            <w:r w:rsidRPr="00F9391F">
              <w:t>Type of notetaking strategy</w:t>
            </w:r>
          </w:p>
        </w:tc>
        <w:tc>
          <w:tcPr>
            <w:tcW w:w="11907" w:type="dxa"/>
          </w:tcPr>
          <w:p w14:paraId="35099C33" w14:textId="609B2ECA" w:rsidR="006D4DDF" w:rsidRPr="00F9391F" w:rsidRDefault="00E9263C" w:rsidP="006D4DDF">
            <w:pPr>
              <w:pStyle w:val="Heading2"/>
              <w:spacing w:line="240" w:lineRule="auto"/>
              <w:outlineLvl w:val="1"/>
            </w:pPr>
            <w:r w:rsidRPr="00F9391F">
              <w:t>Linear learning strategy</w:t>
            </w:r>
            <w:r w:rsidR="00BE6D89" w:rsidRPr="00F9391F">
              <w:t xml:space="preserve">, </w:t>
            </w:r>
            <w:r w:rsidRPr="00F9391F">
              <w:t>generative learning strategy</w:t>
            </w:r>
            <w:r w:rsidR="00BE6D89" w:rsidRPr="00F9391F">
              <w:t>, or both</w:t>
            </w:r>
          </w:p>
        </w:tc>
      </w:tr>
      <w:tr w:rsidR="006D4DDF" w14:paraId="36A1F386" w14:textId="77777777" w:rsidTr="00B05D84">
        <w:tc>
          <w:tcPr>
            <w:tcW w:w="284" w:type="dxa"/>
          </w:tcPr>
          <w:p w14:paraId="1A7A0689" w14:textId="77777777" w:rsidR="006D4DDF" w:rsidRPr="00516992" w:rsidRDefault="006D4DDF" w:rsidP="006D4DDF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565962F3" w14:textId="692739BB" w:rsidR="006D4DDF" w:rsidRPr="00F9391F" w:rsidRDefault="00BE6D89" w:rsidP="006D4DDF">
            <w:pPr>
              <w:pStyle w:val="Heading2"/>
              <w:spacing w:line="240" w:lineRule="auto"/>
              <w:outlineLvl w:val="1"/>
            </w:pPr>
            <w:r w:rsidRPr="00F9391F">
              <w:t>Opportunity of review notes</w:t>
            </w:r>
          </w:p>
        </w:tc>
        <w:tc>
          <w:tcPr>
            <w:tcW w:w="11907" w:type="dxa"/>
          </w:tcPr>
          <w:p w14:paraId="3E35F26C" w14:textId="305E446B" w:rsidR="006D4DDF" w:rsidRPr="00F9391F" w:rsidRDefault="00BE6D89" w:rsidP="006D4DDF">
            <w:pPr>
              <w:pStyle w:val="Heading2"/>
              <w:spacing w:line="240" w:lineRule="auto"/>
              <w:outlineLvl w:val="1"/>
            </w:pPr>
            <w:r w:rsidRPr="00F9391F">
              <w:t>Yes, no, or not reported</w:t>
            </w:r>
          </w:p>
        </w:tc>
      </w:tr>
      <w:tr w:rsidR="006D4DDF" w14:paraId="1DE126A4" w14:textId="77777777" w:rsidTr="00B05D84">
        <w:tc>
          <w:tcPr>
            <w:tcW w:w="4111" w:type="dxa"/>
            <w:gridSpan w:val="2"/>
          </w:tcPr>
          <w:p w14:paraId="0ABABFB2" w14:textId="458D28AC" w:rsidR="006D4DDF" w:rsidRPr="00F9391F" w:rsidRDefault="006D4DDF" w:rsidP="006D4DDF">
            <w:pPr>
              <w:pStyle w:val="Heading2"/>
              <w:spacing w:line="240" w:lineRule="auto"/>
              <w:outlineLvl w:val="1"/>
              <w:rPr>
                <w:b/>
                <w:bCs/>
              </w:rPr>
            </w:pPr>
            <w:r w:rsidRPr="00F9391F">
              <w:rPr>
                <w:b/>
                <w:bCs/>
              </w:rPr>
              <w:t>Outcome features</w:t>
            </w:r>
          </w:p>
        </w:tc>
        <w:tc>
          <w:tcPr>
            <w:tcW w:w="11907" w:type="dxa"/>
          </w:tcPr>
          <w:p w14:paraId="3958C743" w14:textId="77777777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</w:p>
        </w:tc>
      </w:tr>
      <w:tr w:rsidR="006D4DDF" w14:paraId="73141A59" w14:textId="77777777" w:rsidTr="00B05D84">
        <w:tc>
          <w:tcPr>
            <w:tcW w:w="284" w:type="dxa"/>
          </w:tcPr>
          <w:p w14:paraId="2DD8BD76" w14:textId="77777777" w:rsidR="006D4DDF" w:rsidRPr="00516992" w:rsidRDefault="006D4DDF" w:rsidP="006D4DDF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6EE921BE" w14:textId="7D5ED126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t>Target learning</w:t>
            </w:r>
          </w:p>
        </w:tc>
        <w:tc>
          <w:tcPr>
            <w:tcW w:w="11907" w:type="dxa"/>
          </w:tcPr>
          <w:p w14:paraId="00C079FA" w14:textId="333B0892" w:rsidR="006D4DDF" w:rsidRPr="00F9391F" w:rsidRDefault="00E403AC" w:rsidP="006D4DDF">
            <w:pPr>
              <w:pStyle w:val="Heading2"/>
              <w:spacing w:line="240" w:lineRule="auto"/>
              <w:outlineLvl w:val="1"/>
            </w:pPr>
            <w:r w:rsidRPr="00F9391F">
              <w:t>Linguistic forms</w:t>
            </w:r>
            <w:r w:rsidR="006D4DDF" w:rsidRPr="00F9391F">
              <w:t>, listening</w:t>
            </w:r>
            <w:r w:rsidR="009B33A4" w:rsidRPr="00F9391F">
              <w:t xml:space="preserve"> comprehension</w:t>
            </w:r>
            <w:r w:rsidR="006D4DDF" w:rsidRPr="00F9391F">
              <w:t>, reading</w:t>
            </w:r>
            <w:r w:rsidR="009B33A4" w:rsidRPr="00F9391F">
              <w:t xml:space="preserve"> comprehension</w:t>
            </w:r>
            <w:r w:rsidRPr="00F9391F">
              <w:t>, writing</w:t>
            </w:r>
          </w:p>
        </w:tc>
      </w:tr>
      <w:tr w:rsidR="006D4DDF" w14:paraId="52E4523A" w14:textId="77777777" w:rsidTr="00B05D84">
        <w:tc>
          <w:tcPr>
            <w:tcW w:w="284" w:type="dxa"/>
          </w:tcPr>
          <w:p w14:paraId="03A191F7" w14:textId="77777777" w:rsidR="006D4DDF" w:rsidRPr="00516992" w:rsidRDefault="006D4DDF" w:rsidP="006D4DDF">
            <w:pPr>
              <w:pStyle w:val="Heading2"/>
              <w:spacing w:line="240" w:lineRule="auto"/>
              <w:outlineLvl w:val="1"/>
            </w:pPr>
            <w:bookmarkStart w:id="3" w:name="_Hlk143457842"/>
          </w:p>
        </w:tc>
        <w:tc>
          <w:tcPr>
            <w:tcW w:w="3827" w:type="dxa"/>
          </w:tcPr>
          <w:p w14:paraId="6869549E" w14:textId="0D9417A4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t>Test max score</w:t>
            </w:r>
          </w:p>
        </w:tc>
        <w:tc>
          <w:tcPr>
            <w:tcW w:w="11907" w:type="dxa"/>
          </w:tcPr>
          <w:p w14:paraId="2BE031D4" w14:textId="26BB5FD3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t>Maximum score for the test</w:t>
            </w:r>
          </w:p>
        </w:tc>
      </w:tr>
      <w:tr w:rsidR="006D4DDF" w14:paraId="3A92A540" w14:textId="77777777" w:rsidTr="00B05D84">
        <w:tc>
          <w:tcPr>
            <w:tcW w:w="284" w:type="dxa"/>
          </w:tcPr>
          <w:p w14:paraId="5CD55F1F" w14:textId="77777777" w:rsidR="006D4DDF" w:rsidRPr="00516992" w:rsidRDefault="006D4DDF" w:rsidP="006D4DDF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00AF0E78" w14:textId="055BA534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t>N</w:t>
            </w:r>
          </w:p>
        </w:tc>
        <w:tc>
          <w:tcPr>
            <w:tcW w:w="11907" w:type="dxa"/>
          </w:tcPr>
          <w:p w14:paraId="56CABBC7" w14:textId="68E099C2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t>The total number of participants</w:t>
            </w:r>
          </w:p>
        </w:tc>
      </w:tr>
      <w:tr w:rsidR="006D4DDF" w14:paraId="0D816D86" w14:textId="77777777" w:rsidTr="00B05D84">
        <w:tc>
          <w:tcPr>
            <w:tcW w:w="284" w:type="dxa"/>
          </w:tcPr>
          <w:p w14:paraId="0B1D254C" w14:textId="77777777" w:rsidR="006D4DDF" w:rsidRPr="00516992" w:rsidRDefault="006D4DDF" w:rsidP="006D4DDF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782C8B4E" w14:textId="23970628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t>n</w:t>
            </w:r>
          </w:p>
        </w:tc>
        <w:tc>
          <w:tcPr>
            <w:tcW w:w="11907" w:type="dxa"/>
          </w:tcPr>
          <w:p w14:paraId="5FE9201A" w14:textId="347EDBD4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t>Participant number in each group</w:t>
            </w:r>
          </w:p>
        </w:tc>
      </w:tr>
      <w:tr w:rsidR="006D4DDF" w14:paraId="3345DCE3" w14:textId="77777777" w:rsidTr="00B05D84">
        <w:tc>
          <w:tcPr>
            <w:tcW w:w="284" w:type="dxa"/>
          </w:tcPr>
          <w:p w14:paraId="24294627" w14:textId="77777777" w:rsidR="006D4DDF" w:rsidRPr="00516992" w:rsidRDefault="006D4DDF" w:rsidP="006D4DDF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5E750867" w14:textId="43DF89C8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proofErr w:type="spellStart"/>
            <w:r w:rsidRPr="00F9391F">
              <w:t>Post_mean</w:t>
            </w:r>
            <w:proofErr w:type="spellEnd"/>
          </w:p>
        </w:tc>
        <w:tc>
          <w:tcPr>
            <w:tcW w:w="11907" w:type="dxa"/>
          </w:tcPr>
          <w:p w14:paraId="4AD04723" w14:textId="54ED34A6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t>Learners’ learning outcome in the immediate posttest</w:t>
            </w:r>
          </w:p>
        </w:tc>
      </w:tr>
      <w:tr w:rsidR="006D4DDF" w14:paraId="1A3C83AF" w14:textId="77777777" w:rsidTr="00B05D84">
        <w:tc>
          <w:tcPr>
            <w:tcW w:w="284" w:type="dxa"/>
          </w:tcPr>
          <w:p w14:paraId="417CB236" w14:textId="77777777" w:rsidR="006D4DDF" w:rsidRPr="00516992" w:rsidRDefault="006D4DDF" w:rsidP="006D4DDF">
            <w:pPr>
              <w:pStyle w:val="Heading2"/>
              <w:spacing w:line="240" w:lineRule="auto"/>
              <w:outlineLvl w:val="1"/>
            </w:pPr>
          </w:p>
        </w:tc>
        <w:tc>
          <w:tcPr>
            <w:tcW w:w="3827" w:type="dxa"/>
          </w:tcPr>
          <w:p w14:paraId="67CDA725" w14:textId="3C040F20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proofErr w:type="spellStart"/>
            <w:r w:rsidRPr="00F9391F">
              <w:t>Post_SD</w:t>
            </w:r>
            <w:proofErr w:type="spellEnd"/>
          </w:p>
        </w:tc>
        <w:tc>
          <w:tcPr>
            <w:tcW w:w="11907" w:type="dxa"/>
          </w:tcPr>
          <w:p w14:paraId="57921500" w14:textId="00BE9DE9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t>The standard deviation of the posttest scores</w:t>
            </w:r>
          </w:p>
        </w:tc>
      </w:tr>
      <w:bookmarkEnd w:id="3"/>
      <w:tr w:rsidR="006D4DDF" w14:paraId="03E914CE" w14:textId="77777777" w:rsidTr="00B05D84">
        <w:tc>
          <w:tcPr>
            <w:tcW w:w="4111" w:type="dxa"/>
            <w:gridSpan w:val="2"/>
          </w:tcPr>
          <w:p w14:paraId="4013FB68" w14:textId="0F613827" w:rsidR="006D4DDF" w:rsidRPr="00F9391F" w:rsidRDefault="006D4DDF" w:rsidP="006D4DDF">
            <w:pPr>
              <w:pStyle w:val="Heading2"/>
              <w:spacing w:line="240" w:lineRule="auto"/>
              <w:outlineLvl w:val="1"/>
              <w:rPr>
                <w:b/>
                <w:bCs/>
              </w:rPr>
            </w:pPr>
            <w:r w:rsidRPr="00F9391F">
              <w:rPr>
                <w:b/>
                <w:bCs/>
              </w:rPr>
              <w:t>Methodology</w:t>
            </w:r>
          </w:p>
        </w:tc>
        <w:tc>
          <w:tcPr>
            <w:tcW w:w="11907" w:type="dxa"/>
          </w:tcPr>
          <w:p w14:paraId="59A0ABBB" w14:textId="77777777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</w:p>
        </w:tc>
      </w:tr>
      <w:tr w:rsidR="006D4DDF" w14:paraId="5DBAAE1F" w14:textId="77777777" w:rsidTr="00B05D84">
        <w:tc>
          <w:tcPr>
            <w:tcW w:w="4111" w:type="dxa"/>
            <w:gridSpan w:val="2"/>
          </w:tcPr>
          <w:p w14:paraId="57896E38" w14:textId="53654589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rPr>
                <w:b/>
                <w:bCs/>
              </w:rPr>
              <w:t xml:space="preserve">       </w:t>
            </w:r>
            <w:r w:rsidRPr="00F9391F">
              <w:t>Measurement type</w:t>
            </w:r>
          </w:p>
        </w:tc>
        <w:tc>
          <w:tcPr>
            <w:tcW w:w="11907" w:type="dxa"/>
          </w:tcPr>
          <w:p w14:paraId="4E563EF9" w14:textId="65C73BC9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t>Re</w:t>
            </w:r>
            <w:r w:rsidR="00BE6D89" w:rsidRPr="00F9391F">
              <w:t>cognition</w:t>
            </w:r>
            <w:r w:rsidRPr="00F9391F">
              <w:t xml:space="preserve">, </w:t>
            </w:r>
            <w:r w:rsidR="00BE6D89" w:rsidRPr="00F9391F">
              <w:t>recall</w:t>
            </w:r>
            <w:r w:rsidRPr="00F9391F">
              <w:t xml:space="preserve">, </w:t>
            </w:r>
            <w:r w:rsidR="009B33A4" w:rsidRPr="00F9391F">
              <w:t xml:space="preserve">writing, </w:t>
            </w:r>
            <w:r w:rsidRPr="00F9391F">
              <w:t xml:space="preserve">or </w:t>
            </w:r>
            <w:r w:rsidR="00BE6D89" w:rsidRPr="00F9391F">
              <w:t>not reported</w:t>
            </w:r>
          </w:p>
        </w:tc>
      </w:tr>
      <w:tr w:rsidR="006D4DDF" w14:paraId="77815C9C" w14:textId="77777777" w:rsidTr="00B05D84">
        <w:tc>
          <w:tcPr>
            <w:tcW w:w="4111" w:type="dxa"/>
            <w:gridSpan w:val="2"/>
          </w:tcPr>
          <w:p w14:paraId="773844A6" w14:textId="4F28307F" w:rsidR="006D4DDF" w:rsidRPr="00F9391F" w:rsidRDefault="006D4DDF" w:rsidP="006D4DDF">
            <w:pPr>
              <w:pStyle w:val="Heading2"/>
              <w:spacing w:line="240" w:lineRule="auto"/>
              <w:outlineLvl w:val="1"/>
            </w:pPr>
            <w:r w:rsidRPr="00F9391F">
              <w:rPr>
                <w:b/>
                <w:bCs/>
              </w:rPr>
              <w:t xml:space="preserve">       </w:t>
            </w:r>
            <w:r w:rsidRPr="00F9391F">
              <w:t>Testing instrument</w:t>
            </w:r>
          </w:p>
        </w:tc>
        <w:tc>
          <w:tcPr>
            <w:tcW w:w="11907" w:type="dxa"/>
          </w:tcPr>
          <w:p w14:paraId="44AE8DC3" w14:textId="27A8C97A" w:rsidR="006D4DDF" w:rsidRPr="00F9391F" w:rsidRDefault="006D4DDF" w:rsidP="006D4DDF">
            <w:pPr>
              <w:pStyle w:val="Heading2"/>
              <w:spacing w:line="240" w:lineRule="auto"/>
              <w:outlineLvl w:val="1"/>
              <w:rPr>
                <w:lang w:eastAsia="zh-CN"/>
              </w:rPr>
            </w:pPr>
            <w:r w:rsidRPr="00F9391F">
              <w:t xml:space="preserve">Meaning recall, </w:t>
            </w:r>
            <w:r w:rsidRPr="00F9391F">
              <w:rPr>
                <w:rFonts w:hint="eastAsia"/>
                <w:lang w:eastAsia="zh-CN"/>
              </w:rPr>
              <w:t>form</w:t>
            </w:r>
            <w:r w:rsidRPr="00F9391F">
              <w:rPr>
                <w:lang w:eastAsia="zh-CN"/>
              </w:rPr>
              <w:t xml:space="preserve"> recall, </w:t>
            </w:r>
            <w:r w:rsidRPr="00F9391F">
              <w:t>multiple-choice, T/F question, etc</w:t>
            </w:r>
            <w:r w:rsidRPr="00F9391F">
              <w:rPr>
                <w:rFonts w:hint="eastAsia"/>
                <w:lang w:eastAsia="zh-CN"/>
              </w:rPr>
              <w:t>.</w:t>
            </w:r>
          </w:p>
        </w:tc>
      </w:tr>
      <w:tr w:rsidR="000135D0" w14:paraId="3F44E221" w14:textId="77777777" w:rsidTr="00B05D84">
        <w:tc>
          <w:tcPr>
            <w:tcW w:w="4111" w:type="dxa"/>
            <w:gridSpan w:val="2"/>
          </w:tcPr>
          <w:p w14:paraId="56919DEC" w14:textId="01E182DC" w:rsidR="000135D0" w:rsidRDefault="000135D0" w:rsidP="006D4DDF">
            <w:pPr>
              <w:pStyle w:val="Heading2"/>
              <w:spacing w:line="240" w:lineRule="auto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Study quality</w:t>
            </w:r>
          </w:p>
        </w:tc>
        <w:tc>
          <w:tcPr>
            <w:tcW w:w="11907" w:type="dxa"/>
          </w:tcPr>
          <w:p w14:paraId="2B643B54" w14:textId="6707B2DB" w:rsidR="000135D0" w:rsidRDefault="000135D0" w:rsidP="006D4DDF">
            <w:pPr>
              <w:pStyle w:val="Heading2"/>
              <w:spacing w:line="240" w:lineRule="auto"/>
              <w:outlineLvl w:val="1"/>
            </w:pPr>
            <w:r>
              <w:t>Report whether the study reported some aspects of study quality such as pretest, instrument reliability, etc.</w:t>
            </w:r>
          </w:p>
        </w:tc>
      </w:tr>
    </w:tbl>
    <w:p w14:paraId="6543C0D1" w14:textId="1CCD2693" w:rsidR="00121C98" w:rsidRDefault="00121C98" w:rsidP="00B26461"/>
    <w:p w14:paraId="0BFEA09A" w14:textId="47AA0CA1" w:rsidR="00121C98" w:rsidRPr="00C26BE4" w:rsidRDefault="00121C98" w:rsidP="00C26BE4">
      <w:r>
        <w:br w:type="page"/>
      </w:r>
      <w:r w:rsidR="00D015B7">
        <w:rPr>
          <w:rFonts w:asciiTheme="majorBidi" w:hAnsiTheme="majorBidi" w:cstheme="majorBidi"/>
          <w:b/>
          <w:bCs/>
          <w:sz w:val="24"/>
          <w:szCs w:val="24"/>
        </w:rPr>
        <w:lastRenderedPageBreak/>
        <w:t>Sensitivity Analyses</w:t>
      </w:r>
    </w:p>
    <w:p w14:paraId="493E1078" w14:textId="60455A30" w:rsidR="00D60F98" w:rsidRPr="00F80E44" w:rsidRDefault="00D015B7" w:rsidP="001D1604">
      <w:pPr>
        <w:adjustRightInd w:val="0"/>
        <w:snapToGrid w:val="0"/>
        <w:spacing w:after="0" w:line="480" w:lineRule="auto"/>
        <w:rPr>
          <w:rFonts w:asciiTheme="majorBidi" w:hAnsiTheme="majorBidi" w:cstheme="majorBidi"/>
          <w:sz w:val="24"/>
          <w:szCs w:val="24"/>
          <w:lang w:eastAsia="zh-CN"/>
        </w:rPr>
      </w:pPr>
      <w:r w:rsidRPr="00A939B8">
        <w:rPr>
          <w:rFonts w:asciiTheme="majorBidi" w:hAnsiTheme="majorBidi" w:cstheme="majorBidi"/>
          <w:sz w:val="24"/>
          <w:szCs w:val="24"/>
        </w:rPr>
        <w:t xml:space="preserve"> </w:t>
      </w:r>
      <w:r w:rsidR="00A939B8">
        <w:rPr>
          <w:rFonts w:asciiTheme="majorBidi" w:hAnsiTheme="majorBidi" w:cstheme="majorBidi"/>
          <w:sz w:val="24"/>
          <w:szCs w:val="24"/>
        </w:rPr>
        <w:t xml:space="preserve"> </w:t>
      </w:r>
      <w:r w:rsidR="00A939B8" w:rsidRPr="00A939B8">
        <w:rPr>
          <w:rFonts w:asciiTheme="majorBidi" w:hAnsiTheme="majorBidi" w:cstheme="majorBidi"/>
          <w:sz w:val="24"/>
          <w:szCs w:val="24"/>
        </w:rPr>
        <w:t xml:space="preserve">Following previous meta-analyses (e.g., Kim &amp; Webb, 2022; </w:t>
      </w:r>
      <w:proofErr w:type="spellStart"/>
      <w:r w:rsidR="00A939B8" w:rsidRPr="00A939B8">
        <w:rPr>
          <w:rFonts w:asciiTheme="majorBidi" w:hAnsiTheme="majorBidi" w:cstheme="majorBidi"/>
          <w:sz w:val="24"/>
          <w:szCs w:val="24"/>
        </w:rPr>
        <w:t>Shintani</w:t>
      </w:r>
      <w:proofErr w:type="spellEnd"/>
      <w:r w:rsidR="00A939B8" w:rsidRPr="00A939B8">
        <w:rPr>
          <w:rFonts w:asciiTheme="majorBidi" w:hAnsiTheme="majorBidi" w:cstheme="majorBidi"/>
          <w:sz w:val="24"/>
          <w:szCs w:val="24"/>
        </w:rPr>
        <w:t xml:space="preserve"> et al., 2013), we first converted the effect sizes into z scores, and did not find any absolute value that was larger than 2.0. We then used the </w:t>
      </w:r>
      <w:r w:rsidR="00A939B8" w:rsidRPr="00FC0917">
        <w:rPr>
          <w:rFonts w:asciiTheme="majorBidi" w:hAnsiTheme="majorBidi" w:cstheme="majorBidi"/>
          <w:i/>
          <w:iCs/>
          <w:sz w:val="24"/>
          <w:szCs w:val="24"/>
        </w:rPr>
        <w:t>meta</w:t>
      </w:r>
      <w:r w:rsidR="00A939B8" w:rsidRPr="00A939B8">
        <w:rPr>
          <w:rFonts w:asciiTheme="majorBidi" w:hAnsiTheme="majorBidi" w:cstheme="majorBidi"/>
          <w:sz w:val="24"/>
          <w:szCs w:val="24"/>
        </w:rPr>
        <w:t xml:space="preserve"> package in R software to identify outliers. As </w:t>
      </w:r>
      <w:proofErr w:type="spellStart"/>
      <w:r w:rsidR="00A939B8" w:rsidRPr="00A939B8">
        <w:rPr>
          <w:rFonts w:asciiTheme="majorBidi" w:hAnsiTheme="majorBidi" w:cstheme="majorBidi"/>
          <w:sz w:val="24"/>
          <w:szCs w:val="24"/>
        </w:rPr>
        <w:t>Harrer</w:t>
      </w:r>
      <w:proofErr w:type="spellEnd"/>
      <w:r w:rsidR="00A939B8" w:rsidRPr="00A939B8">
        <w:rPr>
          <w:rFonts w:asciiTheme="majorBidi" w:hAnsiTheme="majorBidi" w:cstheme="majorBidi"/>
          <w:sz w:val="24"/>
          <w:szCs w:val="24"/>
        </w:rPr>
        <w:t xml:space="preserve"> et al. (2021) suggested, this package provides </w:t>
      </w:r>
      <w:r w:rsidR="00A939B8" w:rsidRPr="00A939B8">
        <w:rPr>
          <w:rFonts w:asciiTheme="majorBidi" w:hAnsiTheme="majorBidi" w:cstheme="majorBidi"/>
          <w:sz w:val="24"/>
          <w:szCs w:val="24"/>
          <w:lang w:val="en-CA"/>
        </w:rPr>
        <w:t xml:space="preserve">measures </w:t>
      </w:r>
      <w:r w:rsidR="00A939B8" w:rsidRPr="00A939B8">
        <w:rPr>
          <w:rFonts w:asciiTheme="majorBidi" w:hAnsiTheme="majorBidi" w:cstheme="majorBidi"/>
          <w:sz w:val="24"/>
          <w:szCs w:val="24"/>
        </w:rPr>
        <w:t xml:space="preserve">such as </w:t>
      </w:r>
      <w:r w:rsidR="00A939B8" w:rsidRPr="00A939B8">
        <w:rPr>
          <w:rFonts w:asciiTheme="majorBidi" w:hAnsiTheme="majorBidi" w:cstheme="majorBidi"/>
          <w:sz w:val="24"/>
          <w:szCs w:val="24"/>
          <w:lang w:val="en-CA"/>
        </w:rPr>
        <w:t xml:space="preserve">DFFITS values, Cook’s distances, and Covariance ratio (see </w:t>
      </w:r>
      <w:proofErr w:type="spellStart"/>
      <w:r w:rsidR="00A939B8" w:rsidRPr="00A939B8">
        <w:rPr>
          <w:rFonts w:asciiTheme="majorBidi" w:hAnsiTheme="majorBidi" w:cstheme="majorBidi"/>
          <w:sz w:val="24"/>
          <w:szCs w:val="24"/>
          <w:lang w:val="en-CA"/>
        </w:rPr>
        <w:t>Harrer</w:t>
      </w:r>
      <w:proofErr w:type="spellEnd"/>
      <w:r w:rsidR="00A939B8" w:rsidRPr="00A939B8">
        <w:rPr>
          <w:rFonts w:asciiTheme="majorBidi" w:hAnsiTheme="majorBidi" w:cstheme="majorBidi"/>
          <w:sz w:val="24"/>
          <w:szCs w:val="24"/>
          <w:lang w:val="en-CA"/>
        </w:rPr>
        <w:t xml:space="preserve"> et al., 2021, for their definitions and equations)</w:t>
      </w:r>
      <w:r w:rsidR="00A939B8" w:rsidRPr="00A939B8">
        <w:rPr>
          <w:rFonts w:asciiTheme="majorBidi" w:hAnsiTheme="majorBidi" w:cstheme="majorBidi"/>
          <w:sz w:val="24"/>
          <w:szCs w:val="24"/>
        </w:rPr>
        <w:t xml:space="preserve"> to detect outliers. Plots in Figure </w:t>
      </w:r>
      <w:r w:rsidR="006C16E9">
        <w:rPr>
          <w:rFonts w:asciiTheme="majorBidi" w:hAnsiTheme="majorBidi" w:cstheme="majorBidi"/>
          <w:sz w:val="24"/>
          <w:szCs w:val="24"/>
        </w:rPr>
        <w:t>1</w:t>
      </w:r>
      <w:r w:rsidR="00A939B8" w:rsidRPr="00A939B8">
        <w:rPr>
          <w:rFonts w:asciiTheme="majorBidi" w:hAnsiTheme="majorBidi" w:cstheme="majorBidi"/>
          <w:sz w:val="24"/>
          <w:szCs w:val="24"/>
        </w:rPr>
        <w:t xml:space="preserve"> revealed that one study (Walters &amp; Bozkurt, 2009</w:t>
      </w:r>
      <w:r w:rsidR="008965A1">
        <w:rPr>
          <w:rFonts w:asciiTheme="majorBidi" w:hAnsiTheme="majorBidi" w:cstheme="majorBidi"/>
          <w:sz w:val="24"/>
          <w:szCs w:val="24"/>
        </w:rPr>
        <w:t>)</w:t>
      </w:r>
      <w:r w:rsidR="00A81A2B">
        <w:rPr>
          <w:rFonts w:asciiTheme="majorBidi" w:hAnsiTheme="majorBidi" w:cstheme="majorBidi"/>
          <w:sz w:val="24"/>
          <w:szCs w:val="24"/>
        </w:rPr>
        <w:t xml:space="preserve">, </w:t>
      </w:r>
      <w:r w:rsidR="00A939B8" w:rsidRPr="00A939B8">
        <w:rPr>
          <w:rFonts w:asciiTheme="majorBidi" w:hAnsiTheme="majorBidi" w:cstheme="majorBidi"/>
          <w:sz w:val="24"/>
          <w:szCs w:val="24"/>
        </w:rPr>
        <w:t xml:space="preserve">which is marked with a red circle, is considered </w:t>
      </w:r>
      <w:r w:rsidR="00D476E5">
        <w:rPr>
          <w:rFonts w:asciiTheme="majorBidi" w:hAnsiTheme="majorBidi" w:cstheme="majorBidi"/>
          <w:sz w:val="24"/>
          <w:szCs w:val="24"/>
        </w:rPr>
        <w:t xml:space="preserve">as </w:t>
      </w:r>
      <w:r w:rsidR="00A939B8" w:rsidRPr="00A939B8">
        <w:rPr>
          <w:rFonts w:asciiTheme="majorBidi" w:hAnsiTheme="majorBidi" w:cstheme="majorBidi"/>
          <w:sz w:val="24"/>
          <w:szCs w:val="24"/>
        </w:rPr>
        <w:t>a</w:t>
      </w:r>
      <w:r w:rsidR="00D476E5">
        <w:rPr>
          <w:rFonts w:asciiTheme="majorBidi" w:hAnsiTheme="majorBidi" w:cstheme="majorBidi"/>
          <w:sz w:val="24"/>
          <w:szCs w:val="24"/>
        </w:rPr>
        <w:t xml:space="preserve"> potential</w:t>
      </w:r>
      <w:r w:rsidR="00A939B8" w:rsidRPr="00A939B8">
        <w:rPr>
          <w:rFonts w:asciiTheme="majorBidi" w:hAnsiTheme="majorBidi" w:cstheme="majorBidi"/>
          <w:sz w:val="24"/>
          <w:szCs w:val="24"/>
        </w:rPr>
        <w:t xml:space="preserve"> outlier.</w:t>
      </w:r>
      <w:r w:rsidR="00C85231">
        <w:rPr>
          <w:rFonts w:asciiTheme="majorBidi" w:hAnsiTheme="majorBidi" w:cstheme="majorBidi"/>
          <w:sz w:val="24"/>
          <w:szCs w:val="24"/>
        </w:rPr>
        <w:t xml:space="preserve"> </w:t>
      </w:r>
      <w:r w:rsidR="00151CF9">
        <w:rPr>
          <w:rFonts w:asciiTheme="majorBidi" w:hAnsiTheme="majorBidi" w:cstheme="majorBidi"/>
          <w:sz w:val="24"/>
          <w:szCs w:val="24"/>
        </w:rPr>
        <w:t xml:space="preserve">And subsequent analyses in second research question also identified it as the only potential outlier. </w:t>
      </w:r>
      <w:r w:rsidR="00C85231">
        <w:rPr>
          <w:rFonts w:asciiTheme="majorBidi" w:hAnsiTheme="majorBidi" w:cstheme="majorBidi"/>
          <w:sz w:val="24"/>
          <w:szCs w:val="24"/>
        </w:rPr>
        <w:t>However, b</w:t>
      </w:r>
      <w:r w:rsidR="00C85231" w:rsidRPr="00C85231">
        <w:rPr>
          <w:rFonts w:asciiTheme="majorBidi" w:hAnsiTheme="majorBidi" w:cstheme="majorBidi"/>
          <w:sz w:val="24"/>
          <w:szCs w:val="24"/>
        </w:rPr>
        <w:t xml:space="preserve">ecause each study was independently conducted and included a different group of students and varying learning conditions, studies identified as outliers do not necessarily mean the study is an outlier that does not reflect normal </w:t>
      </w:r>
      <w:r w:rsidR="00C85231">
        <w:rPr>
          <w:rFonts w:asciiTheme="majorBidi" w:hAnsiTheme="majorBidi" w:cstheme="majorBidi"/>
          <w:sz w:val="24"/>
          <w:szCs w:val="24"/>
        </w:rPr>
        <w:t>language</w:t>
      </w:r>
      <w:r w:rsidR="00C85231" w:rsidRPr="00C85231">
        <w:rPr>
          <w:rFonts w:asciiTheme="majorBidi" w:hAnsiTheme="majorBidi" w:cstheme="majorBidi"/>
          <w:sz w:val="24"/>
          <w:szCs w:val="24"/>
        </w:rPr>
        <w:t xml:space="preserve"> learning. Therefore, it is not appropriate to simply delete “outlier” studies from the analysis (see, e.g., Hunter &amp; Schmidt, 2004, for arguments about how to treat outliers). We followed </w:t>
      </w:r>
      <w:proofErr w:type="spellStart"/>
      <w:r w:rsidR="00C85231" w:rsidRPr="00C85231">
        <w:rPr>
          <w:rFonts w:asciiTheme="majorBidi" w:hAnsiTheme="majorBidi" w:cstheme="majorBidi"/>
          <w:sz w:val="24"/>
          <w:szCs w:val="24"/>
        </w:rPr>
        <w:t>Viechtbauer</w:t>
      </w:r>
      <w:proofErr w:type="spellEnd"/>
      <w:r w:rsidR="00C85231" w:rsidRPr="00C85231">
        <w:rPr>
          <w:rFonts w:asciiTheme="majorBidi" w:hAnsiTheme="majorBidi" w:cstheme="majorBidi"/>
          <w:sz w:val="24"/>
          <w:szCs w:val="24"/>
        </w:rPr>
        <w:t xml:space="preserve"> and Cheung’s (2010) guidance and reran the whole analysis while excluding the studies identified as influential and compared the results to the results obtained when including all studies</w:t>
      </w:r>
      <w:r w:rsidR="0061353F">
        <w:rPr>
          <w:rFonts w:asciiTheme="majorBidi" w:hAnsiTheme="majorBidi" w:cstheme="majorBidi" w:hint="eastAsia"/>
          <w:sz w:val="24"/>
          <w:szCs w:val="24"/>
          <w:lang w:eastAsia="zh-CN"/>
        </w:rPr>
        <w:t>.</w:t>
      </w:r>
      <w:r w:rsidR="0061353F">
        <w:rPr>
          <w:rFonts w:asciiTheme="majorBidi" w:hAnsiTheme="majorBidi" w:cstheme="majorBidi"/>
          <w:sz w:val="24"/>
          <w:szCs w:val="24"/>
          <w:lang w:eastAsia="zh-CN"/>
        </w:rPr>
        <w:t xml:space="preserve"> The</w:t>
      </w:r>
      <w:r w:rsidR="00EB5DBD">
        <w:rPr>
          <w:rFonts w:asciiTheme="majorBidi" w:hAnsiTheme="majorBidi" w:cstheme="majorBidi"/>
          <w:sz w:val="24"/>
          <w:szCs w:val="24"/>
          <w:lang w:eastAsia="zh-CN"/>
        </w:rPr>
        <w:t xml:space="preserve"> similar</w:t>
      </w:r>
      <w:r w:rsidR="0061353F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r w:rsidR="00EB5DBD">
        <w:rPr>
          <w:rFonts w:asciiTheme="majorBidi" w:hAnsiTheme="majorBidi" w:cstheme="majorBidi"/>
          <w:sz w:val="24"/>
          <w:szCs w:val="24"/>
          <w:lang w:eastAsia="zh-CN"/>
        </w:rPr>
        <w:t>pattern</w:t>
      </w:r>
      <w:r w:rsidR="0061353F">
        <w:rPr>
          <w:rFonts w:asciiTheme="majorBidi" w:hAnsiTheme="majorBidi" w:cstheme="majorBidi"/>
          <w:sz w:val="24"/>
          <w:szCs w:val="24"/>
          <w:lang w:eastAsia="zh-CN"/>
        </w:rPr>
        <w:t xml:space="preserve"> in the </w:t>
      </w:r>
      <w:r w:rsidR="001F4E76">
        <w:rPr>
          <w:rFonts w:asciiTheme="majorBidi" w:hAnsiTheme="majorBidi" w:cstheme="majorBidi" w:hint="eastAsia"/>
          <w:sz w:val="24"/>
          <w:szCs w:val="24"/>
          <w:lang w:eastAsia="zh-CN"/>
        </w:rPr>
        <w:t>ma</w:t>
      </w:r>
      <w:r w:rsidR="001F4E76">
        <w:rPr>
          <w:rFonts w:asciiTheme="majorBidi" w:hAnsiTheme="majorBidi" w:cstheme="majorBidi"/>
          <w:sz w:val="24"/>
          <w:szCs w:val="24"/>
          <w:lang w:eastAsia="zh-CN"/>
        </w:rPr>
        <w:t>gnitude of effect sizes</w:t>
      </w:r>
      <w:r w:rsidR="0061353F">
        <w:rPr>
          <w:rFonts w:asciiTheme="majorBidi" w:hAnsiTheme="majorBidi" w:cstheme="majorBidi"/>
          <w:sz w:val="24"/>
          <w:szCs w:val="24"/>
          <w:lang w:eastAsia="zh-CN"/>
        </w:rPr>
        <w:t xml:space="preserve"> revealed that the analys</w:t>
      </w:r>
      <w:r w:rsidR="00151CF9">
        <w:rPr>
          <w:rFonts w:asciiTheme="majorBidi" w:hAnsiTheme="majorBidi" w:cstheme="majorBidi"/>
          <w:sz w:val="24"/>
          <w:szCs w:val="24"/>
          <w:lang w:eastAsia="zh-CN"/>
        </w:rPr>
        <w:t>e</w:t>
      </w:r>
      <w:r w:rsidR="0061353F">
        <w:rPr>
          <w:rFonts w:asciiTheme="majorBidi" w:hAnsiTheme="majorBidi" w:cstheme="majorBidi"/>
          <w:sz w:val="24"/>
          <w:szCs w:val="24"/>
          <w:lang w:eastAsia="zh-CN"/>
        </w:rPr>
        <w:t xml:space="preserve">s could be interpreted as robust. </w:t>
      </w:r>
    </w:p>
    <w:p w14:paraId="1DA5506E" w14:textId="397B3B23" w:rsidR="00305A1E" w:rsidRDefault="00E87B33" w:rsidP="00305A1E">
      <w:pPr>
        <w:adjustRightInd w:val="0"/>
        <w:snapToGrid w:val="0"/>
        <w:spacing w:after="0" w:line="480" w:lineRule="auto"/>
        <w:rPr>
          <w:rFonts w:asciiTheme="majorBidi" w:hAnsiTheme="majorBidi" w:cstheme="majorBidi"/>
          <w:sz w:val="24"/>
          <w:szCs w:val="24"/>
          <w:lang w:val="en-CA" w:eastAsia="zh-CN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305A1E">
        <w:rPr>
          <w:rFonts w:asciiTheme="majorBidi" w:hAnsiTheme="majorBidi" w:cstheme="majorBidi"/>
          <w:sz w:val="24"/>
          <w:szCs w:val="24"/>
        </w:rPr>
        <w:t>We also examined the potential influence of publication bias</w:t>
      </w:r>
      <w:r w:rsidR="00305A1E" w:rsidRPr="00D015B7">
        <w:rPr>
          <w:rFonts w:asciiTheme="majorBidi" w:hAnsiTheme="majorBidi" w:cstheme="majorBidi"/>
          <w:sz w:val="24"/>
          <w:szCs w:val="24"/>
        </w:rPr>
        <w:t>—studies finding significant or large effects tend to be published—</w:t>
      </w:r>
      <w:r w:rsidR="00305A1E" w:rsidRPr="00D015B7">
        <w:rPr>
          <w:rFonts w:asciiTheme="majorBidi" w:hAnsiTheme="majorBidi" w:cstheme="majorBidi" w:hint="eastAsia"/>
          <w:sz w:val="24"/>
          <w:szCs w:val="24"/>
        </w:rPr>
        <w:t>o</w:t>
      </w:r>
      <w:r w:rsidR="00305A1E" w:rsidRPr="00D015B7">
        <w:rPr>
          <w:rFonts w:asciiTheme="majorBidi" w:hAnsiTheme="majorBidi" w:cstheme="majorBidi"/>
          <w:sz w:val="24"/>
          <w:szCs w:val="24"/>
        </w:rPr>
        <w:t>n the current data. Checking this bias is a critical procedure to examine the credibility of the overall effect sizes.</w:t>
      </w:r>
      <w:r w:rsidR="00305A1E">
        <w:rPr>
          <w:rFonts w:asciiTheme="majorBidi" w:hAnsiTheme="majorBidi" w:cstheme="majorBidi"/>
          <w:sz w:val="24"/>
          <w:szCs w:val="24"/>
        </w:rPr>
        <w:t xml:space="preserve"> We inspected the funnel plot (Figure 2) and conducted Egger’s test. The funnel plot indicated </w:t>
      </w:r>
      <w:r w:rsidR="00305A1E" w:rsidRPr="0067621E">
        <w:rPr>
          <w:rFonts w:asciiTheme="majorBidi" w:hAnsiTheme="majorBidi" w:cstheme="majorBidi"/>
          <w:sz w:val="24"/>
          <w:szCs w:val="24"/>
          <w:lang w:val="en-CA"/>
        </w:rPr>
        <w:t xml:space="preserve">no </w:t>
      </w:r>
      <w:r w:rsidR="00305A1E">
        <w:rPr>
          <w:rFonts w:asciiTheme="majorBidi" w:hAnsiTheme="majorBidi" w:cstheme="majorBidi"/>
          <w:sz w:val="24"/>
          <w:szCs w:val="24"/>
          <w:lang w:val="en-CA"/>
        </w:rPr>
        <w:t xml:space="preserve">apparent </w:t>
      </w:r>
      <w:r w:rsidR="00305A1E" w:rsidRPr="0067621E">
        <w:rPr>
          <w:rFonts w:asciiTheme="majorBidi" w:hAnsiTheme="majorBidi" w:cstheme="majorBidi"/>
          <w:sz w:val="24"/>
          <w:szCs w:val="24"/>
          <w:lang w:val="en-CA"/>
        </w:rPr>
        <w:t>publication bias</w:t>
      </w:r>
      <w:r w:rsidR="00305A1E">
        <w:rPr>
          <w:rFonts w:asciiTheme="majorBidi" w:hAnsiTheme="majorBidi" w:cstheme="majorBidi"/>
          <w:sz w:val="24"/>
          <w:szCs w:val="24"/>
          <w:lang w:val="en-CA"/>
        </w:rPr>
        <w:t>.</w:t>
      </w:r>
      <w:r w:rsidR="00305A1E" w:rsidRPr="0067621E">
        <w:rPr>
          <w:rFonts w:asciiTheme="majorBidi" w:hAnsiTheme="majorBidi" w:cstheme="majorBidi"/>
          <w:sz w:val="24"/>
          <w:szCs w:val="24"/>
          <w:lang w:val="en-CA"/>
        </w:rPr>
        <w:t xml:space="preserve"> Egger’s regression test (</w:t>
      </w:r>
      <w:r w:rsidR="00305A1E" w:rsidRPr="0067621E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t </w:t>
      </w:r>
      <w:r w:rsidR="00305A1E" w:rsidRPr="0067621E">
        <w:rPr>
          <w:rFonts w:asciiTheme="majorBidi" w:hAnsiTheme="majorBidi" w:cstheme="majorBidi"/>
          <w:sz w:val="24"/>
          <w:szCs w:val="24"/>
          <w:lang w:val="en-CA"/>
        </w:rPr>
        <w:t>= 1.</w:t>
      </w:r>
      <w:r w:rsidR="00305A1E">
        <w:rPr>
          <w:rFonts w:asciiTheme="majorBidi" w:hAnsiTheme="majorBidi" w:cstheme="majorBidi"/>
          <w:sz w:val="24"/>
          <w:szCs w:val="24"/>
          <w:lang w:val="en-CA"/>
        </w:rPr>
        <w:t>84</w:t>
      </w:r>
      <w:r w:rsidR="00305A1E" w:rsidRPr="0067621E">
        <w:rPr>
          <w:rFonts w:asciiTheme="majorBidi" w:hAnsiTheme="majorBidi" w:cstheme="majorBidi"/>
          <w:sz w:val="24"/>
          <w:szCs w:val="24"/>
          <w:lang w:val="en-CA"/>
        </w:rPr>
        <w:t xml:space="preserve">, </w:t>
      </w:r>
      <w:r w:rsidR="00305A1E" w:rsidRPr="0067621E">
        <w:rPr>
          <w:rFonts w:asciiTheme="majorBidi" w:hAnsiTheme="majorBidi" w:cstheme="majorBidi"/>
          <w:i/>
          <w:iCs/>
          <w:sz w:val="24"/>
          <w:szCs w:val="24"/>
          <w:lang w:val="en-CA"/>
        </w:rPr>
        <w:t>p</w:t>
      </w:r>
      <w:r w:rsidR="00305A1E" w:rsidRPr="0067621E">
        <w:rPr>
          <w:rFonts w:asciiTheme="majorBidi" w:hAnsiTheme="majorBidi" w:cstheme="majorBidi"/>
          <w:sz w:val="24"/>
          <w:szCs w:val="24"/>
          <w:lang w:val="en-CA"/>
        </w:rPr>
        <w:t xml:space="preserve"> = .</w:t>
      </w:r>
      <w:r w:rsidR="00305A1E">
        <w:rPr>
          <w:rFonts w:asciiTheme="majorBidi" w:hAnsiTheme="majorBidi" w:cstheme="majorBidi"/>
          <w:sz w:val="24"/>
          <w:szCs w:val="24"/>
          <w:lang w:val="en-CA"/>
        </w:rPr>
        <w:t>079</w:t>
      </w:r>
      <w:r w:rsidR="00305A1E" w:rsidRPr="0067621E">
        <w:rPr>
          <w:rFonts w:asciiTheme="majorBidi" w:hAnsiTheme="majorBidi" w:cstheme="majorBidi"/>
          <w:sz w:val="24"/>
          <w:szCs w:val="24"/>
          <w:lang w:val="en-CA"/>
        </w:rPr>
        <w:t>)</w:t>
      </w:r>
      <w:r w:rsidR="00305A1E">
        <w:rPr>
          <w:rFonts w:asciiTheme="majorBidi" w:hAnsiTheme="majorBidi" w:cstheme="majorBidi"/>
          <w:sz w:val="24"/>
          <w:szCs w:val="24"/>
          <w:lang w:val="en-CA"/>
        </w:rPr>
        <w:t xml:space="preserve"> also </w:t>
      </w:r>
      <w:r w:rsidR="00305A1E" w:rsidRPr="00684DC1">
        <w:rPr>
          <w:rFonts w:ascii="Calibri" w:hAnsi="Calibri" w:cs="Calibri"/>
          <w:sz w:val="24"/>
          <w:szCs w:val="24"/>
          <w:lang w:val="en-CA"/>
        </w:rPr>
        <w:t>﻿</w:t>
      </w:r>
      <w:r w:rsidR="00305A1E" w:rsidRPr="00684DC1">
        <w:rPr>
          <w:rFonts w:asciiTheme="majorBidi" w:hAnsiTheme="majorBidi" w:cstheme="majorBidi"/>
          <w:sz w:val="24"/>
          <w:szCs w:val="24"/>
          <w:lang w:val="en-CA"/>
        </w:rPr>
        <w:t xml:space="preserve">indicated no substantial influences from publication bias on the findings. </w:t>
      </w:r>
    </w:p>
    <w:p w14:paraId="124A912F" w14:textId="77777777" w:rsidR="003815A4" w:rsidRPr="00E979D6" w:rsidRDefault="003815A4" w:rsidP="003815A4">
      <w:pPr>
        <w:adjustRightInd w:val="0"/>
        <w:snapToGrid w:val="0"/>
        <w:spacing w:after="0" w:line="480" w:lineRule="auto"/>
        <w:rPr>
          <w:rFonts w:asciiTheme="majorBidi" w:hAnsiTheme="majorBidi" w:cstheme="majorBidi"/>
          <w:sz w:val="24"/>
          <w:szCs w:val="24"/>
          <w:lang w:val="en-CA"/>
        </w:rPr>
      </w:pPr>
    </w:p>
    <w:p w14:paraId="5AB44EC5" w14:textId="346EE227" w:rsidR="006C16E9" w:rsidRDefault="006C16E9" w:rsidP="006C16E9">
      <w:pPr>
        <w:rPr>
          <w:rFonts w:asciiTheme="majorBidi" w:hAnsiTheme="majorBidi" w:cstheme="majorBidi"/>
          <w:b/>
          <w:bCs/>
          <w:lang w:val="en-CA"/>
        </w:rPr>
      </w:pPr>
      <w:r w:rsidRPr="0088737A">
        <w:rPr>
          <w:rFonts w:asciiTheme="majorBidi" w:hAnsiTheme="majorBidi" w:cstheme="majorBidi"/>
          <w:b/>
          <w:bCs/>
          <w:lang w:val="en-CA"/>
        </w:rPr>
        <w:t xml:space="preserve">Figure </w:t>
      </w:r>
      <w:r>
        <w:rPr>
          <w:rFonts w:asciiTheme="majorBidi" w:hAnsiTheme="majorBidi" w:cstheme="majorBidi"/>
          <w:b/>
          <w:bCs/>
          <w:lang w:val="en-CA"/>
        </w:rPr>
        <w:t>1</w:t>
      </w:r>
    </w:p>
    <w:p w14:paraId="523EB029" w14:textId="77777777" w:rsidR="006C16E9" w:rsidRPr="00460EF7" w:rsidRDefault="006C16E9" w:rsidP="006C16E9">
      <w:pPr>
        <w:spacing w:line="480" w:lineRule="auto"/>
        <w:rPr>
          <w:rFonts w:asciiTheme="majorBidi" w:hAnsiTheme="majorBidi" w:cstheme="majorBidi"/>
          <w:i/>
          <w:iCs/>
          <w:lang w:val="en-CA"/>
        </w:rPr>
      </w:pPr>
      <w:r w:rsidRPr="00233172">
        <w:rPr>
          <w:rFonts w:ascii="Calibri" w:hAnsi="Calibri" w:cs="Calibri"/>
          <w:i/>
          <w:iCs/>
          <w:lang w:val="en-CA"/>
        </w:rPr>
        <w:t>﻿</w:t>
      </w:r>
      <w:r w:rsidRPr="00233172">
        <w:rPr>
          <w:rFonts w:asciiTheme="majorBidi" w:hAnsiTheme="majorBidi" w:cstheme="majorBidi"/>
          <w:i/>
          <w:iCs/>
          <w:lang w:val="en-CA"/>
        </w:rPr>
        <w:t>Plot of the (a) studentized deleted residuals, (b) Cook’s distances, (c) DFFITS values, and (d) COVRATIO values for 1</w:t>
      </w:r>
      <w:r>
        <w:rPr>
          <w:rFonts w:asciiTheme="majorBidi" w:hAnsiTheme="majorBidi" w:cstheme="majorBidi"/>
          <w:i/>
          <w:iCs/>
          <w:lang w:val="en-CA"/>
        </w:rPr>
        <w:t>9</w:t>
      </w:r>
      <w:r w:rsidRPr="00233172">
        <w:rPr>
          <w:rFonts w:asciiTheme="majorBidi" w:hAnsiTheme="majorBidi" w:cstheme="majorBidi"/>
          <w:i/>
          <w:iCs/>
          <w:lang w:val="en-CA"/>
        </w:rPr>
        <w:t xml:space="preserve"> effect sizes of</w:t>
      </w:r>
      <w:r>
        <w:rPr>
          <w:rFonts w:asciiTheme="majorBidi" w:hAnsiTheme="majorBidi" w:cstheme="majorBidi"/>
          <w:i/>
          <w:iCs/>
          <w:lang w:val="en-CA"/>
        </w:rPr>
        <w:t xml:space="preserve"> </w:t>
      </w:r>
      <w:proofErr w:type="spellStart"/>
      <w:r w:rsidRPr="00233172">
        <w:rPr>
          <w:rFonts w:asciiTheme="majorBidi" w:hAnsiTheme="majorBidi" w:cstheme="majorBidi"/>
          <w:i/>
          <w:iCs/>
          <w:lang w:val="en-CA"/>
        </w:rPr>
        <w:t>posttests</w:t>
      </w:r>
      <w:proofErr w:type="spellEnd"/>
      <w:r w:rsidRPr="00233172">
        <w:rPr>
          <w:rFonts w:asciiTheme="majorBidi" w:hAnsiTheme="majorBidi" w:cstheme="majorBidi"/>
          <w:i/>
          <w:iCs/>
          <w:lang w:val="en-CA"/>
        </w:rPr>
        <w:t xml:space="preserve"> for the comparison of </w:t>
      </w:r>
      <w:r>
        <w:rPr>
          <w:rFonts w:asciiTheme="majorBidi" w:hAnsiTheme="majorBidi" w:cstheme="majorBidi"/>
          <w:i/>
          <w:iCs/>
          <w:lang w:val="en-CA"/>
        </w:rPr>
        <w:t>notetaking</w:t>
      </w:r>
      <w:r w:rsidRPr="00233172">
        <w:rPr>
          <w:rFonts w:asciiTheme="majorBidi" w:hAnsiTheme="majorBidi" w:cstheme="majorBidi"/>
          <w:i/>
          <w:iCs/>
          <w:lang w:val="en-CA"/>
        </w:rPr>
        <w:t xml:space="preserve"> versus control. </w:t>
      </w:r>
    </w:p>
    <w:p w14:paraId="1C6D9D50" w14:textId="0895C890" w:rsidR="00451AFE" w:rsidRDefault="00451AFE" w:rsidP="00451AFE">
      <w:pPr>
        <w:spacing w:line="480" w:lineRule="auto"/>
        <w:rPr>
          <w:rFonts w:asciiTheme="majorBidi" w:hAnsiTheme="majorBidi" w:cstheme="majorBidi"/>
          <w:lang w:val="en-CA"/>
        </w:rPr>
      </w:pPr>
    </w:p>
    <w:p w14:paraId="651CAAE3" w14:textId="4F4536BF" w:rsidR="00451AFE" w:rsidRDefault="003A4AA2" w:rsidP="00451AFE">
      <w:pPr>
        <w:spacing w:line="480" w:lineRule="auto"/>
        <w:rPr>
          <w:rFonts w:asciiTheme="majorBidi" w:hAnsiTheme="majorBidi" w:cstheme="majorBidi"/>
          <w:lang w:val="en-CA"/>
        </w:rPr>
      </w:pPr>
      <w:r>
        <w:rPr>
          <w:rFonts w:asciiTheme="majorBidi" w:hAnsiTheme="majorBidi" w:cstheme="majorBidi"/>
          <w:noProof/>
          <w:lang w:val="en-IN" w:eastAsia="en-IN"/>
        </w:rPr>
        <w:drawing>
          <wp:inline distT="0" distB="0" distL="0" distR="0" wp14:anchorId="2D5227B6" wp14:editId="4E2AB03A">
            <wp:extent cx="9777730" cy="3153410"/>
            <wp:effectExtent l="0" t="0" r="1270" b="0"/>
            <wp:docPr id="13562398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39899" name="Picture 13562398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996AF" w14:textId="7476917C" w:rsidR="00451AFE" w:rsidRDefault="00451AFE" w:rsidP="00451AFE">
      <w:pPr>
        <w:spacing w:line="480" w:lineRule="auto"/>
        <w:rPr>
          <w:rFonts w:asciiTheme="majorBidi" w:hAnsiTheme="majorBidi" w:cstheme="majorBidi"/>
          <w:lang w:val="en-CA"/>
        </w:rPr>
      </w:pPr>
    </w:p>
    <w:p w14:paraId="03B8410E" w14:textId="4EA46511" w:rsidR="00451AFE" w:rsidRDefault="00451AFE" w:rsidP="00451AFE">
      <w:pPr>
        <w:spacing w:line="480" w:lineRule="auto"/>
        <w:rPr>
          <w:rFonts w:asciiTheme="majorBidi" w:hAnsiTheme="majorBidi" w:cstheme="majorBidi"/>
          <w:lang w:val="en-CA"/>
        </w:rPr>
      </w:pPr>
    </w:p>
    <w:p w14:paraId="13C612BF" w14:textId="30C9ED7F" w:rsidR="00451AFE" w:rsidRDefault="00451AFE" w:rsidP="00451AFE">
      <w:pPr>
        <w:spacing w:line="480" w:lineRule="auto"/>
        <w:rPr>
          <w:rFonts w:asciiTheme="majorBidi" w:hAnsiTheme="majorBidi" w:cstheme="majorBidi"/>
          <w:lang w:val="en-CA"/>
        </w:rPr>
      </w:pPr>
    </w:p>
    <w:p w14:paraId="4DA8FF3F" w14:textId="6754F31E" w:rsidR="00451AFE" w:rsidRDefault="00451AFE" w:rsidP="00451AFE">
      <w:pPr>
        <w:spacing w:line="480" w:lineRule="auto"/>
        <w:rPr>
          <w:rFonts w:asciiTheme="majorBidi" w:hAnsiTheme="majorBidi" w:cstheme="majorBidi"/>
          <w:lang w:val="en-CA"/>
        </w:rPr>
      </w:pPr>
    </w:p>
    <w:p w14:paraId="40FFC0EE" w14:textId="2E994E0B" w:rsidR="00451AFE" w:rsidRDefault="00451AFE" w:rsidP="00451AFE">
      <w:pPr>
        <w:spacing w:line="480" w:lineRule="auto"/>
        <w:rPr>
          <w:rFonts w:asciiTheme="majorBidi" w:hAnsiTheme="majorBidi" w:cstheme="majorBidi"/>
          <w:lang w:val="en-CA"/>
        </w:rPr>
      </w:pPr>
    </w:p>
    <w:p w14:paraId="4A53BED5" w14:textId="77777777" w:rsidR="00451AFE" w:rsidRPr="00451AFE" w:rsidRDefault="00451AFE" w:rsidP="00451AFE">
      <w:pPr>
        <w:spacing w:line="480" w:lineRule="auto"/>
        <w:rPr>
          <w:rFonts w:asciiTheme="majorBidi" w:hAnsiTheme="majorBidi" w:cstheme="majorBidi"/>
          <w:lang w:val="en-CA"/>
        </w:rPr>
      </w:pPr>
    </w:p>
    <w:p w14:paraId="4263E852" w14:textId="14B4E300" w:rsidR="00121C98" w:rsidRPr="00121C98" w:rsidRDefault="00121C98" w:rsidP="00121C9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21C98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A939B8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14:paraId="7963ED30" w14:textId="22B39298" w:rsidR="00E00A7E" w:rsidRPr="00E87B33" w:rsidRDefault="00121C98" w:rsidP="00E87B33">
      <w:pPr>
        <w:rPr>
          <w:rFonts w:asciiTheme="majorBidi" w:hAnsiTheme="majorBidi" w:cstheme="majorBidi"/>
          <w:i/>
          <w:iCs/>
          <w:sz w:val="24"/>
          <w:szCs w:val="24"/>
        </w:rPr>
      </w:pPr>
      <w:r w:rsidRPr="00121C98">
        <w:rPr>
          <w:rFonts w:asciiTheme="majorBidi" w:hAnsiTheme="majorBidi" w:cstheme="majorBidi"/>
          <w:i/>
          <w:iCs/>
          <w:sz w:val="24"/>
          <w:szCs w:val="24"/>
        </w:rPr>
        <w:t xml:space="preserve">Funnel Plot of studies involving notetaking and control groups </w:t>
      </w:r>
      <w:bookmarkStart w:id="4" w:name="_Hlk67299547"/>
    </w:p>
    <w:bookmarkEnd w:id="4"/>
    <w:p w14:paraId="2F2C8900" w14:textId="3FEDAB6C" w:rsidR="00E00A7E" w:rsidRDefault="00305A1E" w:rsidP="003709ED">
      <w:pPr>
        <w:pStyle w:val="CommentText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noProof/>
          <w:sz w:val="18"/>
          <w:szCs w:val="18"/>
          <w:lang w:val="en-IN" w:eastAsia="en-IN"/>
        </w:rPr>
        <w:drawing>
          <wp:inline distT="0" distB="0" distL="0" distR="0" wp14:anchorId="1BD61A10" wp14:editId="59115527">
            <wp:extent cx="4137250" cy="3285066"/>
            <wp:effectExtent l="0" t="0" r="3175" b="4445"/>
            <wp:docPr id="2084822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822482" name="Picture 208482248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174" cy="329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3EF9A" w14:textId="3BBBA908" w:rsidR="003815A4" w:rsidRDefault="003815A4" w:rsidP="003709ED">
      <w:pPr>
        <w:pStyle w:val="CommentText"/>
        <w:rPr>
          <w:rFonts w:ascii="Arial" w:hAnsi="Arial" w:cs="Arial"/>
          <w:sz w:val="18"/>
          <w:szCs w:val="18"/>
          <w:lang w:val="en-CA"/>
        </w:rPr>
      </w:pPr>
    </w:p>
    <w:p w14:paraId="295079B0" w14:textId="77777777" w:rsidR="003815A4" w:rsidRPr="003815A4" w:rsidRDefault="003815A4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28183E07" w14:textId="77777777" w:rsidR="001B6E11" w:rsidRPr="001B6E11" w:rsidRDefault="001B6E11" w:rsidP="001B6E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51AFE">
        <w:rPr>
          <w:rFonts w:asciiTheme="majorBidi" w:hAnsiTheme="majorBidi" w:cstheme="majorBidi"/>
          <w:sz w:val="24"/>
          <w:szCs w:val="24"/>
        </w:rPr>
        <w:t>References</w:t>
      </w:r>
    </w:p>
    <w:p w14:paraId="003DAA7F" w14:textId="4D75DA72" w:rsidR="00451AFE" w:rsidRDefault="00451AFE" w:rsidP="001B6E11">
      <w:pPr>
        <w:spacing w:line="360" w:lineRule="auto"/>
        <w:ind w:left="720" w:hanging="720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451AFE">
        <w:rPr>
          <w:rFonts w:ascii="Calibri" w:eastAsiaTheme="minorEastAsia" w:hAnsi="Calibri" w:cs="Calibri"/>
          <w:sz w:val="24"/>
          <w:szCs w:val="24"/>
          <w:lang w:val="en-US"/>
        </w:rPr>
        <w:t>﻿</w:t>
      </w:r>
      <w:proofErr w:type="spellStart"/>
      <w:r w:rsidRPr="00451AFE">
        <w:rPr>
          <w:rFonts w:asciiTheme="majorBidi" w:eastAsiaTheme="minorEastAsia" w:hAnsiTheme="majorBidi" w:cstheme="majorBidi"/>
          <w:sz w:val="24"/>
          <w:szCs w:val="24"/>
          <w:lang w:val="en-US"/>
        </w:rPr>
        <w:t>Harrer</w:t>
      </w:r>
      <w:proofErr w:type="spellEnd"/>
      <w:r w:rsidRPr="00451AF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M., </w:t>
      </w:r>
      <w:proofErr w:type="spellStart"/>
      <w:r w:rsidRPr="00451AFE">
        <w:rPr>
          <w:rFonts w:asciiTheme="majorBidi" w:eastAsiaTheme="minorEastAsia" w:hAnsiTheme="majorBidi" w:cstheme="majorBidi"/>
          <w:sz w:val="24"/>
          <w:szCs w:val="24"/>
          <w:lang w:val="en-US"/>
        </w:rPr>
        <w:t>Cuijpers</w:t>
      </w:r>
      <w:proofErr w:type="spellEnd"/>
      <w:r w:rsidRPr="00451AF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P., Furukawa, T. A., &amp; Ebert, D. D. (2021). </w:t>
      </w:r>
      <w:r w:rsidRPr="00451AFE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Doing meta-analysis with R: A hands-on guide.</w:t>
      </w:r>
      <w:r w:rsidRPr="00451AF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Chapman &amp; Hall/ CRC Press.</w:t>
      </w:r>
    </w:p>
    <w:p w14:paraId="1E7A470C" w14:textId="7119304B" w:rsidR="001B6E11" w:rsidRPr="001B6E11" w:rsidRDefault="001B6E11" w:rsidP="001B6E11">
      <w:pPr>
        <w:spacing w:line="360" w:lineRule="auto"/>
        <w:ind w:left="720" w:hanging="720"/>
        <w:rPr>
          <w:rFonts w:asciiTheme="majorBidi" w:eastAsiaTheme="minorEastAsia" w:hAnsiTheme="majorBidi" w:cstheme="majorBidi"/>
          <w:sz w:val="24"/>
          <w:szCs w:val="24"/>
        </w:rPr>
      </w:pPr>
      <w:r w:rsidRPr="00451AFE">
        <w:rPr>
          <w:rFonts w:asciiTheme="majorBidi" w:eastAsiaTheme="minorEastAsia" w:hAnsiTheme="majorBidi" w:cstheme="majorBidi"/>
          <w:sz w:val="24"/>
          <w:szCs w:val="24"/>
          <w:lang w:val="de-DE"/>
        </w:rPr>
        <w:t xml:space="preserve">Hunter, J.E., Schmidt, F.L., 2004. </w:t>
      </w:r>
      <w:r w:rsidRPr="001B6E11">
        <w:rPr>
          <w:rFonts w:asciiTheme="majorBidi" w:eastAsiaTheme="minorEastAsia" w:hAnsiTheme="majorBidi" w:cstheme="majorBidi"/>
          <w:i/>
          <w:iCs/>
          <w:sz w:val="24"/>
          <w:szCs w:val="24"/>
        </w:rPr>
        <w:t>Methods of meta-analysis: correcting error and bias in research findings</w:t>
      </w:r>
      <w:r w:rsidR="00451AFE"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r w:rsidRPr="001B6E11">
        <w:rPr>
          <w:rFonts w:asciiTheme="majorBidi" w:eastAsiaTheme="minorEastAsia" w:hAnsiTheme="majorBidi" w:cstheme="majorBidi"/>
          <w:sz w:val="24"/>
          <w:szCs w:val="24"/>
        </w:rPr>
        <w:t>2</w:t>
      </w:r>
      <w:r w:rsidRPr="00451AFE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nd</w:t>
      </w:r>
      <w:r w:rsidRPr="001B6E11">
        <w:rPr>
          <w:rFonts w:asciiTheme="majorBidi" w:eastAsiaTheme="minorEastAsia" w:hAnsiTheme="majorBidi" w:cstheme="majorBidi"/>
          <w:sz w:val="24"/>
          <w:szCs w:val="24"/>
        </w:rPr>
        <w:t xml:space="preserve"> ed.</w:t>
      </w:r>
      <w:r w:rsidR="00451AFE">
        <w:rPr>
          <w:rFonts w:asciiTheme="majorBidi" w:eastAsiaTheme="minorEastAsia" w:hAnsiTheme="majorBidi" w:cstheme="majorBidi"/>
          <w:sz w:val="24"/>
          <w:szCs w:val="24"/>
        </w:rPr>
        <w:t>)</w:t>
      </w:r>
      <w:r w:rsidRPr="001B6E11">
        <w:rPr>
          <w:rFonts w:asciiTheme="majorBidi" w:eastAsiaTheme="minorEastAsia" w:hAnsiTheme="majorBidi" w:cstheme="majorBidi"/>
          <w:sz w:val="24"/>
          <w:szCs w:val="24"/>
        </w:rPr>
        <w:t>. Sage, Thousand Oaks, CA.</w:t>
      </w:r>
    </w:p>
    <w:p w14:paraId="5768D1ED" w14:textId="0645FA1A" w:rsidR="00451AFE" w:rsidRPr="00451AFE" w:rsidRDefault="00451AFE" w:rsidP="00451AFE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451AFE">
        <w:rPr>
          <w:rFonts w:asciiTheme="majorBidi" w:eastAsia="Times New Roman" w:hAnsiTheme="majorBidi" w:cstheme="majorBidi"/>
          <w:sz w:val="24"/>
          <w:szCs w:val="24"/>
        </w:rPr>
        <w:t xml:space="preserve">Kim, S.K., &amp; Webb, S. (2022). The effects of spaced practice on second language learning: A meta-analysis. </w:t>
      </w:r>
      <w:r w:rsidRPr="00451AFE">
        <w:rPr>
          <w:rFonts w:asciiTheme="majorBidi" w:eastAsia="Times New Roman" w:hAnsiTheme="majorBidi" w:cstheme="majorBidi"/>
          <w:i/>
          <w:iCs/>
          <w:sz w:val="24"/>
          <w:szCs w:val="24"/>
        </w:rPr>
        <w:t>Language Learning, 72</w:t>
      </w:r>
      <w:r w:rsidRPr="00451AFE">
        <w:rPr>
          <w:rFonts w:asciiTheme="majorBidi" w:eastAsia="Times New Roman" w:hAnsiTheme="majorBidi" w:cstheme="majorBidi"/>
          <w:sz w:val="24"/>
          <w:szCs w:val="24"/>
        </w:rPr>
        <w:t>(1), 269–319.</w:t>
      </w:r>
    </w:p>
    <w:p w14:paraId="25DC8679" w14:textId="3C7C7B2F" w:rsidR="00451AFE" w:rsidRPr="00451AFE" w:rsidRDefault="00451AFE" w:rsidP="001B6E11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F01DD">
        <w:rPr>
          <w:rFonts w:asciiTheme="majorBidi" w:hAnsiTheme="majorBidi" w:cstheme="majorBidi" w:hint="eastAsia"/>
          <w:sz w:val="24"/>
          <w:szCs w:val="24"/>
          <w:lang w:val="en-US"/>
        </w:rPr>
        <w:t>Shintani</w:t>
      </w:r>
      <w:proofErr w:type="spellEnd"/>
      <w:r w:rsidRPr="00EF01DD">
        <w:rPr>
          <w:rFonts w:asciiTheme="majorBidi" w:hAnsiTheme="majorBidi" w:cstheme="majorBidi" w:hint="eastAsia"/>
          <w:sz w:val="24"/>
          <w:szCs w:val="24"/>
          <w:lang w:val="en-US"/>
        </w:rPr>
        <w:t xml:space="preserve">, N., Li, S., &amp; Ellis, R. (2013). </w:t>
      </w:r>
      <w:r w:rsidRPr="00451AFE">
        <w:rPr>
          <w:rFonts w:asciiTheme="majorBidi" w:hAnsiTheme="majorBidi" w:cstheme="majorBidi" w:hint="eastAsia"/>
          <w:sz w:val="24"/>
          <w:szCs w:val="24"/>
          <w:lang w:val="en-US"/>
        </w:rPr>
        <w:t>Comprehensio</w:t>
      </w:r>
      <w:r>
        <w:rPr>
          <w:rFonts w:asciiTheme="majorBidi" w:hAnsiTheme="majorBidi" w:cstheme="majorBidi"/>
          <w:sz w:val="24"/>
          <w:szCs w:val="24"/>
          <w:lang w:val="en-US"/>
        </w:rPr>
        <w:t>n-</w:t>
      </w:r>
      <w:r w:rsidRPr="00451AFE">
        <w:rPr>
          <w:rFonts w:asciiTheme="majorBidi" w:hAnsiTheme="majorBidi" w:cstheme="majorBidi" w:hint="eastAsia"/>
          <w:sz w:val="24"/>
          <w:szCs w:val="24"/>
          <w:lang w:val="en-US"/>
        </w:rPr>
        <w:t>based versus production</w:t>
      </w:r>
      <w:r>
        <w:rPr>
          <w:rFonts w:asciiTheme="majorBidi" w:hAnsiTheme="majorBidi" w:cstheme="majorBidi" w:hint="eastAsia"/>
          <w:sz w:val="24"/>
          <w:szCs w:val="24"/>
          <w:lang w:val="en-US"/>
        </w:rPr>
        <w:t>-</w:t>
      </w:r>
      <w:r w:rsidRPr="00451AFE">
        <w:rPr>
          <w:rFonts w:asciiTheme="majorBidi" w:hAnsiTheme="majorBidi" w:cstheme="majorBidi" w:hint="eastAsia"/>
          <w:sz w:val="24"/>
          <w:szCs w:val="24"/>
          <w:lang w:val="en-US"/>
        </w:rPr>
        <w:t>based grammar instruction: A meta</w:t>
      </w:r>
      <w:r>
        <w:rPr>
          <w:rFonts w:asciiTheme="majorBidi" w:hAnsiTheme="majorBidi" w:cstheme="majorBidi" w:hint="eastAsia"/>
          <w:sz w:val="24"/>
          <w:szCs w:val="24"/>
          <w:lang w:val="en-US"/>
        </w:rPr>
        <w:t>-</w:t>
      </w:r>
      <w:r w:rsidRPr="00451AFE">
        <w:rPr>
          <w:rFonts w:asciiTheme="majorBidi" w:hAnsiTheme="majorBidi" w:cstheme="majorBidi" w:hint="eastAsia"/>
          <w:sz w:val="24"/>
          <w:szCs w:val="24"/>
          <w:lang w:val="en-US"/>
        </w:rPr>
        <w:t xml:space="preserve">analysis of comparative studies. </w:t>
      </w:r>
      <w:r w:rsidRPr="00451AFE">
        <w:rPr>
          <w:rFonts w:asciiTheme="majorBidi" w:hAnsiTheme="majorBidi" w:cstheme="majorBidi" w:hint="eastAsia"/>
          <w:i/>
          <w:iCs/>
          <w:sz w:val="24"/>
          <w:szCs w:val="24"/>
          <w:lang w:val="en-US"/>
        </w:rPr>
        <w:t>Language learning, 63</w:t>
      </w:r>
      <w:r w:rsidRPr="00451AFE">
        <w:rPr>
          <w:rFonts w:asciiTheme="majorBidi" w:hAnsiTheme="majorBidi" w:cstheme="majorBidi" w:hint="eastAsia"/>
          <w:sz w:val="24"/>
          <w:szCs w:val="24"/>
          <w:lang w:val="en-US"/>
        </w:rPr>
        <w:t>(2), 296</w:t>
      </w:r>
      <w:r>
        <w:rPr>
          <w:rFonts w:asciiTheme="majorBidi" w:hAnsiTheme="majorBidi" w:cstheme="majorBidi"/>
          <w:sz w:val="24"/>
          <w:szCs w:val="24"/>
          <w:lang w:val="en-US"/>
        </w:rPr>
        <w:softHyphen/>
        <w:t>–</w:t>
      </w:r>
      <w:r w:rsidRPr="00451AFE">
        <w:rPr>
          <w:rFonts w:asciiTheme="majorBidi" w:hAnsiTheme="majorBidi" w:cstheme="majorBidi" w:hint="eastAsia"/>
          <w:sz w:val="24"/>
          <w:szCs w:val="24"/>
          <w:lang w:val="en-US"/>
        </w:rPr>
        <w:t>329.</w:t>
      </w:r>
    </w:p>
    <w:p w14:paraId="54046522" w14:textId="7EB94D6F" w:rsidR="001B6E11" w:rsidRPr="001B6E11" w:rsidRDefault="001B6E11" w:rsidP="001B6E11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  <w:lang w:val="en-CA" w:eastAsia="zh-CN"/>
        </w:rPr>
      </w:pPr>
      <w:proofErr w:type="spellStart"/>
      <w:r w:rsidRPr="00451AFE">
        <w:rPr>
          <w:rFonts w:asciiTheme="majorBidi" w:hAnsiTheme="majorBidi" w:cstheme="majorBidi"/>
          <w:sz w:val="24"/>
          <w:szCs w:val="24"/>
          <w:lang w:val="en-US"/>
        </w:rPr>
        <w:t>Viechtbauer</w:t>
      </w:r>
      <w:proofErr w:type="spellEnd"/>
      <w:r w:rsidRPr="00451AFE">
        <w:rPr>
          <w:rFonts w:asciiTheme="majorBidi" w:hAnsiTheme="majorBidi" w:cstheme="majorBidi"/>
          <w:sz w:val="24"/>
          <w:szCs w:val="24"/>
          <w:lang w:val="en-US"/>
        </w:rPr>
        <w:t xml:space="preserve">, W., Cheung, M.W.-L., 2010. </w:t>
      </w:r>
      <w:r w:rsidRPr="001B6E11">
        <w:rPr>
          <w:rFonts w:asciiTheme="majorBidi" w:hAnsiTheme="majorBidi" w:cstheme="majorBidi"/>
          <w:sz w:val="24"/>
          <w:szCs w:val="24"/>
        </w:rPr>
        <w:t xml:space="preserve">Outlier and influence diagnostics for meta-analysis. </w:t>
      </w:r>
      <w:r w:rsidRPr="001B6E11">
        <w:rPr>
          <w:rFonts w:asciiTheme="majorBidi" w:hAnsiTheme="majorBidi" w:cstheme="majorBidi"/>
          <w:i/>
          <w:iCs/>
          <w:sz w:val="24"/>
          <w:szCs w:val="24"/>
        </w:rPr>
        <w:t>Research Synthesis Methods</w:t>
      </w:r>
      <w:r w:rsidRPr="001B6E11">
        <w:rPr>
          <w:rFonts w:asciiTheme="majorBidi" w:hAnsiTheme="majorBidi" w:cstheme="majorBidi"/>
          <w:sz w:val="24"/>
          <w:szCs w:val="24"/>
        </w:rPr>
        <w:t xml:space="preserve">, 1, 112–125. </w:t>
      </w:r>
      <w:hyperlink r:id="rId12" w:history="1">
        <w:r w:rsidRPr="001B6E11">
          <w:rPr>
            <w:rStyle w:val="Hyperlink"/>
            <w:rFonts w:asciiTheme="majorBidi" w:hAnsiTheme="majorBidi" w:cstheme="majorBidi"/>
            <w:sz w:val="24"/>
            <w:szCs w:val="24"/>
          </w:rPr>
          <w:t>https://doi.org/10.1002/jrsm.11</w:t>
        </w:r>
      </w:hyperlink>
    </w:p>
    <w:p w14:paraId="1C2C0EF7" w14:textId="77777777" w:rsidR="00451AFE" w:rsidRPr="00451AFE" w:rsidRDefault="00451AFE" w:rsidP="00451AFE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451AFE">
        <w:rPr>
          <w:rFonts w:asciiTheme="majorBidi" w:eastAsia="Times New Roman" w:hAnsiTheme="majorBidi" w:cstheme="majorBidi"/>
          <w:sz w:val="24"/>
          <w:szCs w:val="24"/>
        </w:rPr>
        <w:t xml:space="preserve">Walters, J., &amp; Bozkurt, N. (2009). The effect of keeping vocabulary notebooks on vocabulary acquisition. </w:t>
      </w:r>
      <w:r w:rsidRPr="00451AFE">
        <w:rPr>
          <w:rFonts w:asciiTheme="majorBidi" w:eastAsia="Times New Roman" w:hAnsiTheme="majorBidi" w:cstheme="majorBidi"/>
          <w:i/>
          <w:iCs/>
          <w:sz w:val="24"/>
          <w:szCs w:val="24"/>
        </w:rPr>
        <w:t>Language Teaching Research, 13</w:t>
      </w:r>
      <w:r w:rsidRPr="00451AFE">
        <w:rPr>
          <w:rFonts w:asciiTheme="majorBidi" w:eastAsia="Times New Roman" w:hAnsiTheme="majorBidi" w:cstheme="majorBidi"/>
          <w:sz w:val="24"/>
          <w:szCs w:val="24"/>
        </w:rPr>
        <w:t>(4), 403–423.</w:t>
      </w:r>
    </w:p>
    <w:p w14:paraId="257ABE0C" w14:textId="617A7BF4" w:rsidR="00D35CC5" w:rsidRDefault="00D35CC5">
      <w:pPr>
        <w:rPr>
          <w:rFonts w:ascii="Arial" w:eastAsiaTheme="minorEastAsia" w:hAnsi="Arial" w:cs="Arial"/>
          <w:sz w:val="18"/>
          <w:szCs w:val="18"/>
          <w:lang w:val="en-CA" w:eastAsia="zh-CN"/>
        </w:rPr>
      </w:pPr>
      <w:r>
        <w:rPr>
          <w:rFonts w:ascii="Arial" w:hAnsi="Arial" w:cs="Arial"/>
          <w:sz w:val="18"/>
          <w:szCs w:val="18"/>
          <w:lang w:val="en-CA"/>
        </w:rPr>
        <w:br w:type="page"/>
      </w:r>
    </w:p>
    <w:p w14:paraId="3579C309" w14:textId="6F1A3B88" w:rsidR="006D6877" w:rsidRPr="0011036C" w:rsidRDefault="006D6877" w:rsidP="006D6877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11036C">
        <w:rPr>
          <w:rFonts w:asciiTheme="majorBidi" w:eastAsia="Times New Roman" w:hAnsiTheme="majorBidi" w:cstheme="majorBidi"/>
          <w:b/>
          <w:sz w:val="24"/>
          <w:szCs w:val="24"/>
        </w:rPr>
        <w:t>Interrater Reliability</w:t>
      </w:r>
    </w:p>
    <w:p w14:paraId="6987DAE8" w14:textId="105C5420" w:rsidR="006D6877" w:rsidRPr="001D1604" w:rsidRDefault="007A33DC" w:rsidP="006D6877">
      <w:pPr>
        <w:spacing w:line="48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D160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T</w:t>
      </w:r>
      <w:r w:rsidRPr="001D160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eastAsia="zh-CN"/>
        </w:rPr>
        <w:t>ABLE 1.</w:t>
      </w:r>
      <w:r w:rsidRPr="001D1604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eastAsia="zh-CN"/>
        </w:rPr>
        <w:t xml:space="preserve"> </w:t>
      </w:r>
      <w:r w:rsidR="006D6877" w:rsidRPr="001D1604">
        <w:rPr>
          <w:rFonts w:asciiTheme="majorBidi" w:hAnsiTheme="majorBidi" w:cstheme="majorBidi"/>
          <w:sz w:val="24"/>
          <w:szCs w:val="24"/>
          <w:shd w:val="clear" w:color="auto" w:fill="FFFFFF"/>
        </w:rPr>
        <w:t>Interrater Reliability for Categorical Variables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271"/>
        <w:gridCol w:w="979"/>
        <w:gridCol w:w="2556"/>
      </w:tblGrid>
      <w:tr w:rsidR="00573C9F" w:rsidRPr="00810AF5" w14:paraId="364C4393" w14:textId="1578995B" w:rsidTr="00573C9F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1BE5D585" w14:textId="77777777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Variable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DDAA057" w14:textId="6F9A7768" w:rsidR="00573C9F" w:rsidRPr="002E41BC" w:rsidRDefault="005461AE" w:rsidP="009A0C22">
            <w:pPr>
              <w:spacing w:before="120"/>
            </w:pPr>
            <w:r>
              <w:t>Fleiss</w:t>
            </w:r>
            <w:r w:rsidR="00573C9F" w:rsidRPr="00810AF5">
              <w:t>’</w:t>
            </w:r>
            <w:r w:rsidR="001858DB">
              <w:t>s</w:t>
            </w:r>
            <w:r w:rsidR="00573C9F">
              <w:t xml:space="preserve"> </w:t>
            </w:r>
            <w:r w:rsidR="00573C9F" w:rsidRPr="007B56D3">
              <w:t>κ</w:t>
            </w:r>
            <w:r w:rsidR="00573C9F" w:rsidRPr="00810AF5"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74612CE" w14:textId="77777777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 w:rsidRPr="00810AF5">
              <w:rPr>
                <w:i/>
                <w:shd w:val="clear" w:color="auto" w:fill="FFFFFF"/>
              </w:rPr>
              <w:t>S</w:t>
            </w:r>
            <w:r w:rsidRPr="00810AF5">
              <w:rPr>
                <w:shd w:val="clear" w:color="auto" w:fill="FFFFFF"/>
              </w:rPr>
              <w:t xml:space="preserve"> index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E9FF0EE" w14:textId="59C6E693" w:rsidR="00573C9F" w:rsidRPr="00573C9F" w:rsidRDefault="00573C9F" w:rsidP="009A0C22">
            <w:pPr>
              <w:spacing w:before="120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Number of coders</w:t>
            </w:r>
          </w:p>
        </w:tc>
      </w:tr>
      <w:tr w:rsidR="00573C9F" w:rsidRPr="00810AF5" w14:paraId="464DDE0B" w14:textId="4AB16BE0" w:rsidTr="00573C9F">
        <w:tc>
          <w:tcPr>
            <w:tcW w:w="5400" w:type="dxa"/>
          </w:tcPr>
          <w:p w14:paraId="26C936F8" w14:textId="6BB4FABC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Publication type</w:t>
            </w:r>
          </w:p>
        </w:tc>
        <w:tc>
          <w:tcPr>
            <w:tcW w:w="1271" w:type="dxa"/>
          </w:tcPr>
          <w:p w14:paraId="31EC736A" w14:textId="2AEB9307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979" w:type="dxa"/>
          </w:tcPr>
          <w:p w14:paraId="5714715D" w14:textId="0761EEB1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556" w:type="dxa"/>
          </w:tcPr>
          <w:p w14:paraId="13844B1E" w14:textId="3E887D2E" w:rsidR="00573C9F" w:rsidRDefault="00573C9F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573C9F" w:rsidRPr="00810AF5" w14:paraId="1D5506DF" w14:textId="78A6691B" w:rsidTr="00573C9F">
        <w:tc>
          <w:tcPr>
            <w:tcW w:w="5400" w:type="dxa"/>
          </w:tcPr>
          <w:p w14:paraId="344C1CFF" w14:textId="78226BA3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L1</w:t>
            </w:r>
          </w:p>
        </w:tc>
        <w:tc>
          <w:tcPr>
            <w:tcW w:w="1271" w:type="dxa"/>
          </w:tcPr>
          <w:p w14:paraId="31C270CD" w14:textId="2CBEF494" w:rsidR="00573C9F" w:rsidRPr="00810AF5" w:rsidRDefault="00124F28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</w:t>
            </w:r>
            <w:r w:rsidR="004E27E2">
              <w:rPr>
                <w:shd w:val="clear" w:color="auto" w:fill="FFFFFF"/>
              </w:rPr>
              <w:t>60</w:t>
            </w:r>
          </w:p>
        </w:tc>
        <w:tc>
          <w:tcPr>
            <w:tcW w:w="979" w:type="dxa"/>
          </w:tcPr>
          <w:p w14:paraId="0B6E30DB" w14:textId="4B37860C" w:rsidR="00573C9F" w:rsidRPr="00810AF5" w:rsidRDefault="00124F28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.6</w:t>
            </w:r>
            <w:r w:rsidR="004E27E2">
              <w:rPr>
                <w:shd w:val="clear" w:color="auto" w:fill="FFFFFF"/>
              </w:rPr>
              <w:t>3</w:t>
            </w:r>
          </w:p>
        </w:tc>
        <w:tc>
          <w:tcPr>
            <w:tcW w:w="2556" w:type="dxa"/>
          </w:tcPr>
          <w:p w14:paraId="231B1F08" w14:textId="234C1D87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573C9F" w:rsidRPr="00810AF5" w14:paraId="0D259E13" w14:textId="2433C1E3" w:rsidTr="00573C9F">
        <w:tc>
          <w:tcPr>
            <w:tcW w:w="5400" w:type="dxa"/>
          </w:tcPr>
          <w:p w14:paraId="61F54D29" w14:textId="77A4E1A3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L2</w:t>
            </w:r>
          </w:p>
        </w:tc>
        <w:tc>
          <w:tcPr>
            <w:tcW w:w="1271" w:type="dxa"/>
          </w:tcPr>
          <w:p w14:paraId="3BA29D09" w14:textId="64627A09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979" w:type="dxa"/>
          </w:tcPr>
          <w:p w14:paraId="686F33DD" w14:textId="6731BB19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556" w:type="dxa"/>
          </w:tcPr>
          <w:p w14:paraId="70A1EECA" w14:textId="79E39135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573C9F" w:rsidRPr="00810AF5" w14:paraId="43B4E9EC" w14:textId="3830A222" w:rsidTr="00573C9F">
        <w:tc>
          <w:tcPr>
            <w:tcW w:w="5400" w:type="dxa"/>
          </w:tcPr>
          <w:p w14:paraId="772DEAE2" w14:textId="23D401B1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Context</w:t>
            </w:r>
          </w:p>
        </w:tc>
        <w:tc>
          <w:tcPr>
            <w:tcW w:w="1271" w:type="dxa"/>
          </w:tcPr>
          <w:p w14:paraId="7CB71B1D" w14:textId="687871A7" w:rsidR="00573C9F" w:rsidRPr="00810AF5" w:rsidRDefault="00377770" w:rsidP="009A0C2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</w:tcPr>
          <w:p w14:paraId="17982AF6" w14:textId="4B5B3BDB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556" w:type="dxa"/>
          </w:tcPr>
          <w:p w14:paraId="3CC8C6CC" w14:textId="06142F62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573C9F" w:rsidRPr="00810AF5" w14:paraId="18724629" w14:textId="108BF209" w:rsidTr="00573C9F">
        <w:tc>
          <w:tcPr>
            <w:tcW w:w="5400" w:type="dxa"/>
          </w:tcPr>
          <w:p w14:paraId="0E7ED250" w14:textId="2FE6B3FC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Region</w:t>
            </w:r>
          </w:p>
        </w:tc>
        <w:tc>
          <w:tcPr>
            <w:tcW w:w="1271" w:type="dxa"/>
          </w:tcPr>
          <w:p w14:paraId="4D469845" w14:textId="797E0DFF" w:rsidR="00573C9F" w:rsidRPr="002B4C33" w:rsidRDefault="00573C9F" w:rsidP="009A0C22">
            <w:pPr>
              <w:spacing w:before="120"/>
              <w:rPr>
                <w:color w:val="000000"/>
              </w:rPr>
            </w:pPr>
            <w:r w:rsidRPr="00810AF5">
              <w:rPr>
                <w:color w:val="000000"/>
              </w:rPr>
              <w:t>.8</w:t>
            </w:r>
            <w:r w:rsidR="00377770">
              <w:rPr>
                <w:color w:val="000000"/>
              </w:rPr>
              <w:t>7</w:t>
            </w:r>
          </w:p>
        </w:tc>
        <w:tc>
          <w:tcPr>
            <w:tcW w:w="979" w:type="dxa"/>
          </w:tcPr>
          <w:p w14:paraId="284C76B2" w14:textId="369E05B4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</w:t>
            </w:r>
            <w:r w:rsidR="00377770">
              <w:rPr>
                <w:shd w:val="clear" w:color="auto" w:fill="FFFFFF"/>
              </w:rPr>
              <w:t>88</w:t>
            </w:r>
          </w:p>
        </w:tc>
        <w:tc>
          <w:tcPr>
            <w:tcW w:w="2556" w:type="dxa"/>
          </w:tcPr>
          <w:p w14:paraId="63D10701" w14:textId="674DAA12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573C9F" w:rsidRPr="00810AF5" w14:paraId="58512742" w14:textId="1D05D043" w:rsidTr="00573C9F">
        <w:tc>
          <w:tcPr>
            <w:tcW w:w="5400" w:type="dxa"/>
          </w:tcPr>
          <w:p w14:paraId="4BD8AA4A" w14:textId="11352625" w:rsidR="00573C9F" w:rsidRPr="00810AF5" w:rsidRDefault="00857128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Script </w:t>
            </w:r>
          </w:p>
        </w:tc>
        <w:tc>
          <w:tcPr>
            <w:tcW w:w="1271" w:type="dxa"/>
          </w:tcPr>
          <w:p w14:paraId="57AA456E" w14:textId="055D40B5" w:rsidR="00573C9F" w:rsidRPr="00810AF5" w:rsidRDefault="00377770" w:rsidP="009A0C2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</w:tcPr>
          <w:p w14:paraId="3A368320" w14:textId="3DDC7BD8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556" w:type="dxa"/>
          </w:tcPr>
          <w:p w14:paraId="03134EB8" w14:textId="4E87EF79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573C9F" w:rsidRPr="00810AF5" w14:paraId="0FCE5CA7" w14:textId="112FE21F" w:rsidTr="00573C9F">
        <w:tc>
          <w:tcPr>
            <w:tcW w:w="5400" w:type="dxa"/>
          </w:tcPr>
          <w:p w14:paraId="3C5BF781" w14:textId="2B601703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Educational level</w:t>
            </w:r>
          </w:p>
        </w:tc>
        <w:tc>
          <w:tcPr>
            <w:tcW w:w="1271" w:type="dxa"/>
          </w:tcPr>
          <w:p w14:paraId="4BB8B88B" w14:textId="10BA2723" w:rsidR="00573C9F" w:rsidRPr="00810AF5" w:rsidRDefault="00573C9F" w:rsidP="009A0C22">
            <w:pPr>
              <w:spacing w:before="120"/>
              <w:rPr>
                <w:color w:val="000000"/>
              </w:rPr>
            </w:pPr>
            <w:r w:rsidRPr="00810AF5">
              <w:rPr>
                <w:color w:val="000000"/>
              </w:rPr>
              <w:t>1</w:t>
            </w:r>
          </w:p>
        </w:tc>
        <w:tc>
          <w:tcPr>
            <w:tcW w:w="979" w:type="dxa"/>
          </w:tcPr>
          <w:p w14:paraId="088C776E" w14:textId="27013458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556" w:type="dxa"/>
          </w:tcPr>
          <w:p w14:paraId="75027E0C" w14:textId="7441CE7C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573C9F" w:rsidRPr="00810AF5" w14:paraId="4287F1AB" w14:textId="68AA4FDA" w:rsidTr="00573C9F">
        <w:tc>
          <w:tcPr>
            <w:tcW w:w="5400" w:type="dxa"/>
          </w:tcPr>
          <w:p w14:paraId="7AC53427" w14:textId="19484869" w:rsidR="00573C9F" w:rsidRPr="00810AF5" w:rsidRDefault="0037777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Mode of input</w:t>
            </w:r>
          </w:p>
        </w:tc>
        <w:tc>
          <w:tcPr>
            <w:tcW w:w="1271" w:type="dxa"/>
          </w:tcPr>
          <w:p w14:paraId="03D32A8F" w14:textId="7B07576B" w:rsidR="00573C9F" w:rsidRPr="00810AF5" w:rsidRDefault="003A6146" w:rsidP="009A0C22">
            <w:pPr>
              <w:spacing w:before="120"/>
              <w:rPr>
                <w:shd w:val="clear" w:color="auto" w:fill="FFFFFF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</w:tcPr>
          <w:p w14:paraId="5714582F" w14:textId="2EB15884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556" w:type="dxa"/>
          </w:tcPr>
          <w:p w14:paraId="68C6587A" w14:textId="649D8C87" w:rsidR="00573C9F" w:rsidRPr="00810AF5" w:rsidRDefault="003A6146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573C9F" w:rsidRPr="00810AF5" w14:paraId="7F9E8A80" w14:textId="6D520392" w:rsidTr="00573C9F">
        <w:tc>
          <w:tcPr>
            <w:tcW w:w="5400" w:type="dxa"/>
          </w:tcPr>
          <w:p w14:paraId="744F0ADB" w14:textId="7ED2EECD" w:rsidR="00573C9F" w:rsidRPr="00810AF5" w:rsidRDefault="003A6146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Material type</w:t>
            </w:r>
          </w:p>
        </w:tc>
        <w:tc>
          <w:tcPr>
            <w:tcW w:w="1271" w:type="dxa"/>
          </w:tcPr>
          <w:p w14:paraId="65DC247C" w14:textId="6043995D" w:rsidR="00573C9F" w:rsidRPr="00810AF5" w:rsidRDefault="00573C9F" w:rsidP="009A0C22">
            <w:pPr>
              <w:spacing w:before="120"/>
              <w:rPr>
                <w:color w:val="000000"/>
              </w:rPr>
            </w:pPr>
            <w:r w:rsidRPr="00810AF5">
              <w:rPr>
                <w:color w:val="000000"/>
              </w:rPr>
              <w:t>.6</w:t>
            </w:r>
            <w:r w:rsidR="003A6146">
              <w:rPr>
                <w:color w:val="000000"/>
              </w:rPr>
              <w:t>0</w:t>
            </w:r>
          </w:p>
        </w:tc>
        <w:tc>
          <w:tcPr>
            <w:tcW w:w="979" w:type="dxa"/>
          </w:tcPr>
          <w:p w14:paraId="497098B1" w14:textId="12678A2B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 w:rsidRPr="001F5B42">
              <w:rPr>
                <w:shd w:val="clear" w:color="auto" w:fill="FFFFFF"/>
              </w:rPr>
              <w:t>.6</w:t>
            </w:r>
            <w:r w:rsidR="003A6146">
              <w:rPr>
                <w:shd w:val="clear" w:color="auto" w:fill="FFFFFF"/>
              </w:rPr>
              <w:t>0</w:t>
            </w:r>
          </w:p>
        </w:tc>
        <w:tc>
          <w:tcPr>
            <w:tcW w:w="2556" w:type="dxa"/>
          </w:tcPr>
          <w:p w14:paraId="7E5FF3E4" w14:textId="292C600D" w:rsidR="00573C9F" w:rsidRPr="001F5B42" w:rsidRDefault="003A6146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573C9F" w:rsidRPr="00810AF5" w14:paraId="10D5949C" w14:textId="7A16A2CF" w:rsidTr="00573C9F">
        <w:tc>
          <w:tcPr>
            <w:tcW w:w="5400" w:type="dxa"/>
          </w:tcPr>
          <w:p w14:paraId="0034464B" w14:textId="07388471" w:rsidR="00573C9F" w:rsidRPr="00810AF5" w:rsidRDefault="003A6146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Measurement</w:t>
            </w:r>
            <w:r w:rsidR="00573C9F" w:rsidRPr="00810AF5">
              <w:rPr>
                <w:shd w:val="clear" w:color="auto" w:fill="FFFFFF"/>
              </w:rPr>
              <w:t xml:space="preserve"> type</w:t>
            </w:r>
          </w:p>
        </w:tc>
        <w:tc>
          <w:tcPr>
            <w:tcW w:w="1271" w:type="dxa"/>
          </w:tcPr>
          <w:p w14:paraId="788D4F66" w14:textId="127B3615" w:rsidR="00573C9F" w:rsidRPr="00810AF5" w:rsidRDefault="003A6146" w:rsidP="009A0C2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</w:tcPr>
          <w:p w14:paraId="602BF151" w14:textId="0654A0B8" w:rsidR="00573C9F" w:rsidRPr="00810AF5" w:rsidRDefault="003A6146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556" w:type="dxa"/>
          </w:tcPr>
          <w:p w14:paraId="5170DA02" w14:textId="47B90816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573C9F" w:rsidRPr="00810AF5" w14:paraId="78356116" w14:textId="129EEC0E" w:rsidTr="00573C9F">
        <w:tc>
          <w:tcPr>
            <w:tcW w:w="5400" w:type="dxa"/>
          </w:tcPr>
          <w:p w14:paraId="6CB2D287" w14:textId="039E734E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Learning target</w:t>
            </w:r>
          </w:p>
        </w:tc>
        <w:tc>
          <w:tcPr>
            <w:tcW w:w="1271" w:type="dxa"/>
          </w:tcPr>
          <w:p w14:paraId="6B8D4AFC" w14:textId="30EC8C07" w:rsidR="00573C9F" w:rsidRPr="00810AF5" w:rsidRDefault="00573C9F" w:rsidP="009A0C22">
            <w:pPr>
              <w:spacing w:before="120"/>
              <w:rPr>
                <w:color w:val="000000"/>
              </w:rPr>
            </w:pPr>
            <w:r w:rsidRPr="00810AF5">
              <w:rPr>
                <w:color w:val="000000"/>
              </w:rPr>
              <w:t>.8</w:t>
            </w:r>
            <w:r w:rsidR="00AB755A">
              <w:rPr>
                <w:color w:val="000000"/>
              </w:rPr>
              <w:t>9</w:t>
            </w:r>
          </w:p>
        </w:tc>
        <w:tc>
          <w:tcPr>
            <w:tcW w:w="979" w:type="dxa"/>
          </w:tcPr>
          <w:p w14:paraId="26828502" w14:textId="5896A952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</w:t>
            </w:r>
            <w:r w:rsidR="00AB755A">
              <w:rPr>
                <w:shd w:val="clear" w:color="auto" w:fill="FFFFFF"/>
              </w:rPr>
              <w:t>91</w:t>
            </w:r>
          </w:p>
        </w:tc>
        <w:tc>
          <w:tcPr>
            <w:tcW w:w="2556" w:type="dxa"/>
          </w:tcPr>
          <w:p w14:paraId="75D2A029" w14:textId="26EA9225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573C9F" w:rsidRPr="00810AF5" w14:paraId="2EFA6655" w14:textId="7B93F627" w:rsidTr="00573C9F">
        <w:tc>
          <w:tcPr>
            <w:tcW w:w="5400" w:type="dxa"/>
          </w:tcPr>
          <w:p w14:paraId="32DA6E26" w14:textId="7F4B07B1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Notetaking instruction</w:t>
            </w:r>
          </w:p>
        </w:tc>
        <w:tc>
          <w:tcPr>
            <w:tcW w:w="1271" w:type="dxa"/>
          </w:tcPr>
          <w:p w14:paraId="6FBC9C57" w14:textId="4178E8DD" w:rsidR="00573C9F" w:rsidRPr="00A06135" w:rsidRDefault="00573C9F" w:rsidP="009A0C22">
            <w:pPr>
              <w:spacing w:before="120"/>
              <w:rPr>
                <w:color w:val="000000"/>
                <w:highlight w:val="yellow"/>
              </w:rPr>
            </w:pPr>
            <w:r w:rsidRPr="002808D3">
              <w:rPr>
                <w:color w:val="000000"/>
              </w:rPr>
              <w:t>.</w:t>
            </w:r>
            <w:r w:rsidR="00AB755A">
              <w:rPr>
                <w:color w:val="000000"/>
              </w:rPr>
              <w:t>93</w:t>
            </w:r>
          </w:p>
        </w:tc>
        <w:tc>
          <w:tcPr>
            <w:tcW w:w="979" w:type="dxa"/>
          </w:tcPr>
          <w:p w14:paraId="31C6B429" w14:textId="77777777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2556" w:type="dxa"/>
          </w:tcPr>
          <w:p w14:paraId="76572762" w14:textId="568A34E2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573C9F" w:rsidRPr="00810AF5" w14:paraId="269FF890" w14:textId="675324A9" w:rsidTr="00573C9F">
        <w:tc>
          <w:tcPr>
            <w:tcW w:w="5400" w:type="dxa"/>
          </w:tcPr>
          <w:p w14:paraId="573491C3" w14:textId="2DE537C1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Instruction type</w:t>
            </w:r>
          </w:p>
        </w:tc>
        <w:tc>
          <w:tcPr>
            <w:tcW w:w="1271" w:type="dxa"/>
          </w:tcPr>
          <w:p w14:paraId="2D771302" w14:textId="753E0431" w:rsidR="00573C9F" w:rsidRPr="00810AF5" w:rsidRDefault="00573C9F" w:rsidP="009A0C22">
            <w:pPr>
              <w:spacing w:before="120"/>
              <w:rPr>
                <w:color w:val="000000"/>
              </w:rPr>
            </w:pPr>
            <w:r w:rsidRPr="00810AF5">
              <w:rPr>
                <w:color w:val="000000"/>
              </w:rPr>
              <w:t>.9</w:t>
            </w:r>
            <w:r w:rsidR="00AB755A">
              <w:rPr>
                <w:color w:val="000000"/>
              </w:rPr>
              <w:t>4</w:t>
            </w:r>
          </w:p>
        </w:tc>
        <w:tc>
          <w:tcPr>
            <w:tcW w:w="979" w:type="dxa"/>
          </w:tcPr>
          <w:p w14:paraId="4C20EFE5" w14:textId="49E98B51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</w:t>
            </w:r>
            <w:r w:rsidR="00AB755A">
              <w:rPr>
                <w:shd w:val="clear" w:color="auto" w:fill="FFFFFF"/>
              </w:rPr>
              <w:t>6</w:t>
            </w:r>
          </w:p>
        </w:tc>
        <w:tc>
          <w:tcPr>
            <w:tcW w:w="2556" w:type="dxa"/>
          </w:tcPr>
          <w:p w14:paraId="7BB2638C" w14:textId="1F927719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573C9F" w:rsidRPr="00810AF5" w14:paraId="2A4EEE3E" w14:textId="7E9ADEA3" w:rsidTr="00573C9F">
        <w:tc>
          <w:tcPr>
            <w:tcW w:w="5400" w:type="dxa"/>
          </w:tcPr>
          <w:p w14:paraId="620F7404" w14:textId="3E56FE83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Notetaking behavior</w:t>
            </w:r>
          </w:p>
        </w:tc>
        <w:tc>
          <w:tcPr>
            <w:tcW w:w="1271" w:type="dxa"/>
          </w:tcPr>
          <w:p w14:paraId="659892F4" w14:textId="695A84AA" w:rsidR="00573C9F" w:rsidRPr="00810AF5" w:rsidRDefault="00AB755A" w:rsidP="009A0C2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</w:tcPr>
          <w:p w14:paraId="294A814B" w14:textId="2BBB4608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556" w:type="dxa"/>
          </w:tcPr>
          <w:p w14:paraId="165C03AF" w14:textId="4A7A7BB8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573C9F" w:rsidRPr="00810AF5" w14:paraId="717FB2AB" w14:textId="7402D3FF" w:rsidTr="00966395">
        <w:tc>
          <w:tcPr>
            <w:tcW w:w="5400" w:type="dxa"/>
            <w:tcBorders>
              <w:bottom w:val="single" w:sz="4" w:space="0" w:color="auto"/>
            </w:tcBorders>
          </w:tcPr>
          <w:p w14:paraId="31168BC1" w14:textId="625F52B5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Opportunity to review notes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D4AC038" w14:textId="5DBA1B39" w:rsidR="00573C9F" w:rsidRPr="00810AF5" w:rsidRDefault="00573C9F" w:rsidP="009A0C22">
            <w:pPr>
              <w:spacing w:before="120"/>
              <w:rPr>
                <w:color w:val="000000"/>
              </w:rPr>
            </w:pPr>
            <w:r w:rsidRPr="002808D3">
              <w:rPr>
                <w:color w:val="000000"/>
              </w:rPr>
              <w:t>.</w:t>
            </w:r>
            <w:r w:rsidR="00AB755A">
              <w:rPr>
                <w:color w:val="000000"/>
              </w:rPr>
              <w:t>64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07BCCFE1" w14:textId="5FA15E2E" w:rsidR="00573C9F" w:rsidRPr="00810AF5" w:rsidRDefault="00573C9F" w:rsidP="009A0C22">
            <w:pPr>
              <w:spacing w:before="12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</w:t>
            </w:r>
            <w:r w:rsidR="00AB755A">
              <w:rPr>
                <w:shd w:val="clear" w:color="auto" w:fill="FFFFFF"/>
              </w:rPr>
              <w:t>74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B8BDAD8" w14:textId="4CA701C6" w:rsidR="00573C9F" w:rsidRPr="00810AF5" w:rsidRDefault="00AB755A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</w:tbl>
    <w:p w14:paraId="0F1D5792" w14:textId="77777777" w:rsidR="00966395" w:rsidRDefault="00966395" w:rsidP="006D6877">
      <w:pPr>
        <w:spacing w:line="480" w:lineRule="auto"/>
        <w:rPr>
          <w:i/>
          <w:iCs/>
          <w:shd w:val="clear" w:color="auto" w:fill="FFFFFF"/>
        </w:rPr>
      </w:pPr>
    </w:p>
    <w:p w14:paraId="6C1F6432" w14:textId="1D422F4D" w:rsidR="006D6877" w:rsidRPr="001D1604" w:rsidRDefault="007A33DC" w:rsidP="006D687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1D160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TABLE 2. </w:t>
      </w:r>
      <w:r w:rsidR="006D6877" w:rsidRPr="001D1604">
        <w:rPr>
          <w:rFonts w:asciiTheme="majorBidi" w:hAnsiTheme="majorBidi" w:cstheme="majorBidi"/>
          <w:sz w:val="24"/>
          <w:szCs w:val="24"/>
          <w:shd w:val="clear" w:color="auto" w:fill="FFFFFF"/>
        </w:rPr>
        <w:t>Interrater Reliability for Continuous Variables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3"/>
        <w:gridCol w:w="2245"/>
        <w:gridCol w:w="2245"/>
      </w:tblGrid>
      <w:tr w:rsidR="00E220D0" w:rsidRPr="0005123E" w14:paraId="43C20F91" w14:textId="6451AB0C" w:rsidTr="000668A9">
        <w:tc>
          <w:tcPr>
            <w:tcW w:w="6963" w:type="dxa"/>
            <w:tcBorders>
              <w:top w:val="single" w:sz="4" w:space="0" w:color="auto"/>
              <w:bottom w:val="single" w:sz="4" w:space="0" w:color="auto"/>
            </w:tcBorders>
          </w:tcPr>
          <w:p w14:paraId="0B53CDA6" w14:textId="77777777" w:rsidR="00E220D0" w:rsidRPr="0005123E" w:rsidRDefault="00E220D0" w:rsidP="009A0C22">
            <w:pPr>
              <w:spacing w:before="12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Variable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290519F8" w14:textId="77777777" w:rsidR="00E220D0" w:rsidRPr="0005123E" w:rsidRDefault="00E220D0" w:rsidP="009A0C22">
            <w:pPr>
              <w:spacing w:before="12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Int</w:t>
            </w:r>
            <w:r>
              <w:rPr>
                <w:shd w:val="clear" w:color="auto" w:fill="FFFFFF"/>
              </w:rPr>
              <w:t>ra</w:t>
            </w:r>
            <w:r w:rsidRPr="0005123E">
              <w:rPr>
                <w:shd w:val="clear" w:color="auto" w:fill="FFFFFF"/>
              </w:rPr>
              <w:t>class correlation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2C1BD8C2" w14:textId="6BACA1B2" w:rsidR="00E220D0" w:rsidRPr="0005123E" w:rsidRDefault="00E220D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Number of coders</w:t>
            </w:r>
          </w:p>
        </w:tc>
      </w:tr>
      <w:tr w:rsidR="00E220D0" w:rsidRPr="0005123E" w14:paraId="712C46EB" w14:textId="2E9EB285" w:rsidTr="000668A9">
        <w:tc>
          <w:tcPr>
            <w:tcW w:w="6963" w:type="dxa"/>
          </w:tcPr>
          <w:p w14:paraId="06DC0AAA" w14:textId="145A9AA8" w:rsidR="00E220D0" w:rsidRPr="0005123E" w:rsidRDefault="00E220D0" w:rsidP="009A0C22">
            <w:pPr>
              <w:spacing w:before="12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N</w:t>
            </w:r>
            <w:r>
              <w:rPr>
                <w:shd w:val="clear" w:color="auto" w:fill="FFFFFF"/>
              </w:rPr>
              <w:t>umber of</w:t>
            </w:r>
            <w:r w:rsidRPr="0005123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notetaking sessions</w:t>
            </w:r>
          </w:p>
        </w:tc>
        <w:tc>
          <w:tcPr>
            <w:tcW w:w="2245" w:type="dxa"/>
          </w:tcPr>
          <w:p w14:paraId="4291DF32" w14:textId="62C28C9B" w:rsidR="00E220D0" w:rsidRPr="0005123E" w:rsidRDefault="00E220D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.99</w:t>
            </w:r>
          </w:p>
        </w:tc>
        <w:tc>
          <w:tcPr>
            <w:tcW w:w="2245" w:type="dxa"/>
          </w:tcPr>
          <w:p w14:paraId="193365A5" w14:textId="58C4103D" w:rsidR="00E220D0" w:rsidRDefault="00E220D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E220D0" w:rsidRPr="0005123E" w14:paraId="4D189405" w14:textId="558D6485" w:rsidTr="000668A9">
        <w:tc>
          <w:tcPr>
            <w:tcW w:w="6963" w:type="dxa"/>
          </w:tcPr>
          <w:p w14:paraId="4AA9A9B2" w14:textId="5BD2FA55" w:rsidR="00E220D0" w:rsidRPr="0005123E" w:rsidRDefault="00E220D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Notetaking instruction length</w:t>
            </w:r>
          </w:p>
        </w:tc>
        <w:tc>
          <w:tcPr>
            <w:tcW w:w="2245" w:type="dxa"/>
          </w:tcPr>
          <w:p w14:paraId="69DFE31C" w14:textId="64E11896" w:rsidR="00E220D0" w:rsidRPr="0005123E" w:rsidRDefault="00E220D0" w:rsidP="009A0C22">
            <w:pPr>
              <w:spacing w:before="12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1</w:t>
            </w:r>
          </w:p>
        </w:tc>
        <w:tc>
          <w:tcPr>
            <w:tcW w:w="2245" w:type="dxa"/>
          </w:tcPr>
          <w:p w14:paraId="2C561ABC" w14:textId="74AFE79F" w:rsidR="00E220D0" w:rsidRPr="0005123E" w:rsidRDefault="00E220D0" w:rsidP="009A0C22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E220D0" w:rsidRPr="0005123E" w14:paraId="46AFA0D7" w14:textId="502914AE" w:rsidTr="000668A9">
        <w:tc>
          <w:tcPr>
            <w:tcW w:w="6963" w:type="dxa"/>
          </w:tcPr>
          <w:p w14:paraId="3209ED00" w14:textId="56BDF62B" w:rsidR="00E220D0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t>Test max score</w:t>
            </w:r>
          </w:p>
        </w:tc>
        <w:tc>
          <w:tcPr>
            <w:tcW w:w="2245" w:type="dxa"/>
          </w:tcPr>
          <w:p w14:paraId="41D5EB45" w14:textId="2A791EFD" w:rsidR="00E220D0" w:rsidRPr="0005123E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45" w:type="dxa"/>
          </w:tcPr>
          <w:p w14:paraId="530B2715" w14:textId="1B55BB72" w:rsidR="00E220D0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E220D0" w:rsidRPr="0005123E" w14:paraId="5D899FA4" w14:textId="06C8ADE4" w:rsidTr="000668A9">
        <w:tc>
          <w:tcPr>
            <w:tcW w:w="6963" w:type="dxa"/>
          </w:tcPr>
          <w:p w14:paraId="459F18F5" w14:textId="5099A869" w:rsidR="00E220D0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t>N</w:t>
            </w:r>
          </w:p>
        </w:tc>
        <w:tc>
          <w:tcPr>
            <w:tcW w:w="2245" w:type="dxa"/>
          </w:tcPr>
          <w:p w14:paraId="038D4480" w14:textId="03A6AA5A" w:rsidR="00E220D0" w:rsidRPr="0005123E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45" w:type="dxa"/>
          </w:tcPr>
          <w:p w14:paraId="5BC3B13C" w14:textId="4304C17B" w:rsidR="00E220D0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E220D0" w:rsidRPr="0005123E" w14:paraId="65531C61" w14:textId="3A595FB3" w:rsidTr="000668A9">
        <w:tc>
          <w:tcPr>
            <w:tcW w:w="6963" w:type="dxa"/>
          </w:tcPr>
          <w:p w14:paraId="258AE3A4" w14:textId="31DEA75A" w:rsidR="00E220D0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t>n</w:t>
            </w:r>
          </w:p>
        </w:tc>
        <w:tc>
          <w:tcPr>
            <w:tcW w:w="2245" w:type="dxa"/>
          </w:tcPr>
          <w:p w14:paraId="5C4BDC66" w14:textId="2BE1FB64" w:rsidR="00E220D0" w:rsidRPr="0005123E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45" w:type="dxa"/>
          </w:tcPr>
          <w:p w14:paraId="11B9327E" w14:textId="287F66F3" w:rsidR="00E220D0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E220D0" w:rsidRPr="0005123E" w14:paraId="3BB2D27A" w14:textId="2B999209" w:rsidTr="000668A9">
        <w:tc>
          <w:tcPr>
            <w:tcW w:w="6963" w:type="dxa"/>
          </w:tcPr>
          <w:p w14:paraId="5DEA5ADE" w14:textId="5641730E" w:rsidR="00E220D0" w:rsidRDefault="00E220D0" w:rsidP="0091278B">
            <w:pPr>
              <w:spacing w:before="120"/>
            </w:pPr>
            <w:proofErr w:type="spellStart"/>
            <w:r>
              <w:t>Post_mean</w:t>
            </w:r>
            <w:proofErr w:type="spellEnd"/>
          </w:p>
        </w:tc>
        <w:tc>
          <w:tcPr>
            <w:tcW w:w="2245" w:type="dxa"/>
          </w:tcPr>
          <w:p w14:paraId="02ACD6A3" w14:textId="0A51A9C2" w:rsidR="00E220D0" w:rsidRPr="0005123E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45" w:type="dxa"/>
          </w:tcPr>
          <w:p w14:paraId="3D8426DB" w14:textId="3A9D34E5" w:rsidR="00E220D0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E220D0" w:rsidRPr="0005123E" w14:paraId="27DB9306" w14:textId="340B40ED" w:rsidTr="000668A9">
        <w:tc>
          <w:tcPr>
            <w:tcW w:w="6963" w:type="dxa"/>
            <w:tcBorders>
              <w:bottom w:val="single" w:sz="4" w:space="0" w:color="auto"/>
            </w:tcBorders>
          </w:tcPr>
          <w:p w14:paraId="219D2F7E" w14:textId="2DA419E8" w:rsidR="00E220D0" w:rsidRDefault="00E220D0" w:rsidP="0091278B">
            <w:pPr>
              <w:spacing w:before="120"/>
            </w:pPr>
            <w:proofErr w:type="spellStart"/>
            <w:r>
              <w:t>Post_SD</w:t>
            </w:r>
            <w:proofErr w:type="spellEnd"/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633AF5F" w14:textId="79EA1F09" w:rsidR="00E220D0" w:rsidRPr="0005123E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EC69A0B" w14:textId="3C030D02" w:rsidR="00E220D0" w:rsidRDefault="00E220D0" w:rsidP="0091278B">
            <w:pPr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</w:tbl>
    <w:p w14:paraId="6886BA14" w14:textId="77777777" w:rsidR="006D6877" w:rsidRPr="007A33DC" w:rsidRDefault="006D6877" w:rsidP="006D6877">
      <w:pPr>
        <w:rPr>
          <w:rFonts w:eastAsia="Times New Roman"/>
          <w:b/>
          <w:color w:val="0D0D0D" w:themeColor="text1" w:themeTint="F2"/>
          <w:lang w:val="en-CA" w:eastAsia="zh-CN"/>
        </w:rPr>
      </w:pPr>
    </w:p>
    <w:p w14:paraId="0AFC836B" w14:textId="5C036738" w:rsidR="006D6877" w:rsidRDefault="006D6877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099BA6F0" w14:textId="77777777" w:rsidR="006D6877" w:rsidRDefault="006D6877">
      <w:pPr>
        <w:rPr>
          <w:rFonts w:asciiTheme="majorBidi" w:hAnsiTheme="majorBidi" w:cstheme="majorBidi"/>
          <w:b/>
        </w:rPr>
      </w:pPr>
    </w:p>
    <w:p w14:paraId="0F82D5EF" w14:textId="5D61C62D" w:rsidR="00D35CC5" w:rsidRPr="0011036C" w:rsidRDefault="00D35CC5" w:rsidP="00D35CC5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1036C">
        <w:rPr>
          <w:rFonts w:asciiTheme="majorBidi" w:hAnsiTheme="majorBidi" w:cstheme="majorBidi"/>
          <w:b/>
          <w:sz w:val="24"/>
          <w:szCs w:val="24"/>
        </w:rPr>
        <w:t>References for the Included Studies</w:t>
      </w:r>
    </w:p>
    <w:p w14:paraId="3BD2CE95" w14:textId="655BE801" w:rsidR="00382FCC" w:rsidRPr="00C90DFA" w:rsidRDefault="00382FCC" w:rsidP="00D35CC5">
      <w:pPr>
        <w:adjustRightInd w:val="0"/>
        <w:snapToGrid w:val="0"/>
        <w:spacing w:line="480" w:lineRule="auto"/>
        <w:ind w:left="720" w:hanging="720"/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</w:pP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 xml:space="preserve">Ahmad, S. Z. (2019). Impact of Cornell notes vs. REAP on EFL secondary school students' critical reading skills. </w:t>
      </w:r>
      <w:r w:rsidRPr="00C90DFA">
        <w:rPr>
          <w:rFonts w:asciiTheme="majorBidi" w:eastAsia="Times New Roman" w:hAnsiTheme="majorBidi" w:cstheme="majorBidi"/>
          <w:i/>
          <w:iCs/>
          <w:color w:val="3A3A3A"/>
          <w:sz w:val="24"/>
          <w:szCs w:val="24"/>
          <w:shd w:val="clear" w:color="auto" w:fill="FFFFFF"/>
          <w:lang w:val="en-US"/>
        </w:rPr>
        <w:t>International Education Studies, 12</w:t>
      </w: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(10), 60–74.</w:t>
      </w:r>
    </w:p>
    <w:p w14:paraId="2955E0E2" w14:textId="59415E7D" w:rsidR="00D35CC5" w:rsidRPr="00C90DFA" w:rsidRDefault="00D35CC5" w:rsidP="00D35CC5">
      <w:pPr>
        <w:adjustRightInd w:val="0"/>
        <w:snapToGrid w:val="0"/>
        <w:spacing w:line="480" w:lineRule="auto"/>
        <w:ind w:left="720" w:hanging="720"/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</w:pPr>
      <w:proofErr w:type="spellStart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Alahmadi</w:t>
      </w:r>
      <w:proofErr w:type="spellEnd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 xml:space="preserve">, N. S. (2020). The effect of the mind mapping strategy on the L2 vocabulary learning of Saudi learners. </w:t>
      </w:r>
      <w:r w:rsidRPr="00C90DFA">
        <w:rPr>
          <w:rFonts w:asciiTheme="majorBidi" w:eastAsia="Times New Roman" w:hAnsiTheme="majorBidi" w:cstheme="majorBidi"/>
          <w:i/>
          <w:iCs/>
          <w:color w:val="3A3A3A"/>
          <w:sz w:val="24"/>
          <w:szCs w:val="24"/>
          <w:shd w:val="clear" w:color="auto" w:fill="FFFFFF"/>
          <w:lang w:val="en-US"/>
        </w:rPr>
        <w:t>Education and Linguistics Research, 6</w:t>
      </w: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(1), 54–68.</w:t>
      </w:r>
      <w:r w:rsidRPr="00C90DFA">
        <w:rPr>
          <w:rFonts w:asciiTheme="majorBidi" w:hAnsiTheme="majorBidi" w:cstheme="majorBidi"/>
          <w:sz w:val="24"/>
          <w:szCs w:val="24"/>
        </w:rPr>
        <w:t xml:space="preserve"> </w:t>
      </w:r>
    </w:p>
    <w:p w14:paraId="630D5799" w14:textId="6ED784B8" w:rsidR="00E90917" w:rsidRPr="00C90DFA" w:rsidRDefault="00E90917" w:rsidP="00D35CC5">
      <w:pPr>
        <w:adjustRightInd w:val="0"/>
        <w:snapToGrid w:val="0"/>
        <w:spacing w:line="480" w:lineRule="auto"/>
        <w:ind w:left="720" w:hanging="720"/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</w:pPr>
      <w:proofErr w:type="spellStart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Alzu'bi</w:t>
      </w:r>
      <w:proofErr w:type="spellEnd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 xml:space="preserve">, M. A. (2019). The influence of suggested Cornell note-taking method on improving writing composition skills of Jordanian EFL learners. </w:t>
      </w:r>
      <w:r w:rsidRPr="00C90DFA">
        <w:rPr>
          <w:rFonts w:asciiTheme="majorBidi" w:eastAsia="Times New Roman" w:hAnsiTheme="majorBidi" w:cstheme="majorBidi"/>
          <w:i/>
          <w:iCs/>
          <w:color w:val="3A3A3A"/>
          <w:sz w:val="24"/>
          <w:szCs w:val="24"/>
          <w:shd w:val="clear" w:color="auto" w:fill="FFFFFF"/>
          <w:lang w:val="en-US"/>
        </w:rPr>
        <w:t>Journal of Language Teaching and Research, 10</w:t>
      </w: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(4), 863–871.</w:t>
      </w:r>
    </w:p>
    <w:p w14:paraId="5EA0F446" w14:textId="166CB2A0" w:rsidR="00D35CC5" w:rsidRPr="00C90DFA" w:rsidRDefault="00D35CC5" w:rsidP="00D35CC5">
      <w:pPr>
        <w:adjustRightInd w:val="0"/>
        <w:snapToGrid w:val="0"/>
        <w:spacing w:line="480" w:lineRule="auto"/>
        <w:ind w:left="720" w:hanging="720"/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</w:pPr>
      <w:proofErr w:type="spellStart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Aminifard</w:t>
      </w:r>
      <w:proofErr w:type="spellEnd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 xml:space="preserve">, Y., &amp; </w:t>
      </w:r>
      <w:proofErr w:type="spellStart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Aminifard</w:t>
      </w:r>
      <w:proofErr w:type="spellEnd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 xml:space="preserve">, A. (2012). Note-taking and listening comprehension of conversations and mini-lectures: any benefit? </w:t>
      </w:r>
      <w:r w:rsidRPr="00C90DFA">
        <w:rPr>
          <w:rFonts w:asciiTheme="majorBidi" w:eastAsia="Times New Roman" w:hAnsiTheme="majorBidi" w:cstheme="majorBidi"/>
          <w:i/>
          <w:iCs/>
          <w:color w:val="3A3A3A"/>
          <w:sz w:val="24"/>
          <w:szCs w:val="24"/>
          <w:shd w:val="clear" w:color="auto" w:fill="FFFFFF"/>
          <w:lang w:val="en-US"/>
        </w:rPr>
        <w:t>Canadian Social Science, 8</w:t>
      </w: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(4), 47</w:t>
      </w:r>
      <w:r w:rsidR="00F6154C"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–</w:t>
      </w: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51.</w:t>
      </w:r>
    </w:p>
    <w:p w14:paraId="5FC807C8" w14:textId="77777777" w:rsidR="00D35CC5" w:rsidRPr="00C90DFA" w:rsidRDefault="00D35CC5" w:rsidP="00D35CC5">
      <w:pPr>
        <w:adjustRightInd w:val="0"/>
        <w:snapToGrid w:val="0"/>
        <w:spacing w:line="480" w:lineRule="auto"/>
        <w:ind w:left="720" w:hanging="720"/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</w:pPr>
      <w:proofErr w:type="spellStart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Bozorgian</w:t>
      </w:r>
      <w:proofErr w:type="spellEnd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 xml:space="preserve">, H., &amp; Pillay, H. (2013). Enhancing foreign language learning through listening strategy delivered in L1: An experimental study. </w:t>
      </w:r>
      <w:r w:rsidRPr="00C90DFA">
        <w:rPr>
          <w:rFonts w:asciiTheme="majorBidi" w:eastAsia="Times New Roman" w:hAnsiTheme="majorBidi" w:cstheme="majorBidi"/>
          <w:i/>
          <w:iCs/>
          <w:color w:val="3A3A3A"/>
          <w:sz w:val="24"/>
          <w:szCs w:val="24"/>
          <w:shd w:val="clear" w:color="auto" w:fill="FFFFFF"/>
          <w:lang w:val="en-US"/>
        </w:rPr>
        <w:t>International Journal of Instruction, 6</w:t>
      </w: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(1).</w:t>
      </w:r>
    </w:p>
    <w:p w14:paraId="17DF6225" w14:textId="77777777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</w:rPr>
      </w:pP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 xml:space="preserve">Chen, H. J. H., &amp; Yang, T. Y. C. (2013). </w:t>
      </w: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</w:rPr>
        <w:t xml:space="preserve">The impact of adventure video games on foreign language learning and the perceptions of learners. </w:t>
      </w:r>
      <w:r w:rsidRPr="00C90DFA">
        <w:rPr>
          <w:rFonts w:asciiTheme="majorBidi" w:eastAsia="Times New Roman" w:hAnsiTheme="majorBidi" w:cstheme="majorBidi"/>
          <w:i/>
          <w:iCs/>
          <w:color w:val="3A3A3A"/>
          <w:sz w:val="24"/>
          <w:szCs w:val="24"/>
          <w:shd w:val="clear" w:color="auto" w:fill="FFFFFF"/>
        </w:rPr>
        <w:t>Interactive learning environments, 21</w:t>
      </w: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</w:rPr>
        <w:t>(2), 129–141.</w:t>
      </w:r>
    </w:p>
    <w:p w14:paraId="6FC4DACA" w14:textId="661E0C90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</w:rPr>
      </w:pP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</w:rPr>
        <w:t xml:space="preserve">Hale, G. A., &amp; Courtney, R. (1994). The effects of </w:t>
      </w:r>
      <w:proofErr w:type="gramStart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</w:rPr>
        <w:t>note-taking</w:t>
      </w:r>
      <w:proofErr w:type="gramEnd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</w:rPr>
        <w:t xml:space="preserve"> on listening comprehension in the Test of English as a Foreign Language. </w:t>
      </w:r>
      <w:r w:rsidRPr="00C90DFA">
        <w:rPr>
          <w:rFonts w:asciiTheme="majorBidi" w:eastAsia="Times New Roman" w:hAnsiTheme="majorBidi" w:cstheme="majorBidi"/>
          <w:i/>
          <w:iCs/>
          <w:color w:val="3A3A3A"/>
          <w:sz w:val="24"/>
          <w:szCs w:val="24"/>
          <w:shd w:val="clear" w:color="auto" w:fill="FFFFFF"/>
        </w:rPr>
        <w:t>Language Testing, 11</w:t>
      </w: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</w:rPr>
        <w:t xml:space="preserve">(1), 29–47. </w:t>
      </w:r>
    </w:p>
    <w:p w14:paraId="6E0A5DCF" w14:textId="4F074CE7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</w:rPr>
      </w:pPr>
      <w:proofErr w:type="spellStart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Hayati</w:t>
      </w:r>
      <w:proofErr w:type="spellEnd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 xml:space="preserve">, A. M., &amp; </w:t>
      </w:r>
      <w:proofErr w:type="spellStart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>Jalilifar</w:t>
      </w:r>
      <w:proofErr w:type="spellEnd"/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  <w:lang w:val="en-US"/>
        </w:rPr>
        <w:t xml:space="preserve">, A. (2009). </w:t>
      </w: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</w:rPr>
        <w:t xml:space="preserve">The impact of cultural knowledge on listening comprehension of EFL learners. </w:t>
      </w:r>
      <w:r w:rsidRPr="00C90DFA">
        <w:rPr>
          <w:rFonts w:asciiTheme="majorBidi" w:eastAsia="Times New Roman" w:hAnsiTheme="majorBidi" w:cstheme="majorBidi"/>
          <w:i/>
          <w:iCs/>
          <w:color w:val="3A3A3A"/>
          <w:sz w:val="24"/>
          <w:szCs w:val="24"/>
          <w:shd w:val="clear" w:color="auto" w:fill="FFFFFF"/>
        </w:rPr>
        <w:t>English Language Teaching, 2</w:t>
      </w:r>
      <w:r w:rsidRPr="00C90DFA">
        <w:rPr>
          <w:rFonts w:asciiTheme="majorBidi" w:eastAsia="Times New Roman" w:hAnsiTheme="majorBidi" w:cstheme="majorBidi"/>
          <w:color w:val="3A3A3A"/>
          <w:sz w:val="24"/>
          <w:szCs w:val="24"/>
          <w:shd w:val="clear" w:color="auto" w:fill="FFFFFF"/>
        </w:rPr>
        <w:t xml:space="preserve">(1), 101–111. </w:t>
      </w:r>
    </w:p>
    <w:p w14:paraId="1EBDB3BB" w14:textId="77777777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Jin, Z., &amp; Webb, S. (2021). Does writing words in notes contribute to vocabulary learning? </w:t>
      </w:r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Language Teaching Research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>. Advance online publication.</w:t>
      </w:r>
    </w:p>
    <w:p w14:paraId="6EA4C534" w14:textId="77777777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Kang, E.Y. (2010). Effects of output and note-taking on noticing and interlanguage development. </w:t>
      </w:r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TESOL and Applied Linguistics, 10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>(2). 19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softHyphen/>
        <w:t>–36.</w:t>
      </w:r>
    </w:p>
    <w:p w14:paraId="422E458A" w14:textId="77777777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Kashani, S., &amp; </w:t>
      </w:r>
      <w:proofErr w:type="spellStart"/>
      <w:r w:rsidRPr="00C90DFA">
        <w:rPr>
          <w:rFonts w:asciiTheme="majorBidi" w:eastAsia="Times New Roman" w:hAnsiTheme="majorBidi" w:cstheme="majorBidi"/>
          <w:sz w:val="24"/>
          <w:szCs w:val="24"/>
        </w:rPr>
        <w:t>Shafiee</w:t>
      </w:r>
      <w:proofErr w:type="spellEnd"/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, S. (2016). A comparison of vocabulary learning strategies among elementary Iranian EFL learners. </w:t>
      </w:r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Journal of Language Teaching and Research, 7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>(3), 511–518.</w:t>
      </w:r>
    </w:p>
    <w:p w14:paraId="042E9D79" w14:textId="77777777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C90DFA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Kilickaya, F., &amp; Cokal-Karadas, D. (2009). </w:t>
      </w:r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effect of </w:t>
      </w:r>
      <w:proofErr w:type="gramStart"/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>note-taking</w:t>
      </w:r>
      <w:proofErr w:type="gramEnd"/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on university students’ listening comprehension of lectures. </w:t>
      </w:r>
      <w:proofErr w:type="spellStart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Kastamonu</w:t>
      </w:r>
      <w:proofErr w:type="spellEnd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Education Journal, 17</w:t>
      </w:r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>(1), 47–56.</w:t>
      </w:r>
    </w:p>
    <w:p w14:paraId="0B5BD25F" w14:textId="77777777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>Mežek</w:t>
      </w:r>
      <w:proofErr w:type="spellEnd"/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Š. (2013). Learning terminology from reading texts in English: The effects of note-taking strategies. </w:t>
      </w:r>
      <w:r w:rsidRPr="00C90DF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Nordic Journal of English Studies, 12</w:t>
      </w:r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>(1), 133–161.</w:t>
      </w:r>
    </w:p>
    <w:p w14:paraId="5CA24ED1" w14:textId="77777777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Moradi, S., </w:t>
      </w:r>
      <w:proofErr w:type="spellStart"/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>Ghahari</w:t>
      </w:r>
      <w:proofErr w:type="spellEnd"/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S., &amp; Abbas Nejad, M. (2020). 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Learner-vs. expert-constructed outlines: Testing the associations with L2 text comprehension and multiple intelligences. </w:t>
      </w:r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Studies in Second Language Learning and Teaching, 10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>(2), 359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softHyphen/>
      </w:r>
      <w:r w:rsidRPr="00C90DFA">
        <w:rPr>
          <w:rFonts w:asciiTheme="majorBidi" w:eastAsia="Times New Roman" w:hAnsiTheme="majorBidi" w:cstheme="majorBidi"/>
          <w:sz w:val="24"/>
          <w:szCs w:val="24"/>
        </w:rPr>
        <w:softHyphen/>
        <w:t>–384.</w:t>
      </w:r>
    </w:p>
    <w:p w14:paraId="59B68CA1" w14:textId="77777777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90DFA">
        <w:rPr>
          <w:rFonts w:asciiTheme="majorBidi" w:eastAsia="Times New Roman" w:hAnsiTheme="majorBidi" w:cstheme="majorBidi"/>
          <w:sz w:val="24"/>
          <w:szCs w:val="24"/>
        </w:rPr>
        <w:t>Najar</w:t>
      </w:r>
      <w:proofErr w:type="spellEnd"/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, R.L. (1997). </w:t>
      </w:r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The effects of note taking strategy instruction on comprehension in ESL texts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>, (Unpublished doctoral dissertation). Hawaii University.</w:t>
      </w:r>
    </w:p>
    <w:p w14:paraId="6566D73D" w14:textId="7949C34D" w:rsidR="00382FCC" w:rsidRPr="00C90DFA" w:rsidRDefault="00382FCC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C90DFA">
        <w:rPr>
          <w:rFonts w:ascii="Calibri" w:eastAsia="Times New Roman" w:hAnsi="Calibri" w:cs="Calibri"/>
          <w:sz w:val="24"/>
          <w:szCs w:val="24"/>
        </w:rPr>
        <w:t>﻿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Piri, A., &amp; </w:t>
      </w:r>
      <w:proofErr w:type="spellStart"/>
      <w:r w:rsidRPr="00C90DFA">
        <w:rPr>
          <w:rFonts w:asciiTheme="majorBidi" w:eastAsia="Times New Roman" w:hAnsiTheme="majorBidi" w:cstheme="majorBidi"/>
          <w:sz w:val="24"/>
          <w:szCs w:val="24"/>
        </w:rPr>
        <w:t>Shirkhani</w:t>
      </w:r>
      <w:proofErr w:type="spellEnd"/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, S. (2021). The comparative effects of note-taking and semantic mapping on EFL learners’ vocabulary learning and vocabulary retention. </w:t>
      </w:r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Journal of new advances in English Language Teaching and Applied Linguistics, 3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>(1), 506–517</w:t>
      </w:r>
    </w:p>
    <w:p w14:paraId="2FBCA085" w14:textId="11E04FEC" w:rsidR="002F1881" w:rsidRPr="00C90DFA" w:rsidRDefault="002F1881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90DFA">
        <w:rPr>
          <w:rFonts w:asciiTheme="majorBidi" w:eastAsia="Times New Roman" w:hAnsiTheme="majorBidi" w:cstheme="majorBidi"/>
          <w:sz w:val="24"/>
          <w:szCs w:val="24"/>
        </w:rPr>
        <w:t>Uysal</w:t>
      </w:r>
      <w:proofErr w:type="spellEnd"/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, N. M.; Tezel, K.V. (2020). The effects of language learning strategies instruction based on learning styles on reading comprehension. </w:t>
      </w:r>
      <w:proofErr w:type="spellStart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RumeliDE</w:t>
      </w:r>
      <w:proofErr w:type="spellEnd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Dil</w:t>
      </w:r>
      <w:proofErr w:type="spellEnd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ve</w:t>
      </w:r>
      <w:proofErr w:type="spellEnd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Edebiyat</w:t>
      </w:r>
      <w:proofErr w:type="spellEnd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Araştırmaları</w:t>
      </w:r>
      <w:proofErr w:type="spellEnd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Dergisi</w:t>
      </w:r>
      <w:proofErr w:type="spellEnd"/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>(21), 697</w:t>
      </w:r>
      <w:r w:rsidR="00E90917" w:rsidRPr="00C90DFA">
        <w:rPr>
          <w:rFonts w:asciiTheme="majorBidi" w:eastAsia="Times New Roman" w:hAnsiTheme="majorBidi" w:cstheme="majorBidi"/>
          <w:sz w:val="24"/>
          <w:szCs w:val="24"/>
        </w:rPr>
        <w:t>–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>714.</w:t>
      </w:r>
    </w:p>
    <w:p w14:paraId="4B3DDB1F" w14:textId="46907A9D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Walters, J., &amp; Bozkurt, N. (2009). The effect of keeping vocabulary notebooks on vocabulary acquisition. </w:t>
      </w:r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Language Teaching Research, 13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>(4), 403–423.</w:t>
      </w:r>
    </w:p>
    <w:p w14:paraId="1F0C1DEA" w14:textId="77777777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90DFA">
        <w:rPr>
          <w:rFonts w:asciiTheme="majorBidi" w:eastAsia="Times New Roman" w:hAnsiTheme="majorBidi" w:cstheme="majorBidi"/>
          <w:sz w:val="24"/>
          <w:szCs w:val="24"/>
        </w:rPr>
        <w:t>Wilberschied</w:t>
      </w:r>
      <w:proofErr w:type="spellEnd"/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, L. (1998). </w:t>
      </w:r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The relationships among a variation of immediate recall tasks and measures of L1 writing, L2 achievement, and cognitive strategy use in students of high school Spanish 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>(</w:t>
      </w:r>
      <w:r w:rsidRPr="00C90DFA">
        <w:rPr>
          <w:rFonts w:asciiTheme="majorBidi" w:eastAsia="Times New Roman" w:hAnsiTheme="majorBidi" w:cstheme="majorBidi"/>
          <w:sz w:val="24"/>
          <w:szCs w:val="24"/>
          <w:lang w:val="en-CA"/>
        </w:rPr>
        <w:t>Unpublished d</w:t>
      </w:r>
      <w:proofErr w:type="spellStart"/>
      <w:r w:rsidRPr="00C90DFA">
        <w:rPr>
          <w:rFonts w:asciiTheme="majorBidi" w:eastAsia="Times New Roman" w:hAnsiTheme="majorBidi" w:cstheme="majorBidi"/>
          <w:sz w:val="24"/>
          <w:szCs w:val="24"/>
        </w:rPr>
        <w:t>octoral</w:t>
      </w:r>
      <w:proofErr w:type="spellEnd"/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 dissertation</w:t>
      </w:r>
      <w:r w:rsidRPr="00C90DFA">
        <w:rPr>
          <w:rFonts w:asciiTheme="majorBidi" w:eastAsia="Times New Roman" w:hAnsiTheme="majorBidi" w:cstheme="majorBidi"/>
          <w:sz w:val="24"/>
          <w:szCs w:val="24"/>
          <w:lang w:val="en-CA"/>
        </w:rPr>
        <w:t>).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 The Ohio State University.</w:t>
      </w:r>
    </w:p>
    <w:p w14:paraId="2EE451D5" w14:textId="77777777" w:rsidR="00D35CC5" w:rsidRPr="00C90DFA" w:rsidRDefault="00D35CC5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Zarei, A. A., &amp; </w:t>
      </w:r>
      <w:proofErr w:type="spellStart"/>
      <w:r w:rsidRPr="00C90DFA">
        <w:rPr>
          <w:rFonts w:asciiTheme="majorBidi" w:eastAsia="Times New Roman" w:hAnsiTheme="majorBidi" w:cstheme="majorBidi"/>
          <w:sz w:val="24"/>
          <w:szCs w:val="24"/>
        </w:rPr>
        <w:t>Adami</w:t>
      </w:r>
      <w:proofErr w:type="spellEnd"/>
      <w:r w:rsidRPr="00C90DFA">
        <w:rPr>
          <w:rFonts w:asciiTheme="majorBidi" w:eastAsia="Times New Roman" w:hAnsiTheme="majorBidi" w:cstheme="majorBidi"/>
          <w:sz w:val="24"/>
          <w:szCs w:val="24"/>
        </w:rPr>
        <w:t xml:space="preserve">, S. (2013). The effects of semantic mapping, thematic clustering, and notebook keeping on L2 vocabulary recognition and production. </w:t>
      </w:r>
      <w:r w:rsidRPr="00C90DFA">
        <w:rPr>
          <w:rFonts w:asciiTheme="majorBidi" w:eastAsia="Times New Roman" w:hAnsiTheme="majorBidi" w:cstheme="majorBidi"/>
          <w:i/>
          <w:iCs/>
          <w:sz w:val="24"/>
          <w:szCs w:val="24"/>
        </w:rPr>
        <w:t>Journal on English Language Teaching, 3</w:t>
      </w:r>
      <w:r w:rsidRPr="00C90DFA">
        <w:rPr>
          <w:rFonts w:asciiTheme="majorBidi" w:eastAsia="Times New Roman" w:hAnsiTheme="majorBidi" w:cstheme="majorBidi"/>
          <w:sz w:val="24"/>
          <w:szCs w:val="24"/>
        </w:rPr>
        <w:t>(2), 17–27.</w:t>
      </w:r>
    </w:p>
    <w:p w14:paraId="08241839" w14:textId="0EDB0FA9" w:rsidR="00D35CC5" w:rsidRPr="00C90DFA" w:rsidRDefault="00382FCC" w:rsidP="00D35CC5">
      <w:pPr>
        <w:spacing w:line="480" w:lineRule="auto"/>
        <w:ind w:left="720" w:hanging="720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>Zohrabi</w:t>
      </w:r>
      <w:proofErr w:type="spellEnd"/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M., &amp; </w:t>
      </w:r>
      <w:proofErr w:type="spellStart"/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>Esfandyari</w:t>
      </w:r>
      <w:proofErr w:type="spellEnd"/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F. (2014). The impact of note taking on the improvement of listening comprehension of Iranian EFL learners. </w:t>
      </w:r>
      <w:r w:rsidRPr="00C90DF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International Journal of English Language and Literature Studies, 3</w:t>
      </w:r>
      <w:r w:rsidRPr="00C90DFA">
        <w:rPr>
          <w:rFonts w:asciiTheme="majorBidi" w:eastAsia="Times New Roman" w:hAnsiTheme="majorBidi" w:cstheme="majorBidi"/>
          <w:sz w:val="24"/>
          <w:szCs w:val="24"/>
          <w:lang w:val="en-US"/>
        </w:rPr>
        <w:t>(2), 165–175.</w:t>
      </w:r>
    </w:p>
    <w:p w14:paraId="32F22BB0" w14:textId="77777777" w:rsidR="001B6E11" w:rsidRPr="00C90DFA" w:rsidRDefault="001B6E11" w:rsidP="003709ED">
      <w:pPr>
        <w:pStyle w:val="CommentText"/>
        <w:rPr>
          <w:rFonts w:asciiTheme="majorBidi" w:hAnsiTheme="majorBidi" w:cstheme="majorBidi"/>
          <w:sz w:val="24"/>
          <w:szCs w:val="24"/>
          <w:lang w:val="en-CA"/>
        </w:rPr>
      </w:pPr>
    </w:p>
    <w:sectPr w:rsidR="001B6E11" w:rsidRPr="00C90DFA" w:rsidSect="00B26461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93D7E" w14:textId="77777777" w:rsidR="00F805A0" w:rsidRDefault="00F805A0" w:rsidP="001502CF">
      <w:pPr>
        <w:spacing w:after="0" w:line="240" w:lineRule="auto"/>
      </w:pPr>
      <w:r>
        <w:separator/>
      </w:r>
    </w:p>
  </w:endnote>
  <w:endnote w:type="continuationSeparator" w:id="0">
    <w:p w14:paraId="158A7428" w14:textId="77777777" w:rsidR="00F805A0" w:rsidRDefault="00F805A0" w:rsidP="001502CF">
      <w:pPr>
        <w:spacing w:after="0" w:line="240" w:lineRule="auto"/>
      </w:pPr>
      <w:r>
        <w:continuationSeparator/>
      </w:r>
    </w:p>
  </w:endnote>
  <w:endnote w:type="continuationNotice" w:id="1">
    <w:p w14:paraId="632FCCD2" w14:textId="77777777" w:rsidR="00F805A0" w:rsidRDefault="00F80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467C0" w14:textId="77777777" w:rsidR="00F805A0" w:rsidRDefault="00F805A0" w:rsidP="001502CF">
      <w:pPr>
        <w:spacing w:after="0" w:line="240" w:lineRule="auto"/>
      </w:pPr>
      <w:r>
        <w:separator/>
      </w:r>
    </w:p>
  </w:footnote>
  <w:footnote w:type="continuationSeparator" w:id="0">
    <w:p w14:paraId="6C6A37E4" w14:textId="77777777" w:rsidR="00F805A0" w:rsidRDefault="00F805A0" w:rsidP="001502CF">
      <w:pPr>
        <w:spacing w:after="0" w:line="240" w:lineRule="auto"/>
      </w:pPr>
      <w:r>
        <w:continuationSeparator/>
      </w:r>
    </w:p>
  </w:footnote>
  <w:footnote w:type="continuationNotice" w:id="1">
    <w:p w14:paraId="0AB03F67" w14:textId="77777777" w:rsidR="00F805A0" w:rsidRDefault="00F805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9888" w14:textId="29417665" w:rsidR="00A85C0A" w:rsidRPr="00ED445B" w:rsidRDefault="00A85C0A" w:rsidP="00ED445B">
    <w:pPr>
      <w:spacing w:after="0"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2FB0"/>
    <w:multiLevelType w:val="hybridMultilevel"/>
    <w:tmpl w:val="F6E69732"/>
    <w:lvl w:ilvl="0" w:tplc="6D8C2F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310C40"/>
    <w:multiLevelType w:val="hybridMultilevel"/>
    <w:tmpl w:val="29D08B60"/>
    <w:lvl w:ilvl="0" w:tplc="34062B94">
      <w:start w:val="1"/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CB"/>
    <w:rsid w:val="0000229C"/>
    <w:rsid w:val="000031BA"/>
    <w:rsid w:val="000071A3"/>
    <w:rsid w:val="00011815"/>
    <w:rsid w:val="000135D0"/>
    <w:rsid w:val="00013B31"/>
    <w:rsid w:val="000249D2"/>
    <w:rsid w:val="00025260"/>
    <w:rsid w:val="000415AD"/>
    <w:rsid w:val="00054385"/>
    <w:rsid w:val="00062027"/>
    <w:rsid w:val="000643BE"/>
    <w:rsid w:val="000721D6"/>
    <w:rsid w:val="000748CD"/>
    <w:rsid w:val="00082002"/>
    <w:rsid w:val="000A0D15"/>
    <w:rsid w:val="000A1267"/>
    <w:rsid w:val="000A7940"/>
    <w:rsid w:val="000B723E"/>
    <w:rsid w:val="000B7F3B"/>
    <w:rsid w:val="000D233F"/>
    <w:rsid w:val="000D5901"/>
    <w:rsid w:val="000E41E4"/>
    <w:rsid w:val="000F209F"/>
    <w:rsid w:val="000F57C9"/>
    <w:rsid w:val="0011036C"/>
    <w:rsid w:val="001141D7"/>
    <w:rsid w:val="00115F36"/>
    <w:rsid w:val="00116B00"/>
    <w:rsid w:val="00121C98"/>
    <w:rsid w:val="00124F28"/>
    <w:rsid w:val="001350DF"/>
    <w:rsid w:val="0014153D"/>
    <w:rsid w:val="00147EC9"/>
    <w:rsid w:val="001502CF"/>
    <w:rsid w:val="00151CF9"/>
    <w:rsid w:val="0015239F"/>
    <w:rsid w:val="00152EBD"/>
    <w:rsid w:val="00172EB7"/>
    <w:rsid w:val="00176D95"/>
    <w:rsid w:val="0018236E"/>
    <w:rsid w:val="001858DB"/>
    <w:rsid w:val="00190B4A"/>
    <w:rsid w:val="001A65C5"/>
    <w:rsid w:val="001B5B67"/>
    <w:rsid w:val="001B6E11"/>
    <w:rsid w:val="001B7FE6"/>
    <w:rsid w:val="001C108B"/>
    <w:rsid w:val="001D1604"/>
    <w:rsid w:val="001E371A"/>
    <w:rsid w:val="001F4E76"/>
    <w:rsid w:val="00212598"/>
    <w:rsid w:val="00215B3D"/>
    <w:rsid w:val="00223E12"/>
    <w:rsid w:val="00243932"/>
    <w:rsid w:val="0024714C"/>
    <w:rsid w:val="002501E4"/>
    <w:rsid w:val="00260BA8"/>
    <w:rsid w:val="00260D68"/>
    <w:rsid w:val="00263E7F"/>
    <w:rsid w:val="002935BB"/>
    <w:rsid w:val="002B144E"/>
    <w:rsid w:val="002B6F66"/>
    <w:rsid w:val="002D285F"/>
    <w:rsid w:val="002D3FFB"/>
    <w:rsid w:val="002E1B9C"/>
    <w:rsid w:val="002E3E34"/>
    <w:rsid w:val="002E418F"/>
    <w:rsid w:val="002F070D"/>
    <w:rsid w:val="002F1881"/>
    <w:rsid w:val="002F2199"/>
    <w:rsid w:val="00300B2C"/>
    <w:rsid w:val="00302DFF"/>
    <w:rsid w:val="00305A1E"/>
    <w:rsid w:val="003143D5"/>
    <w:rsid w:val="003265FF"/>
    <w:rsid w:val="00327DDF"/>
    <w:rsid w:val="003313D4"/>
    <w:rsid w:val="00347578"/>
    <w:rsid w:val="0035066B"/>
    <w:rsid w:val="003709ED"/>
    <w:rsid w:val="00377770"/>
    <w:rsid w:val="003815A4"/>
    <w:rsid w:val="00382FCC"/>
    <w:rsid w:val="003A4AA2"/>
    <w:rsid w:val="003A6146"/>
    <w:rsid w:val="003C036A"/>
    <w:rsid w:val="003D4CCC"/>
    <w:rsid w:val="003E41B9"/>
    <w:rsid w:val="003F276B"/>
    <w:rsid w:val="00400687"/>
    <w:rsid w:val="0040604C"/>
    <w:rsid w:val="00406D8F"/>
    <w:rsid w:val="00413B13"/>
    <w:rsid w:val="00444279"/>
    <w:rsid w:val="00451AFE"/>
    <w:rsid w:val="00467854"/>
    <w:rsid w:val="00473C34"/>
    <w:rsid w:val="00485D8E"/>
    <w:rsid w:val="00485F11"/>
    <w:rsid w:val="0048772B"/>
    <w:rsid w:val="004A07CB"/>
    <w:rsid w:val="004A11AC"/>
    <w:rsid w:val="004C0C96"/>
    <w:rsid w:val="004C5A0C"/>
    <w:rsid w:val="004E27E2"/>
    <w:rsid w:val="004E48D6"/>
    <w:rsid w:val="004E6D06"/>
    <w:rsid w:val="004E7F66"/>
    <w:rsid w:val="00501134"/>
    <w:rsid w:val="0050648F"/>
    <w:rsid w:val="00517898"/>
    <w:rsid w:val="00522256"/>
    <w:rsid w:val="00532288"/>
    <w:rsid w:val="005461AE"/>
    <w:rsid w:val="00557F41"/>
    <w:rsid w:val="00560609"/>
    <w:rsid w:val="00573C9F"/>
    <w:rsid w:val="00590EF2"/>
    <w:rsid w:val="00592C18"/>
    <w:rsid w:val="005A0614"/>
    <w:rsid w:val="005A1CEE"/>
    <w:rsid w:val="005B02E5"/>
    <w:rsid w:val="005B23DB"/>
    <w:rsid w:val="005B6ED9"/>
    <w:rsid w:val="005B75F6"/>
    <w:rsid w:val="005C15CE"/>
    <w:rsid w:val="005C562D"/>
    <w:rsid w:val="005C7586"/>
    <w:rsid w:val="005D0C03"/>
    <w:rsid w:val="005D591C"/>
    <w:rsid w:val="005D7EB6"/>
    <w:rsid w:val="005E00A3"/>
    <w:rsid w:val="005E0288"/>
    <w:rsid w:val="00601F1B"/>
    <w:rsid w:val="006117BB"/>
    <w:rsid w:val="0061353F"/>
    <w:rsid w:val="00626B0B"/>
    <w:rsid w:val="00653716"/>
    <w:rsid w:val="0066217D"/>
    <w:rsid w:val="00662A3D"/>
    <w:rsid w:val="00663E90"/>
    <w:rsid w:val="0067621E"/>
    <w:rsid w:val="00693447"/>
    <w:rsid w:val="00694AB5"/>
    <w:rsid w:val="006A4CA6"/>
    <w:rsid w:val="006C16E9"/>
    <w:rsid w:val="006D4DDF"/>
    <w:rsid w:val="006D6877"/>
    <w:rsid w:val="006E32DC"/>
    <w:rsid w:val="007064F3"/>
    <w:rsid w:val="007220AF"/>
    <w:rsid w:val="007239E0"/>
    <w:rsid w:val="007323D0"/>
    <w:rsid w:val="00753584"/>
    <w:rsid w:val="00757902"/>
    <w:rsid w:val="00761646"/>
    <w:rsid w:val="007634DD"/>
    <w:rsid w:val="00777379"/>
    <w:rsid w:val="007A33DC"/>
    <w:rsid w:val="007B764B"/>
    <w:rsid w:val="007C36DE"/>
    <w:rsid w:val="007C5429"/>
    <w:rsid w:val="007E4118"/>
    <w:rsid w:val="007E4AD2"/>
    <w:rsid w:val="007F146A"/>
    <w:rsid w:val="007F184B"/>
    <w:rsid w:val="00804602"/>
    <w:rsid w:val="00804FAD"/>
    <w:rsid w:val="008166C4"/>
    <w:rsid w:val="008210A8"/>
    <w:rsid w:val="00827301"/>
    <w:rsid w:val="0084378C"/>
    <w:rsid w:val="008516B2"/>
    <w:rsid w:val="00852FC1"/>
    <w:rsid w:val="0085435A"/>
    <w:rsid w:val="00857128"/>
    <w:rsid w:val="008579BF"/>
    <w:rsid w:val="00863952"/>
    <w:rsid w:val="008819DC"/>
    <w:rsid w:val="008866B3"/>
    <w:rsid w:val="008965A1"/>
    <w:rsid w:val="008A5001"/>
    <w:rsid w:val="008C1F12"/>
    <w:rsid w:val="008E0A10"/>
    <w:rsid w:val="008F23FC"/>
    <w:rsid w:val="008F6824"/>
    <w:rsid w:val="0091278B"/>
    <w:rsid w:val="0091665F"/>
    <w:rsid w:val="00942F72"/>
    <w:rsid w:val="00947E5D"/>
    <w:rsid w:val="009514A0"/>
    <w:rsid w:val="00960F04"/>
    <w:rsid w:val="00966395"/>
    <w:rsid w:val="00967285"/>
    <w:rsid w:val="009736F7"/>
    <w:rsid w:val="009870E0"/>
    <w:rsid w:val="00990ED6"/>
    <w:rsid w:val="009A3C66"/>
    <w:rsid w:val="009A5541"/>
    <w:rsid w:val="009A5F2C"/>
    <w:rsid w:val="009B1899"/>
    <w:rsid w:val="009B33A4"/>
    <w:rsid w:val="009C3021"/>
    <w:rsid w:val="009C62CB"/>
    <w:rsid w:val="009D0293"/>
    <w:rsid w:val="009D23A3"/>
    <w:rsid w:val="009D4017"/>
    <w:rsid w:val="009E2DB7"/>
    <w:rsid w:val="009E4162"/>
    <w:rsid w:val="009E47DB"/>
    <w:rsid w:val="009E6A8F"/>
    <w:rsid w:val="009F45AC"/>
    <w:rsid w:val="009F5D8B"/>
    <w:rsid w:val="00A0488D"/>
    <w:rsid w:val="00A070A8"/>
    <w:rsid w:val="00A25EB0"/>
    <w:rsid w:val="00A43FA4"/>
    <w:rsid w:val="00A50C4A"/>
    <w:rsid w:val="00A56097"/>
    <w:rsid w:val="00A56ECC"/>
    <w:rsid w:val="00A610A6"/>
    <w:rsid w:val="00A73A0E"/>
    <w:rsid w:val="00A76E50"/>
    <w:rsid w:val="00A7746A"/>
    <w:rsid w:val="00A808ED"/>
    <w:rsid w:val="00A81A2B"/>
    <w:rsid w:val="00A85C0A"/>
    <w:rsid w:val="00A86EB2"/>
    <w:rsid w:val="00A939B8"/>
    <w:rsid w:val="00AA0B84"/>
    <w:rsid w:val="00AB0925"/>
    <w:rsid w:val="00AB2F62"/>
    <w:rsid w:val="00AB755A"/>
    <w:rsid w:val="00AC020E"/>
    <w:rsid w:val="00AC1351"/>
    <w:rsid w:val="00AC317F"/>
    <w:rsid w:val="00AF2B59"/>
    <w:rsid w:val="00B05D84"/>
    <w:rsid w:val="00B1263E"/>
    <w:rsid w:val="00B1397D"/>
    <w:rsid w:val="00B26461"/>
    <w:rsid w:val="00B3429D"/>
    <w:rsid w:val="00B35E3F"/>
    <w:rsid w:val="00B4325B"/>
    <w:rsid w:val="00B553EC"/>
    <w:rsid w:val="00B654BD"/>
    <w:rsid w:val="00B8561E"/>
    <w:rsid w:val="00B86DA8"/>
    <w:rsid w:val="00BA0BEF"/>
    <w:rsid w:val="00BB0A17"/>
    <w:rsid w:val="00BB0FFA"/>
    <w:rsid w:val="00BB1C88"/>
    <w:rsid w:val="00BC1377"/>
    <w:rsid w:val="00BE3B8C"/>
    <w:rsid w:val="00BE6D89"/>
    <w:rsid w:val="00BF2338"/>
    <w:rsid w:val="00BF3D13"/>
    <w:rsid w:val="00BF5440"/>
    <w:rsid w:val="00C04944"/>
    <w:rsid w:val="00C068E2"/>
    <w:rsid w:val="00C145BA"/>
    <w:rsid w:val="00C26BE4"/>
    <w:rsid w:val="00C306EA"/>
    <w:rsid w:val="00C40704"/>
    <w:rsid w:val="00C40C8C"/>
    <w:rsid w:val="00C42DD8"/>
    <w:rsid w:val="00C71917"/>
    <w:rsid w:val="00C73533"/>
    <w:rsid w:val="00C747DC"/>
    <w:rsid w:val="00C85231"/>
    <w:rsid w:val="00C90DFA"/>
    <w:rsid w:val="00CA341D"/>
    <w:rsid w:val="00CB313E"/>
    <w:rsid w:val="00CB452F"/>
    <w:rsid w:val="00CD0F7B"/>
    <w:rsid w:val="00CE0103"/>
    <w:rsid w:val="00CF44E0"/>
    <w:rsid w:val="00D015B7"/>
    <w:rsid w:val="00D05D7F"/>
    <w:rsid w:val="00D105A7"/>
    <w:rsid w:val="00D11F7C"/>
    <w:rsid w:val="00D13F20"/>
    <w:rsid w:val="00D34F7A"/>
    <w:rsid w:val="00D35CC5"/>
    <w:rsid w:val="00D46555"/>
    <w:rsid w:val="00D476E5"/>
    <w:rsid w:val="00D50BA8"/>
    <w:rsid w:val="00D56DA8"/>
    <w:rsid w:val="00D60F98"/>
    <w:rsid w:val="00D62ECA"/>
    <w:rsid w:val="00D65E3F"/>
    <w:rsid w:val="00D70235"/>
    <w:rsid w:val="00D85561"/>
    <w:rsid w:val="00D95CFC"/>
    <w:rsid w:val="00DA06C8"/>
    <w:rsid w:val="00DA33C0"/>
    <w:rsid w:val="00DA7455"/>
    <w:rsid w:val="00DB1940"/>
    <w:rsid w:val="00DB2B46"/>
    <w:rsid w:val="00DC169C"/>
    <w:rsid w:val="00DC1BB1"/>
    <w:rsid w:val="00DC4809"/>
    <w:rsid w:val="00DC78B7"/>
    <w:rsid w:val="00DD13C1"/>
    <w:rsid w:val="00DD3331"/>
    <w:rsid w:val="00DE23F6"/>
    <w:rsid w:val="00DE270A"/>
    <w:rsid w:val="00DF135E"/>
    <w:rsid w:val="00DF1A94"/>
    <w:rsid w:val="00DF3BB6"/>
    <w:rsid w:val="00DF5DA6"/>
    <w:rsid w:val="00DF7095"/>
    <w:rsid w:val="00E00A7E"/>
    <w:rsid w:val="00E220D0"/>
    <w:rsid w:val="00E32BF4"/>
    <w:rsid w:val="00E403AC"/>
    <w:rsid w:val="00E407F5"/>
    <w:rsid w:val="00E5271C"/>
    <w:rsid w:val="00E6181A"/>
    <w:rsid w:val="00E6262F"/>
    <w:rsid w:val="00E64E4B"/>
    <w:rsid w:val="00E662AF"/>
    <w:rsid w:val="00E677D1"/>
    <w:rsid w:val="00E7033B"/>
    <w:rsid w:val="00E734EB"/>
    <w:rsid w:val="00E75189"/>
    <w:rsid w:val="00E76F7B"/>
    <w:rsid w:val="00E77036"/>
    <w:rsid w:val="00E87B33"/>
    <w:rsid w:val="00E90917"/>
    <w:rsid w:val="00E9263C"/>
    <w:rsid w:val="00E96939"/>
    <w:rsid w:val="00E979D6"/>
    <w:rsid w:val="00EA1AA1"/>
    <w:rsid w:val="00EB134B"/>
    <w:rsid w:val="00EB5DBD"/>
    <w:rsid w:val="00EC2062"/>
    <w:rsid w:val="00EC36C1"/>
    <w:rsid w:val="00EC5B18"/>
    <w:rsid w:val="00ED022F"/>
    <w:rsid w:val="00ED445B"/>
    <w:rsid w:val="00ED5752"/>
    <w:rsid w:val="00ED5F11"/>
    <w:rsid w:val="00EE5629"/>
    <w:rsid w:val="00EF01DD"/>
    <w:rsid w:val="00EF52FA"/>
    <w:rsid w:val="00EF5C2F"/>
    <w:rsid w:val="00EF714A"/>
    <w:rsid w:val="00F016B2"/>
    <w:rsid w:val="00F02F06"/>
    <w:rsid w:val="00F069A3"/>
    <w:rsid w:val="00F2092A"/>
    <w:rsid w:val="00F217B5"/>
    <w:rsid w:val="00F2364E"/>
    <w:rsid w:val="00F43333"/>
    <w:rsid w:val="00F46B41"/>
    <w:rsid w:val="00F46C86"/>
    <w:rsid w:val="00F51306"/>
    <w:rsid w:val="00F51402"/>
    <w:rsid w:val="00F5333E"/>
    <w:rsid w:val="00F6154C"/>
    <w:rsid w:val="00F6342A"/>
    <w:rsid w:val="00F71F8D"/>
    <w:rsid w:val="00F75D67"/>
    <w:rsid w:val="00F7691B"/>
    <w:rsid w:val="00F805A0"/>
    <w:rsid w:val="00F80E44"/>
    <w:rsid w:val="00F9391F"/>
    <w:rsid w:val="00FA2961"/>
    <w:rsid w:val="00FC0917"/>
    <w:rsid w:val="00FD4917"/>
    <w:rsid w:val="00FD6192"/>
    <w:rsid w:val="129FA78C"/>
    <w:rsid w:val="36D074E4"/>
    <w:rsid w:val="4143B2D3"/>
    <w:rsid w:val="4E938B47"/>
    <w:rsid w:val="63AEC362"/>
    <w:rsid w:val="752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12A6"/>
  <w15:chartTrackingRefBased/>
  <w15:docId w15:val="{7141612E-14AF-4F58-AB89-676E2171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61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16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DC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DC"/>
    <w:rPr>
      <w:rFonts w:eastAsiaTheme="minorEastAsia"/>
      <w:b/>
      <w:bCs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6461"/>
    <w:rPr>
      <w:rFonts w:ascii="Times New Roman" w:eastAsiaTheme="majorEastAsia" w:hAnsi="Times New Roman" w:cstheme="majorBidi"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B26461"/>
    <w:pPr>
      <w:spacing w:after="0" w:line="240" w:lineRule="auto"/>
    </w:pPr>
    <w:rPr>
      <w:rFonts w:ascii="Times New Roman" w:eastAsiaTheme="minorHAnsi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7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02/jrsm.1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7D9531CD94C499CFDB907A2C00D64" ma:contentTypeVersion="10" ma:contentTypeDescription="Create a new document." ma:contentTypeScope="" ma:versionID="3b0298a9f6bcce24d3bbd95dbb3a7924">
  <xsd:schema xmlns:xsd="http://www.w3.org/2001/XMLSchema" xmlns:xs="http://www.w3.org/2001/XMLSchema" xmlns:p="http://schemas.microsoft.com/office/2006/metadata/properties" xmlns:ns2="2168960d-4cff-43fd-b169-c11612404d39" targetNamespace="http://schemas.microsoft.com/office/2006/metadata/properties" ma:root="true" ma:fieldsID="abc59cbb4301042f7b44c721fd1b284e" ns2:_="">
    <xsd:import namespace="2168960d-4cff-43fd-b169-c11612404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8960d-4cff-43fd-b169-c11612404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52317-B359-46E1-99BA-E4834630E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0ED53-C613-440E-9DA4-3DCE5B6D0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8960d-4cff-43fd-b169-c11612404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3A6BE-F1CC-4D8E-8679-5C70EF7D84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1532</Words>
  <Characters>8428</Characters>
  <Application>Microsoft Office Word</Application>
  <DocSecurity>0</DocSecurity>
  <Lines>271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Elumalai Subbiya</cp:lastModifiedBy>
  <cp:revision>15</cp:revision>
  <dcterms:created xsi:type="dcterms:W3CDTF">2023-08-21T11:55:00Z</dcterms:created>
  <dcterms:modified xsi:type="dcterms:W3CDTF">2023-10-17T12:59:00Z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0x010100C997D9531CD94C499CFDB907A2C00D64</vt:lpwstr>
  </property>
</Properties>
</file>