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FD9" w14:textId="7C1EE707" w:rsidR="00FE34C2" w:rsidRPr="00212613" w:rsidRDefault="00FE34C2" w:rsidP="004D57EA">
      <w:pPr>
        <w:pStyle w:val="APALevel2"/>
        <w:snapToGrid w:val="0"/>
        <w:spacing w:line="276" w:lineRule="auto"/>
        <w:jc w:val="center"/>
        <w:rPr>
          <w:rFonts w:cs="Times New Roman"/>
          <w:b w:val="0"/>
        </w:rPr>
      </w:pPr>
      <w:bookmarkStart w:id="0" w:name="_Toc478896544"/>
      <w:bookmarkStart w:id="1" w:name="_Toc480121557"/>
      <w:bookmarkStart w:id="2" w:name="_Toc497057360"/>
      <w:bookmarkStart w:id="3" w:name="_Toc518488698"/>
      <w:bookmarkStart w:id="4" w:name="_Toc521315083"/>
      <w:bookmarkStart w:id="5" w:name="_Toc48644551"/>
      <w:bookmarkStart w:id="6" w:name="_Toc57501746"/>
      <w:bookmarkStart w:id="7" w:name="_Toc57935302"/>
      <w:r w:rsidRPr="00212613">
        <w:rPr>
          <w:rFonts w:cs="Times New Roman"/>
          <w:b w:val="0"/>
        </w:rPr>
        <w:t xml:space="preserve">Online Supplementary Materials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43C57">
        <w:rPr>
          <w:rFonts w:cs="Times New Roman"/>
          <w:b w:val="0"/>
        </w:rPr>
        <w:t>B</w:t>
      </w:r>
    </w:p>
    <w:p w14:paraId="4168100D" w14:textId="77777777" w:rsidR="0004301B" w:rsidRPr="00212613" w:rsidRDefault="0004301B" w:rsidP="004D57EA">
      <w:pPr>
        <w:pStyle w:val="APALevel2"/>
        <w:snapToGrid w:val="0"/>
        <w:spacing w:line="276" w:lineRule="auto"/>
        <w:jc w:val="center"/>
        <w:rPr>
          <w:rFonts w:cs="Times New Roman"/>
          <w:b w:val="0"/>
        </w:rPr>
      </w:pPr>
    </w:p>
    <w:p w14:paraId="2AC3DD3D" w14:textId="613BE9C4" w:rsidR="00465C00" w:rsidRPr="00212613" w:rsidRDefault="00465C00" w:rsidP="001775DF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 w:rsidRPr="00212613">
        <w:rPr>
          <w:rFonts w:cs="Times New Roman"/>
          <w:b w:val="0"/>
        </w:rPr>
        <w:t>C-M 95% CIs</w:t>
      </w:r>
      <w:r w:rsidR="00747007">
        <w:rPr>
          <w:rFonts w:cs="Times New Roman"/>
          <w:b w:val="0"/>
        </w:rPr>
        <w:t xml:space="preserve"> for Within-subject Designs</w:t>
      </w:r>
    </w:p>
    <w:p w14:paraId="370B2954" w14:textId="67B3B2A9" w:rsidR="00465C00" w:rsidRDefault="000647D7" w:rsidP="0059346E">
      <w:pPr>
        <w:pStyle w:val="APALevel2"/>
        <w:snapToGrid w:val="0"/>
        <w:spacing w:line="276" w:lineRule="auto"/>
        <w:ind w:firstLine="720"/>
        <w:rPr>
          <w:rFonts w:cs="Times New Roman"/>
          <w:b w:val="0"/>
        </w:rPr>
      </w:pPr>
      <w:r w:rsidRPr="00212613">
        <w:rPr>
          <w:rFonts w:cs="Times New Roman"/>
          <w:b w:val="0"/>
          <w:bCs/>
        </w:rPr>
        <w:t>I</w:t>
      </w:r>
      <w:r w:rsidR="009656C1" w:rsidRPr="00212613">
        <w:rPr>
          <w:rFonts w:cs="Times New Roman"/>
          <w:b w:val="0"/>
          <w:bCs/>
        </w:rPr>
        <w:t xml:space="preserve">n </w:t>
      </w:r>
      <w:r w:rsidR="00482104" w:rsidRPr="00212613">
        <w:rPr>
          <w:rFonts w:cs="Times New Roman"/>
          <w:b w:val="0"/>
          <w:bCs/>
        </w:rPr>
        <w:t>the</w:t>
      </w:r>
      <w:r w:rsidR="00D8459E" w:rsidRPr="00212613">
        <w:rPr>
          <w:rFonts w:cs="Times New Roman"/>
          <w:b w:val="0"/>
          <w:bCs/>
        </w:rPr>
        <w:t>ir</w:t>
      </w:r>
      <w:r w:rsidR="00482104" w:rsidRPr="00212613">
        <w:rPr>
          <w:rFonts w:cs="Times New Roman"/>
          <w:b w:val="0"/>
          <w:bCs/>
        </w:rPr>
        <w:t xml:space="preserve"> seminal </w:t>
      </w:r>
      <w:r w:rsidR="00A80A6E" w:rsidRPr="00212613">
        <w:rPr>
          <w:rFonts w:cs="Times New Roman"/>
          <w:b w:val="0"/>
          <w:bCs/>
        </w:rPr>
        <w:t>article</w:t>
      </w:r>
      <w:r w:rsidR="00482104" w:rsidRPr="00212613">
        <w:rPr>
          <w:rFonts w:cs="Times New Roman"/>
          <w:b w:val="0"/>
          <w:bCs/>
        </w:rPr>
        <w:t xml:space="preserve">, </w:t>
      </w:r>
      <w:r w:rsidR="009656C1" w:rsidRPr="00212613">
        <w:rPr>
          <w:rFonts w:cs="Times New Roman"/>
          <w:b w:val="0"/>
          <w:bCs/>
        </w:rPr>
        <w:t xml:space="preserve">Loftus and Masson (1994) </w:t>
      </w:r>
      <w:r w:rsidR="00482104" w:rsidRPr="00212613">
        <w:rPr>
          <w:rFonts w:cs="Times New Roman"/>
          <w:b w:val="0"/>
          <w:bCs/>
        </w:rPr>
        <w:t>highlighted</w:t>
      </w:r>
      <w:r w:rsidR="006130E9" w:rsidRPr="00212613">
        <w:rPr>
          <w:rFonts w:cs="Times New Roman"/>
          <w:b w:val="0"/>
          <w:bCs/>
        </w:rPr>
        <w:t xml:space="preserve"> </w:t>
      </w:r>
      <w:r w:rsidR="00482104" w:rsidRPr="00212613">
        <w:rPr>
          <w:rFonts w:cs="Times New Roman"/>
          <w:b w:val="0"/>
          <w:bCs/>
        </w:rPr>
        <w:t>the</w:t>
      </w:r>
      <w:r w:rsidR="009656C1" w:rsidRPr="00212613">
        <w:rPr>
          <w:rFonts w:cs="Times New Roman"/>
          <w:b w:val="0"/>
          <w:bCs/>
        </w:rPr>
        <w:t xml:space="preserve"> </w:t>
      </w:r>
      <w:r w:rsidR="004D784A" w:rsidRPr="00212613">
        <w:rPr>
          <w:rFonts w:cs="Times New Roman"/>
          <w:b w:val="0"/>
          <w:bCs/>
        </w:rPr>
        <w:t xml:space="preserve">importance of adopting different methods to </w:t>
      </w:r>
      <w:r w:rsidR="00E23919" w:rsidRPr="00212613">
        <w:rPr>
          <w:rFonts w:cs="Times New Roman"/>
          <w:b w:val="0"/>
          <w:bCs/>
        </w:rPr>
        <w:t>calculat</w:t>
      </w:r>
      <w:r w:rsidR="004D784A" w:rsidRPr="00212613">
        <w:rPr>
          <w:rFonts w:cs="Times New Roman"/>
          <w:b w:val="0"/>
          <w:bCs/>
        </w:rPr>
        <w:t>e</w:t>
      </w:r>
      <w:r w:rsidR="00E23919" w:rsidRPr="00212613">
        <w:rPr>
          <w:rFonts w:cs="Times New Roman"/>
          <w:b w:val="0"/>
          <w:bCs/>
        </w:rPr>
        <w:t xml:space="preserve"> confidence intervals (CIs) for</w:t>
      </w:r>
      <w:r w:rsidR="009656C1" w:rsidRPr="00212613">
        <w:rPr>
          <w:rFonts w:cs="Times New Roman"/>
          <w:b w:val="0"/>
          <w:bCs/>
        </w:rPr>
        <w:t xml:space="preserve"> within-</w:t>
      </w:r>
      <w:r w:rsidR="00E23919" w:rsidRPr="00212613">
        <w:rPr>
          <w:rFonts w:cs="Times New Roman"/>
          <w:b w:val="0"/>
          <w:bCs/>
        </w:rPr>
        <w:t>subject</w:t>
      </w:r>
      <w:r w:rsidR="009656C1" w:rsidRPr="00212613">
        <w:rPr>
          <w:rFonts w:cs="Times New Roman"/>
          <w:b w:val="0"/>
          <w:bCs/>
        </w:rPr>
        <w:t xml:space="preserve"> and between-subjects</w:t>
      </w:r>
      <w:r w:rsidR="00E23919" w:rsidRPr="00212613">
        <w:rPr>
          <w:rFonts w:cs="Times New Roman"/>
          <w:b w:val="0"/>
          <w:bCs/>
        </w:rPr>
        <w:t xml:space="preserve"> designs</w:t>
      </w:r>
      <w:r w:rsidR="00BF691B" w:rsidRPr="00212613">
        <w:rPr>
          <w:rFonts w:cs="Times New Roman"/>
          <w:b w:val="0"/>
          <w:bCs/>
        </w:rPr>
        <w:t xml:space="preserve">. </w:t>
      </w:r>
      <w:r w:rsidR="00192F5D" w:rsidRPr="00212613">
        <w:rPr>
          <w:rFonts w:cs="Times New Roman"/>
          <w:b w:val="0"/>
          <w:bCs/>
        </w:rPr>
        <w:t>Therefore</w:t>
      </w:r>
      <w:r w:rsidR="003256E2" w:rsidRPr="00212613">
        <w:rPr>
          <w:rFonts w:cs="Times New Roman"/>
          <w:b w:val="0"/>
          <w:bCs/>
        </w:rPr>
        <w:t xml:space="preserve">, </w:t>
      </w:r>
      <w:r w:rsidR="00D11850" w:rsidRPr="00212613">
        <w:rPr>
          <w:rFonts w:cs="Times New Roman"/>
          <w:b w:val="0"/>
          <w:bCs/>
        </w:rPr>
        <w:t xml:space="preserve">we calculated </w:t>
      </w:r>
      <w:r w:rsidR="003256E2" w:rsidRPr="00212613">
        <w:rPr>
          <w:rFonts w:cs="Times New Roman"/>
          <w:b w:val="0"/>
          <w:bCs/>
        </w:rPr>
        <w:t xml:space="preserve">within-subject CIs </w:t>
      </w:r>
      <w:r w:rsidR="00BF691B" w:rsidRPr="00212613">
        <w:rPr>
          <w:rFonts w:cs="Times New Roman"/>
          <w:b w:val="0"/>
          <w:bCs/>
        </w:rPr>
        <w:t xml:space="preserve">according to Baguley’s (2012) proposal, which other researchers (e.g., Cousineau &amp; O’Brien, 2014) commended as appropriate. Specifically, we followed Baguley’s (2012) recommendation of applying the adjusted Cousineau-Morey method to explore the pattern among means and mean differences, by using the cm.ci function in R (v4.0.2; R Core Team, 2019) to calculate the C-M 95% CIs for </w:t>
      </w:r>
      <w:r w:rsidR="006C5A8B" w:rsidRPr="00212613">
        <w:rPr>
          <w:rFonts w:cs="Times New Roman"/>
          <w:b w:val="0"/>
          <w:bCs/>
        </w:rPr>
        <w:t xml:space="preserve">vocabulary </w:t>
      </w:r>
      <w:r w:rsidR="00BF691B" w:rsidRPr="00212613">
        <w:rPr>
          <w:rFonts w:cs="Times New Roman"/>
          <w:b w:val="0"/>
          <w:bCs/>
        </w:rPr>
        <w:t>gain scores.</w:t>
      </w:r>
      <w:r w:rsidR="003256E2" w:rsidRPr="00212613">
        <w:rPr>
          <w:rFonts w:cs="Times New Roman"/>
          <w:b w:val="0"/>
          <w:bCs/>
        </w:rPr>
        <w:t xml:space="preserve"> </w:t>
      </w:r>
      <w:r w:rsidR="00465C00" w:rsidRPr="00212613">
        <w:rPr>
          <w:rFonts w:cs="Times New Roman"/>
          <w:b w:val="0"/>
          <w:bCs/>
        </w:rPr>
        <w:t>For complete R codes of the cm.ci function in Baguley (2012), see</w:t>
      </w:r>
      <w:r w:rsidR="00465C00" w:rsidRPr="00212613">
        <w:rPr>
          <w:rFonts w:cs="Times New Roman"/>
          <w:b w:val="0"/>
        </w:rPr>
        <w:t xml:space="preserve"> </w:t>
      </w:r>
      <w:hyperlink r:id="rId7" w:history="1">
        <w:r w:rsidR="00EA665F" w:rsidRPr="00EE0274">
          <w:rPr>
            <w:rStyle w:val="Hyperlink"/>
            <w:rFonts w:cs="Times New Roman"/>
            <w:b w:val="0"/>
          </w:rPr>
          <w:t>https://osf.io/6768q/?show=view</w:t>
        </w:r>
      </w:hyperlink>
    </w:p>
    <w:p w14:paraId="423D4FE3" w14:textId="77777777" w:rsidR="00465C00" w:rsidRPr="00212613" w:rsidRDefault="00465C00" w:rsidP="00EA665F">
      <w:pPr>
        <w:pStyle w:val="APALevel2"/>
        <w:snapToGrid w:val="0"/>
        <w:spacing w:line="276" w:lineRule="auto"/>
        <w:rPr>
          <w:rFonts w:cs="Times New Roman"/>
          <w:b w:val="0"/>
        </w:rPr>
      </w:pPr>
    </w:p>
    <w:p w14:paraId="2FC56638" w14:textId="3515CC24" w:rsidR="0000469F" w:rsidRPr="00212613" w:rsidRDefault="0058073C" w:rsidP="0000469F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  <w:bCs/>
        </w:rPr>
      </w:pPr>
      <w:r w:rsidRPr="00212613">
        <w:rPr>
          <w:rFonts w:cs="Times New Roman"/>
          <w:b w:val="0"/>
          <w:bCs/>
          <w:i/>
          <w:iCs/>
        </w:rPr>
        <w:t>Z</w:t>
      </w:r>
      <w:r w:rsidR="0000469F" w:rsidRPr="00212613">
        <w:rPr>
          <w:rFonts w:cs="Times New Roman"/>
          <w:b w:val="0"/>
          <w:bCs/>
        </w:rPr>
        <w:t xml:space="preserve"> Values </w:t>
      </w:r>
      <w:r w:rsidR="0000469F">
        <w:rPr>
          <w:rFonts w:cs="Times New Roman"/>
          <w:b w:val="0"/>
          <w:bCs/>
        </w:rPr>
        <w:t xml:space="preserve">for </w:t>
      </w:r>
      <w:r w:rsidR="0000469F" w:rsidRPr="00212613">
        <w:rPr>
          <w:rFonts w:cs="Times New Roman"/>
          <w:b w:val="0"/>
          <w:bCs/>
        </w:rPr>
        <w:t xml:space="preserve">Skewness </w:t>
      </w:r>
      <w:r w:rsidR="0000469F">
        <w:rPr>
          <w:rFonts w:cs="Times New Roman"/>
          <w:b w:val="0"/>
          <w:bCs/>
        </w:rPr>
        <w:t>a</w:t>
      </w:r>
      <w:r w:rsidR="0000469F" w:rsidRPr="00212613">
        <w:rPr>
          <w:rFonts w:cs="Times New Roman"/>
          <w:b w:val="0"/>
          <w:bCs/>
        </w:rPr>
        <w:t>nd Kurtosis</w:t>
      </w:r>
    </w:p>
    <w:p w14:paraId="42EF4524" w14:textId="27AF1518" w:rsidR="0000469F" w:rsidRDefault="0000469F" w:rsidP="0000469F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 w:rsidRPr="00212613">
        <w:rPr>
          <w:rFonts w:cs="Times New Roman"/>
          <w:b w:val="0"/>
          <w:bCs/>
        </w:rPr>
        <w:t xml:space="preserve">To check data normality, we divided skewness and kurtosis statistics by their standard errors to calculate </w:t>
      </w:r>
      <w:r w:rsidRPr="00212613">
        <w:rPr>
          <w:rFonts w:cs="Times New Roman"/>
          <w:b w:val="0"/>
          <w:bCs/>
          <w:i/>
          <w:iCs/>
        </w:rPr>
        <w:t>z</w:t>
      </w:r>
      <w:r w:rsidRPr="00212613">
        <w:rPr>
          <w:rFonts w:cs="Times New Roman"/>
          <w:b w:val="0"/>
          <w:bCs/>
        </w:rPr>
        <w:t xml:space="preserve"> values (Field, 2018; Hair et al., 2019), and interpreted absolute </w:t>
      </w:r>
      <w:r w:rsidRPr="00212613">
        <w:rPr>
          <w:rFonts w:cs="Times New Roman"/>
          <w:b w:val="0"/>
          <w:bCs/>
          <w:i/>
          <w:iCs/>
        </w:rPr>
        <w:t>z</w:t>
      </w:r>
      <w:r w:rsidRPr="00212613">
        <w:rPr>
          <w:rFonts w:cs="Times New Roman"/>
          <w:b w:val="0"/>
          <w:bCs/>
        </w:rPr>
        <w:t xml:space="preserve"> values larger than 2.58 as indicating significant skewness and kurtosis (</w:t>
      </w:r>
      <w:r w:rsidRPr="00212613">
        <w:rPr>
          <w:rFonts w:cs="Times New Roman"/>
          <w:b w:val="0"/>
          <w:bCs/>
          <w:i/>
          <w:iCs/>
        </w:rPr>
        <w:t>p</w:t>
      </w:r>
      <w:r w:rsidRPr="00212613">
        <w:rPr>
          <w:rFonts w:cs="Times New Roman"/>
          <w:b w:val="0"/>
          <w:bCs/>
        </w:rPr>
        <w:t xml:space="preserve"> &lt; .01) in a small-to-moderate sample (Tabachnick &amp; Fidell, 2018).</w:t>
      </w:r>
    </w:p>
    <w:p w14:paraId="02C8F5BE" w14:textId="77777777" w:rsidR="00E86537" w:rsidRDefault="00E86537" w:rsidP="0000469F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</w:p>
    <w:p w14:paraId="703C44E6" w14:textId="77777777" w:rsidR="0000469F" w:rsidRDefault="0000469F" w:rsidP="0000469F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Repeated-Measures ANOVA</w:t>
      </w:r>
    </w:p>
    <w:p w14:paraId="532C2F0E" w14:textId="2C665EDD" w:rsidR="0000469F" w:rsidRDefault="0000469F" w:rsidP="0000469F">
      <w:pPr>
        <w:pStyle w:val="APALevel2"/>
        <w:snapToGrid w:val="0"/>
        <w:spacing w:line="276" w:lineRule="auto"/>
        <w:ind w:firstLine="720"/>
        <w:rPr>
          <w:b w:val="0"/>
          <w:bCs/>
          <w:color w:val="000000"/>
        </w:rPr>
      </w:pPr>
      <w:r>
        <w:rPr>
          <w:b w:val="0"/>
          <w:bCs/>
          <w:color w:val="000000"/>
        </w:rPr>
        <w:t>R</w:t>
      </w:r>
      <w:r w:rsidRPr="00E34D4A">
        <w:rPr>
          <w:b w:val="0"/>
          <w:bCs/>
          <w:color w:val="000000"/>
        </w:rPr>
        <w:t xml:space="preserve">esults showed that the assumption of sphericity was not violated (Mauchly’s test of sphericity, </w:t>
      </w:r>
      <w:r w:rsidRPr="00E34D4A">
        <w:rPr>
          <w:b w:val="0"/>
          <w:bCs/>
          <w:i/>
          <w:color w:val="000000"/>
        </w:rPr>
        <w:t>W</w:t>
      </w:r>
      <w:r w:rsidRPr="00E34D4A">
        <w:rPr>
          <w:b w:val="0"/>
          <w:bCs/>
          <w:color w:val="000000"/>
        </w:rPr>
        <w:t xml:space="preserve"> = 0.928, </w:t>
      </w:r>
      <w:r w:rsidRPr="00E34D4A">
        <w:rPr>
          <w:b w:val="0"/>
          <w:bCs/>
          <w:i/>
          <w:color w:val="000000"/>
        </w:rPr>
        <w:t>p</w:t>
      </w:r>
      <w:r w:rsidRPr="00E34D4A">
        <w:rPr>
          <w:b w:val="0"/>
          <w:bCs/>
          <w:color w:val="000000"/>
        </w:rPr>
        <w:t xml:space="preserve"> = .082). Following the recommendation of reporting corrected results regardless of Mauchly’s test statistics, we reported the results with the </w:t>
      </w:r>
      <w:r w:rsidR="00A81C1B">
        <w:rPr>
          <w:b w:val="0"/>
          <w:bCs/>
          <w:color w:val="000000"/>
        </w:rPr>
        <w:t>Huynh-Feldt</w:t>
      </w:r>
      <w:r w:rsidRPr="00E34D4A">
        <w:rPr>
          <w:b w:val="0"/>
          <w:bCs/>
          <w:color w:val="000000"/>
        </w:rPr>
        <w:t xml:space="preserve"> correction</w:t>
      </w:r>
      <w:r w:rsidR="00874A46">
        <w:rPr>
          <w:b w:val="0"/>
          <w:bCs/>
          <w:color w:val="000000"/>
        </w:rPr>
        <w:t xml:space="preserve"> given </w:t>
      </w:r>
      <w:r w:rsidR="00874A46" w:rsidRPr="00874A46">
        <w:rPr>
          <w:b w:val="0"/>
          <w:bCs/>
          <w:i/>
          <w:iCs/>
          <w:color w:val="000000"/>
        </w:rPr>
        <w:t>W</w:t>
      </w:r>
      <w:r w:rsidR="00874A46">
        <w:rPr>
          <w:b w:val="0"/>
          <w:bCs/>
          <w:color w:val="000000"/>
        </w:rPr>
        <w:t xml:space="preserve"> &gt; 0.75</w:t>
      </w:r>
      <w:r w:rsidRPr="00E34D4A">
        <w:rPr>
          <w:b w:val="0"/>
          <w:bCs/>
          <w:color w:val="000000"/>
        </w:rPr>
        <w:t xml:space="preserve"> (Field, 2018).</w:t>
      </w:r>
      <w:r w:rsidR="005A6D55">
        <w:rPr>
          <w:b w:val="0"/>
          <w:bCs/>
          <w:color w:val="000000"/>
        </w:rPr>
        <w:t xml:space="preserve"> </w:t>
      </w:r>
    </w:p>
    <w:p w14:paraId="51A6E17D" w14:textId="77777777" w:rsidR="00A67DCD" w:rsidRDefault="00A67DCD" w:rsidP="0000469F">
      <w:pPr>
        <w:pStyle w:val="APALevel2"/>
        <w:snapToGrid w:val="0"/>
        <w:spacing w:line="276" w:lineRule="auto"/>
        <w:ind w:firstLine="720"/>
        <w:rPr>
          <w:b w:val="0"/>
          <w:bCs/>
          <w:color w:val="000000"/>
        </w:rPr>
      </w:pPr>
    </w:p>
    <w:p w14:paraId="6DC00AB0" w14:textId="3DB8152F" w:rsidR="00465C00" w:rsidRPr="00212613" w:rsidRDefault="00465C00" w:rsidP="001775DF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 w:rsidRPr="00212613">
        <w:rPr>
          <w:rFonts w:cs="Times New Roman"/>
          <w:b w:val="0"/>
        </w:rPr>
        <w:t>Bootstrapped Descriptive Statistics</w:t>
      </w:r>
      <w:r w:rsidR="00654DDB" w:rsidRPr="00212613">
        <w:rPr>
          <w:rFonts w:cs="Times New Roman"/>
          <w:b w:val="0"/>
        </w:rPr>
        <w:t>;</w:t>
      </w:r>
      <w:r w:rsidRPr="00212613">
        <w:rPr>
          <w:rFonts w:cs="Times New Roman"/>
          <w:b w:val="0"/>
        </w:rPr>
        <w:t xml:space="preserve"> Bootstrapped Pearson’s Correlation</w:t>
      </w:r>
      <w:r w:rsidR="000348C0" w:rsidRPr="00212613">
        <w:rPr>
          <w:rFonts w:cs="Times New Roman"/>
          <w:b w:val="0"/>
        </w:rPr>
        <w:t>s</w:t>
      </w:r>
    </w:p>
    <w:p w14:paraId="7B66EE95" w14:textId="77777777" w:rsidR="00465C00" w:rsidRPr="00212613" w:rsidRDefault="00465C00" w:rsidP="004D57EA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 w:rsidRPr="00212613">
        <w:rPr>
          <w:rFonts w:cs="Times New Roman"/>
          <w:b w:val="0"/>
          <w:bCs/>
        </w:rPr>
        <w:t xml:space="preserve">10,000 samples were used for the calculation (LaFlair et al., 2015; Larson-Hall, 2016). </w:t>
      </w:r>
    </w:p>
    <w:p w14:paraId="36DBB2A8" w14:textId="77777777" w:rsidR="00465C00" w:rsidRPr="00212613" w:rsidRDefault="00465C00" w:rsidP="004D57EA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</w:p>
    <w:p w14:paraId="0C7CAB75" w14:textId="132C2364" w:rsidR="003645CF" w:rsidRPr="00212613" w:rsidRDefault="003645CF" w:rsidP="001775DF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 w:rsidRPr="00212613">
        <w:rPr>
          <w:rFonts w:cs="Times New Roman"/>
          <w:b w:val="0"/>
        </w:rPr>
        <w:t>Binomial Distribution</w:t>
      </w:r>
    </w:p>
    <w:p w14:paraId="25CA5C1B" w14:textId="0B110D75" w:rsidR="003645CF" w:rsidRPr="00212613" w:rsidRDefault="00E443A0" w:rsidP="004D57EA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 w:rsidRPr="00212613">
        <w:rPr>
          <w:rFonts w:cs="Times New Roman"/>
          <w:b w:val="0"/>
          <w:bCs/>
        </w:rPr>
        <w:t>For the 0</w:t>
      </w:r>
      <w:r w:rsidR="00BF54CF" w:rsidRPr="00212613">
        <w:rPr>
          <w:rFonts w:cs="Times New Roman"/>
          <w:b w:val="0"/>
          <w:bCs/>
        </w:rPr>
        <w:t xml:space="preserve"> or </w:t>
      </w:r>
      <w:r w:rsidRPr="00212613">
        <w:rPr>
          <w:rFonts w:cs="Times New Roman"/>
          <w:b w:val="0"/>
          <w:bCs/>
        </w:rPr>
        <w:t>1 scor</w:t>
      </w:r>
      <w:r w:rsidR="00BF54CF" w:rsidRPr="00212613">
        <w:rPr>
          <w:rFonts w:cs="Times New Roman"/>
          <w:b w:val="0"/>
          <w:bCs/>
        </w:rPr>
        <w:t>es</w:t>
      </w:r>
      <w:r w:rsidRPr="00212613">
        <w:rPr>
          <w:rFonts w:cs="Times New Roman"/>
          <w:b w:val="0"/>
          <w:bCs/>
        </w:rPr>
        <w:t xml:space="preserve"> used with</w:t>
      </w:r>
      <w:r w:rsidR="002B4418">
        <w:rPr>
          <w:rFonts w:cs="Times New Roman"/>
          <w:b w:val="0"/>
          <w:bCs/>
        </w:rPr>
        <w:t xml:space="preserve"> all</w:t>
      </w:r>
      <w:r w:rsidRPr="00212613">
        <w:rPr>
          <w:rFonts w:cs="Times New Roman"/>
          <w:b w:val="0"/>
          <w:bCs/>
        </w:rPr>
        <w:t xml:space="preserve"> recognition and </w:t>
      </w:r>
      <w:r w:rsidR="002B4418">
        <w:rPr>
          <w:rFonts w:cs="Times New Roman"/>
          <w:b w:val="0"/>
          <w:bCs/>
        </w:rPr>
        <w:t xml:space="preserve">the </w:t>
      </w:r>
      <w:r w:rsidRPr="00212613">
        <w:rPr>
          <w:rFonts w:cs="Times New Roman"/>
          <w:b w:val="0"/>
          <w:bCs/>
        </w:rPr>
        <w:t>meaning recall items (Test Formats [3], [4], [5], [7], [8]), a</w:t>
      </w:r>
      <w:r w:rsidR="003645CF" w:rsidRPr="00212613">
        <w:rPr>
          <w:rFonts w:cs="Times New Roman"/>
          <w:b w:val="0"/>
          <w:bCs/>
        </w:rPr>
        <w:t xml:space="preserve"> binomial distribution is generally appropriate to describe the dichotomous possibilities (Cunnings &amp; Finlayson, 2015; Gelman &amp; Hill, 2007; </w:t>
      </w:r>
      <w:r w:rsidR="00EF2721" w:rsidRPr="00D64194">
        <w:rPr>
          <w:rFonts w:cs="Times New Roman"/>
          <w:b w:val="0"/>
          <w:bCs/>
        </w:rPr>
        <w:t>Zuur &amp; Ieno</w:t>
      </w:r>
      <w:r w:rsidR="00EF2721">
        <w:rPr>
          <w:rFonts w:cs="Times New Roman"/>
          <w:b w:val="0"/>
          <w:bCs/>
        </w:rPr>
        <w:t xml:space="preserve">, 2016; </w:t>
      </w:r>
      <w:r w:rsidR="003645CF" w:rsidRPr="00212613">
        <w:rPr>
          <w:rFonts w:cs="Times New Roman"/>
          <w:b w:val="0"/>
          <w:bCs/>
        </w:rPr>
        <w:t>Zuur et al., 2009).</w:t>
      </w:r>
    </w:p>
    <w:p w14:paraId="5F3C3EEA" w14:textId="77777777" w:rsidR="003645CF" w:rsidRPr="00212613" w:rsidRDefault="003645CF" w:rsidP="004D57EA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</w:p>
    <w:p w14:paraId="38097C67" w14:textId="748B17BB" w:rsidR="00913641" w:rsidRPr="00212613" w:rsidRDefault="00913641" w:rsidP="00913641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>
        <w:rPr>
          <w:rFonts w:cs="Times New Roman"/>
          <w:b w:val="0"/>
        </w:rPr>
        <w:t xml:space="preserve">Converted </w:t>
      </w:r>
      <w:r w:rsidR="00856D5B">
        <w:rPr>
          <w:rFonts w:cs="Times New Roman"/>
          <w:b w:val="0"/>
        </w:rPr>
        <w:t>Scores</w:t>
      </w:r>
      <w:r w:rsidRPr="00212613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with Excessive Zeros</w:t>
      </w:r>
    </w:p>
    <w:p w14:paraId="5EF657BA" w14:textId="7300FE4A" w:rsidR="00913641" w:rsidRDefault="00291D44" w:rsidP="00913641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Regarding</w:t>
      </w:r>
      <w:r w:rsidR="00913641" w:rsidRPr="00212613">
        <w:rPr>
          <w:rFonts w:cs="Times New Roman"/>
          <w:b w:val="0"/>
          <w:bCs/>
        </w:rPr>
        <w:t xml:space="preserve"> the form recall items that used fraction scoring between 0 and 1 (Test Formats [1], [2], [6]), </w:t>
      </w:r>
      <w:r w:rsidR="00AF089B">
        <w:rPr>
          <w:rFonts w:cs="Times New Roman"/>
          <w:b w:val="0"/>
          <w:bCs/>
        </w:rPr>
        <w:t>the converted scores</w:t>
      </w:r>
      <w:r w:rsidR="008A14BC">
        <w:rPr>
          <w:rFonts w:cs="Times New Roman"/>
          <w:b w:val="0"/>
          <w:bCs/>
        </w:rPr>
        <w:t xml:space="preserve"> in integers</w:t>
      </w:r>
      <w:r w:rsidR="00AF089B">
        <w:rPr>
          <w:rFonts w:cs="Times New Roman"/>
          <w:b w:val="0"/>
          <w:bCs/>
        </w:rPr>
        <w:t xml:space="preserve"> </w:t>
      </w:r>
      <w:r w:rsidR="00913641">
        <w:rPr>
          <w:rFonts w:cs="Times New Roman"/>
          <w:b w:val="0"/>
          <w:bCs/>
        </w:rPr>
        <w:t xml:space="preserve">contained </w:t>
      </w:r>
      <w:r w:rsidR="00913641" w:rsidRPr="00212613">
        <w:rPr>
          <w:rFonts w:cs="Times New Roman"/>
          <w:b w:val="0"/>
          <w:bCs/>
        </w:rPr>
        <w:t>excessive zeros (</w:t>
      </w:r>
      <w:r w:rsidR="00913641">
        <w:rPr>
          <w:rFonts w:cs="Times New Roman"/>
          <w:b w:val="0"/>
          <w:bCs/>
        </w:rPr>
        <w:t xml:space="preserve">6020, </w:t>
      </w:r>
      <w:r w:rsidR="00913641" w:rsidRPr="00212613">
        <w:rPr>
          <w:rFonts w:cs="Times New Roman"/>
          <w:b w:val="0"/>
          <w:bCs/>
        </w:rPr>
        <w:t>96.94%</w:t>
      </w:r>
      <w:r w:rsidR="004A7980">
        <w:rPr>
          <w:rFonts w:cs="Times New Roman"/>
          <w:b w:val="0"/>
          <w:bCs/>
        </w:rPr>
        <w:t>;</w:t>
      </w:r>
      <w:r w:rsidR="00913641" w:rsidRPr="00212613">
        <w:rPr>
          <w:rFonts w:cs="Times New Roman"/>
          <w:b w:val="0"/>
          <w:bCs/>
        </w:rPr>
        <w:t xml:space="preserve"> </w:t>
      </w:r>
      <w:r w:rsidR="00913641">
        <w:rPr>
          <w:rFonts w:cs="Times New Roman"/>
          <w:b w:val="0"/>
          <w:bCs/>
        </w:rPr>
        <w:t xml:space="preserve">see </w:t>
      </w:r>
      <w:r w:rsidR="00913641" w:rsidRPr="00212613">
        <w:rPr>
          <w:rFonts w:cs="Times New Roman"/>
          <w:b w:val="0"/>
          <w:bCs/>
        </w:rPr>
        <w:t>Figure 1)</w:t>
      </w:r>
      <w:r w:rsidR="000E2098">
        <w:rPr>
          <w:rFonts w:cs="Times New Roman"/>
          <w:b w:val="0"/>
          <w:bCs/>
        </w:rPr>
        <w:t xml:space="preserve">, and can be modeled </w:t>
      </w:r>
      <w:r w:rsidR="000E2098" w:rsidRPr="000E2098">
        <w:rPr>
          <w:rFonts w:cs="Times New Roman"/>
          <w:b w:val="0"/>
          <w:bCs/>
        </w:rPr>
        <w:t>by</w:t>
      </w:r>
      <w:r w:rsidR="00913641" w:rsidRPr="000E2098">
        <w:rPr>
          <w:b w:val="0"/>
          <w:bCs/>
          <w:color w:val="000000"/>
        </w:rPr>
        <w:t xml:space="preserve"> </w:t>
      </w:r>
      <w:r w:rsidR="000E2098" w:rsidRPr="000E2098">
        <w:rPr>
          <w:b w:val="0"/>
          <w:bCs/>
          <w:color w:val="000000"/>
        </w:rPr>
        <w:t>a h</w:t>
      </w:r>
      <w:r w:rsidR="00913641" w:rsidRPr="000E2098">
        <w:rPr>
          <w:b w:val="0"/>
          <w:bCs/>
          <w:color w:val="000000"/>
        </w:rPr>
        <w:t>urdle</w:t>
      </w:r>
      <w:r w:rsidR="00913641" w:rsidRPr="00116558">
        <w:rPr>
          <w:b w:val="0"/>
          <w:bCs/>
          <w:color w:val="000000"/>
        </w:rPr>
        <w:t xml:space="preserve"> model</w:t>
      </w:r>
      <w:r w:rsidR="000E2098">
        <w:rPr>
          <w:b w:val="0"/>
          <w:bCs/>
          <w:color w:val="000000"/>
        </w:rPr>
        <w:t xml:space="preserve"> that consist</w:t>
      </w:r>
      <w:r w:rsidR="00CA6CB7">
        <w:rPr>
          <w:b w:val="0"/>
          <w:bCs/>
          <w:color w:val="000000"/>
        </w:rPr>
        <w:t>s</w:t>
      </w:r>
      <w:r w:rsidR="000E2098">
        <w:rPr>
          <w:b w:val="0"/>
          <w:bCs/>
          <w:color w:val="000000"/>
        </w:rPr>
        <w:t xml:space="preserve"> of</w:t>
      </w:r>
      <w:r w:rsidR="00913641" w:rsidRPr="00116558">
        <w:rPr>
          <w:b w:val="0"/>
          <w:bCs/>
          <w:color w:val="000000"/>
        </w:rPr>
        <w:t xml:space="preserve"> </w:t>
      </w:r>
      <w:r w:rsidR="00EA7EA0">
        <w:rPr>
          <w:b w:val="0"/>
          <w:bCs/>
          <w:color w:val="000000"/>
        </w:rPr>
        <w:t xml:space="preserve">a </w:t>
      </w:r>
      <w:r w:rsidR="00913641" w:rsidRPr="00116558">
        <w:rPr>
          <w:b w:val="0"/>
          <w:bCs/>
          <w:color w:val="000000"/>
        </w:rPr>
        <w:t>binary part</w:t>
      </w:r>
      <w:r w:rsidR="00EA7EA0">
        <w:rPr>
          <w:b w:val="0"/>
          <w:bCs/>
          <w:color w:val="000000"/>
        </w:rPr>
        <w:t xml:space="preserve"> </w:t>
      </w:r>
      <w:r w:rsidR="00913641" w:rsidRPr="00116558">
        <w:rPr>
          <w:b w:val="0"/>
          <w:bCs/>
          <w:color w:val="000000"/>
        </w:rPr>
        <w:t xml:space="preserve">and </w:t>
      </w:r>
      <w:r w:rsidR="00EA7EA0">
        <w:rPr>
          <w:b w:val="0"/>
          <w:bCs/>
          <w:color w:val="000000"/>
        </w:rPr>
        <w:t xml:space="preserve">a </w:t>
      </w:r>
      <w:r w:rsidR="00913641" w:rsidRPr="00116558">
        <w:rPr>
          <w:b w:val="0"/>
          <w:bCs/>
          <w:color w:val="000000"/>
        </w:rPr>
        <w:t>positive part (</w:t>
      </w:r>
      <w:r w:rsidR="00913641" w:rsidRPr="00212613">
        <w:rPr>
          <w:rFonts w:cs="Times New Roman"/>
          <w:b w:val="0"/>
          <w:bCs/>
        </w:rPr>
        <w:t xml:space="preserve">Neelon &amp; O’Malley, 2019; </w:t>
      </w:r>
      <w:r w:rsidR="00913641" w:rsidRPr="00116558">
        <w:rPr>
          <w:b w:val="0"/>
          <w:bCs/>
          <w:color w:val="000000"/>
        </w:rPr>
        <w:t>Neelon et al., 2016; Zuur &amp; Ieno, 2016</w:t>
      </w:r>
      <w:r w:rsidR="00913641">
        <w:rPr>
          <w:b w:val="0"/>
          <w:bCs/>
          <w:color w:val="000000"/>
        </w:rPr>
        <w:t xml:space="preserve">; </w:t>
      </w:r>
      <w:r w:rsidR="00913641" w:rsidRPr="00116558">
        <w:rPr>
          <w:b w:val="0"/>
          <w:bCs/>
          <w:color w:val="000000"/>
        </w:rPr>
        <w:t>Zuur et al., 2009)</w:t>
      </w:r>
      <w:r w:rsidR="00913641">
        <w:rPr>
          <w:rFonts w:cs="Times New Roman"/>
          <w:b w:val="0"/>
          <w:bCs/>
        </w:rPr>
        <w:t xml:space="preserve">. </w:t>
      </w:r>
      <w:r w:rsidR="00913641" w:rsidRPr="00212613">
        <w:rPr>
          <w:rFonts w:cs="Times New Roman"/>
          <w:b w:val="0"/>
          <w:bCs/>
        </w:rPr>
        <w:t xml:space="preserve">For the binary part of the </w:t>
      </w:r>
      <w:r w:rsidR="00913641">
        <w:rPr>
          <w:rFonts w:cs="Times New Roman"/>
          <w:b w:val="0"/>
          <w:bCs/>
        </w:rPr>
        <w:t>hurdle</w:t>
      </w:r>
      <w:r w:rsidR="00913641" w:rsidRPr="00212613">
        <w:rPr>
          <w:rFonts w:cs="Times New Roman"/>
          <w:b w:val="0"/>
          <w:bCs/>
        </w:rPr>
        <w:t xml:space="preserve"> model, a Bernoulli distribution</w:t>
      </w:r>
      <w:r w:rsidR="00AF1052">
        <w:rPr>
          <w:rFonts w:cs="Times New Roman"/>
          <w:b w:val="0"/>
          <w:bCs/>
        </w:rPr>
        <w:t xml:space="preserve"> </w:t>
      </w:r>
      <w:r w:rsidR="00913641" w:rsidRPr="00212613">
        <w:rPr>
          <w:rFonts w:cs="Times New Roman"/>
          <w:b w:val="0"/>
          <w:bCs/>
        </w:rPr>
        <w:t>is usually used</w:t>
      </w:r>
      <w:r w:rsidR="00913641">
        <w:rPr>
          <w:rFonts w:cs="Times New Roman"/>
          <w:b w:val="0"/>
          <w:bCs/>
        </w:rPr>
        <w:t>; and</w:t>
      </w:r>
      <w:r w:rsidR="00913641" w:rsidRPr="00212613">
        <w:rPr>
          <w:rFonts w:cs="Times New Roman"/>
          <w:b w:val="0"/>
          <w:bCs/>
        </w:rPr>
        <w:t xml:space="preserve"> </w:t>
      </w:r>
      <w:r w:rsidR="00913641">
        <w:rPr>
          <w:rFonts w:cs="Times New Roman"/>
          <w:b w:val="0"/>
          <w:bCs/>
        </w:rPr>
        <w:t>f</w:t>
      </w:r>
      <w:r w:rsidR="00913641" w:rsidRPr="00212613">
        <w:rPr>
          <w:rFonts w:cs="Times New Roman"/>
          <w:b w:val="0"/>
          <w:bCs/>
        </w:rPr>
        <w:t xml:space="preserve">or the </w:t>
      </w:r>
      <w:r w:rsidR="00913641">
        <w:rPr>
          <w:rFonts w:cs="Times New Roman"/>
          <w:b w:val="0"/>
          <w:bCs/>
        </w:rPr>
        <w:t>positive</w:t>
      </w:r>
      <w:r w:rsidR="00913641" w:rsidRPr="00212613">
        <w:rPr>
          <w:rFonts w:cs="Times New Roman"/>
          <w:b w:val="0"/>
          <w:bCs/>
        </w:rPr>
        <w:t xml:space="preserve"> part,</w:t>
      </w:r>
      <w:r w:rsidR="00913641">
        <w:rPr>
          <w:rFonts w:cs="Times New Roman"/>
          <w:b w:val="0"/>
          <w:bCs/>
        </w:rPr>
        <w:t xml:space="preserve"> </w:t>
      </w:r>
      <w:r w:rsidR="00913641">
        <w:rPr>
          <w:rFonts w:cs="Times New Roman"/>
          <w:b w:val="0"/>
          <w:bCs/>
        </w:rPr>
        <w:lastRenderedPageBreak/>
        <w:t xml:space="preserve">when overdispersion (i.e., the variance is larger than the mean) does not exist, a truncated Poisson distribution can be adopted, or in the case of overdispersion, a truncated negative binomial distribution </w:t>
      </w:r>
      <w:r w:rsidR="00913641" w:rsidRPr="00212613">
        <w:rPr>
          <w:rFonts w:cs="Times New Roman"/>
          <w:b w:val="0"/>
          <w:bCs/>
        </w:rPr>
        <w:t>(</w:t>
      </w:r>
      <w:r w:rsidR="00913641" w:rsidRPr="00116558">
        <w:rPr>
          <w:b w:val="0"/>
          <w:bCs/>
          <w:color w:val="000000"/>
        </w:rPr>
        <w:t>Zuur &amp; Ieno, 2016</w:t>
      </w:r>
      <w:r w:rsidR="00913641">
        <w:rPr>
          <w:b w:val="0"/>
          <w:bCs/>
          <w:color w:val="000000"/>
        </w:rPr>
        <w:t xml:space="preserve">; </w:t>
      </w:r>
      <w:r w:rsidR="00913641" w:rsidRPr="00116558">
        <w:rPr>
          <w:b w:val="0"/>
          <w:bCs/>
          <w:color w:val="000000"/>
        </w:rPr>
        <w:t>Zuur et al., 2009</w:t>
      </w:r>
      <w:r w:rsidR="00913641" w:rsidRPr="00212613">
        <w:rPr>
          <w:rFonts w:cs="Times New Roman"/>
          <w:b w:val="0"/>
          <w:bCs/>
        </w:rPr>
        <w:t xml:space="preserve">). </w:t>
      </w:r>
      <w:r w:rsidR="00913641">
        <w:rPr>
          <w:rFonts w:cs="Times New Roman"/>
          <w:b w:val="0"/>
          <w:bCs/>
        </w:rPr>
        <w:t>Alternatively, the Conway-</w:t>
      </w:r>
      <w:r w:rsidR="00913641" w:rsidRPr="006E463A">
        <w:rPr>
          <w:rFonts w:cs="Times New Roman"/>
          <w:b w:val="0"/>
          <w:bCs/>
        </w:rPr>
        <w:t>Maxwell-Poisson distribution</w:t>
      </w:r>
      <w:r w:rsidR="00913641">
        <w:rPr>
          <w:rFonts w:cs="Times New Roman"/>
          <w:b w:val="0"/>
          <w:bCs/>
        </w:rPr>
        <w:t xml:space="preserve"> has been recommended for its</w:t>
      </w:r>
      <w:r w:rsidR="00913641" w:rsidRPr="006E463A">
        <w:rPr>
          <w:rFonts w:cs="Times New Roman"/>
          <w:b w:val="0"/>
          <w:bCs/>
        </w:rPr>
        <w:t xml:space="preserve"> flexibility in coping with </w:t>
      </w:r>
      <w:r w:rsidR="00913641">
        <w:rPr>
          <w:rFonts w:cs="Times New Roman"/>
          <w:b w:val="0"/>
          <w:bCs/>
        </w:rPr>
        <w:t xml:space="preserve">both </w:t>
      </w:r>
      <w:r w:rsidR="00913641" w:rsidRPr="006E463A">
        <w:rPr>
          <w:rFonts w:cs="Times New Roman"/>
          <w:b w:val="0"/>
          <w:bCs/>
        </w:rPr>
        <w:t>under- and over-dispersion</w:t>
      </w:r>
      <w:r w:rsidR="00913641">
        <w:rPr>
          <w:rFonts w:cs="Times New Roman"/>
          <w:b w:val="0"/>
          <w:bCs/>
        </w:rPr>
        <w:t xml:space="preserve"> in a Poisson distribution, and its truncated form can be used in the positive part of hurdle models </w:t>
      </w:r>
      <w:r w:rsidR="00913641" w:rsidRPr="006E463A">
        <w:rPr>
          <w:rFonts w:cs="Times New Roman"/>
          <w:b w:val="0"/>
          <w:bCs/>
        </w:rPr>
        <w:t>(</w:t>
      </w:r>
      <w:r w:rsidR="00913641" w:rsidRPr="006E463A">
        <w:rPr>
          <w:b w:val="0"/>
          <w:bCs/>
          <w:color w:val="000000"/>
        </w:rPr>
        <w:t>Sellers &amp; Premeaux, 2021</w:t>
      </w:r>
      <w:r w:rsidR="00913641" w:rsidRPr="006E463A">
        <w:rPr>
          <w:rFonts w:cs="Times New Roman"/>
          <w:b w:val="0"/>
          <w:bCs/>
        </w:rPr>
        <w:t>)</w:t>
      </w:r>
      <w:r w:rsidR="00913641">
        <w:rPr>
          <w:rFonts w:cs="Times New Roman"/>
          <w:b w:val="0"/>
          <w:bCs/>
        </w:rPr>
        <w:t>.</w:t>
      </w:r>
    </w:p>
    <w:p w14:paraId="6DD4CC94" w14:textId="06FDE15A" w:rsidR="00913641" w:rsidRDefault="00913641" w:rsidP="00DC0360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To examine the dispersion of the converted </w:t>
      </w:r>
      <w:r w:rsidR="00353A97">
        <w:rPr>
          <w:rFonts w:cs="Times New Roman"/>
          <w:b w:val="0"/>
          <w:bCs/>
        </w:rPr>
        <w:t>scores</w:t>
      </w:r>
      <w:r>
        <w:rPr>
          <w:rFonts w:cs="Times New Roman"/>
          <w:b w:val="0"/>
          <w:bCs/>
        </w:rPr>
        <w:t xml:space="preserve">, we used the glmmTMB function </w:t>
      </w:r>
      <w:r w:rsidR="00E22571" w:rsidRPr="00212613">
        <w:rPr>
          <w:rFonts w:cs="Times New Roman"/>
          <w:b w:val="0"/>
          <w:bCs/>
        </w:rPr>
        <w:t>from the glm</w:t>
      </w:r>
      <w:r w:rsidR="00E22571">
        <w:rPr>
          <w:rFonts w:cs="Times New Roman"/>
          <w:b w:val="0"/>
          <w:bCs/>
        </w:rPr>
        <w:t>mTMB</w:t>
      </w:r>
      <w:r w:rsidR="00E22571" w:rsidRPr="00212613">
        <w:rPr>
          <w:rFonts w:cs="Times New Roman"/>
          <w:b w:val="0"/>
          <w:bCs/>
        </w:rPr>
        <w:t xml:space="preserve"> package (v1.1</w:t>
      </w:r>
      <w:r w:rsidR="00E22571">
        <w:rPr>
          <w:rFonts w:cs="Times New Roman"/>
          <w:b w:val="0"/>
          <w:bCs/>
        </w:rPr>
        <w:t>.</w:t>
      </w:r>
      <w:r w:rsidR="00E22571" w:rsidRPr="00212613">
        <w:rPr>
          <w:rFonts w:cs="Times New Roman"/>
          <w:b w:val="0"/>
          <w:bCs/>
        </w:rPr>
        <w:t>2</w:t>
      </w:r>
      <w:r w:rsidR="00E22571">
        <w:rPr>
          <w:rFonts w:cs="Times New Roman"/>
          <w:b w:val="0"/>
          <w:bCs/>
        </w:rPr>
        <w:t>.</w:t>
      </w:r>
      <w:r w:rsidR="00E22571" w:rsidRPr="00212613">
        <w:rPr>
          <w:rFonts w:cs="Times New Roman"/>
          <w:b w:val="0"/>
          <w:bCs/>
        </w:rPr>
        <w:t xml:space="preserve">3; </w:t>
      </w:r>
      <w:r w:rsidR="00E22571">
        <w:rPr>
          <w:rFonts w:cs="Times New Roman"/>
          <w:b w:val="0"/>
          <w:bCs/>
        </w:rPr>
        <w:t>Brook</w:t>
      </w:r>
      <w:r w:rsidR="00E22571" w:rsidRPr="00212613">
        <w:rPr>
          <w:rFonts w:cs="Times New Roman"/>
          <w:b w:val="0"/>
          <w:bCs/>
        </w:rPr>
        <w:t>s et al., 201</w:t>
      </w:r>
      <w:r w:rsidR="00E22571">
        <w:rPr>
          <w:rFonts w:cs="Times New Roman"/>
          <w:b w:val="0"/>
          <w:bCs/>
        </w:rPr>
        <w:t>7</w:t>
      </w:r>
      <w:r w:rsidR="00E22571" w:rsidRPr="00212613">
        <w:rPr>
          <w:rFonts w:cs="Times New Roman"/>
          <w:b w:val="0"/>
          <w:bCs/>
        </w:rPr>
        <w:t>) in R (v4.</w:t>
      </w:r>
      <w:r w:rsidR="00E22571">
        <w:rPr>
          <w:rFonts w:cs="Times New Roman"/>
          <w:b w:val="0"/>
          <w:bCs/>
        </w:rPr>
        <w:t>1</w:t>
      </w:r>
      <w:r w:rsidR="00E22571" w:rsidRPr="00212613">
        <w:rPr>
          <w:rFonts w:cs="Times New Roman"/>
          <w:b w:val="0"/>
          <w:bCs/>
        </w:rPr>
        <w:t>.2; R Core Team, 20</w:t>
      </w:r>
      <w:r w:rsidR="00E22571">
        <w:rPr>
          <w:rFonts w:cs="Times New Roman"/>
          <w:b w:val="0"/>
          <w:bCs/>
        </w:rPr>
        <w:t>21</w:t>
      </w:r>
      <w:r w:rsidR="00E22571" w:rsidRPr="00212613">
        <w:rPr>
          <w:rFonts w:cs="Times New Roman"/>
          <w:b w:val="0"/>
          <w:bCs/>
        </w:rPr>
        <w:t xml:space="preserve">) </w:t>
      </w:r>
      <w:r>
        <w:rPr>
          <w:rFonts w:cs="Times New Roman"/>
          <w:b w:val="0"/>
          <w:bCs/>
        </w:rPr>
        <w:t xml:space="preserve">to build a Poisson mixed effects model, as well as the check_overdispersion and the check_zeroinflation functions in the performance package </w:t>
      </w:r>
      <w:r w:rsidR="00997630">
        <w:rPr>
          <w:rFonts w:cs="Times New Roman"/>
          <w:b w:val="0"/>
          <w:bCs/>
        </w:rPr>
        <w:t xml:space="preserve">(v0.8.0; </w:t>
      </w:r>
      <w:r w:rsidR="00997630" w:rsidRPr="00997630">
        <w:rPr>
          <w:rFonts w:cs="Times New Roman"/>
          <w:b w:val="0"/>
          <w:bCs/>
        </w:rPr>
        <w:t>Lüdecke</w:t>
      </w:r>
      <w:r w:rsidR="00997630">
        <w:rPr>
          <w:rFonts w:cs="Times New Roman"/>
          <w:b w:val="0"/>
          <w:bCs/>
        </w:rPr>
        <w:t xml:space="preserve"> et al., 2021) </w:t>
      </w:r>
      <w:r>
        <w:rPr>
          <w:rFonts w:cs="Times New Roman"/>
          <w:b w:val="0"/>
          <w:bCs/>
        </w:rPr>
        <w:t>to calculate dispersion and zero ratios. Results showed over</w:t>
      </w:r>
      <w:r w:rsidR="00EC04E6">
        <w:rPr>
          <w:rFonts w:cs="Times New Roman"/>
          <w:b w:val="0"/>
          <w:bCs/>
        </w:rPr>
        <w:t>-</w:t>
      </w:r>
      <w:r>
        <w:rPr>
          <w:rFonts w:cs="Times New Roman"/>
          <w:b w:val="0"/>
          <w:bCs/>
        </w:rPr>
        <w:t>dispersion (dispersion ratio = 1.</w:t>
      </w:r>
      <w:r w:rsidR="002948A9">
        <w:rPr>
          <w:rFonts w:cs="Times New Roman"/>
          <w:b w:val="0"/>
          <w:bCs/>
        </w:rPr>
        <w:t>31</w:t>
      </w:r>
      <w:r>
        <w:rPr>
          <w:rFonts w:cs="Times New Roman"/>
          <w:b w:val="0"/>
          <w:bCs/>
        </w:rPr>
        <w:t>1) and zero</w:t>
      </w:r>
      <w:r w:rsidR="00EC04E6">
        <w:rPr>
          <w:rFonts w:cs="Times New Roman"/>
          <w:b w:val="0"/>
          <w:bCs/>
        </w:rPr>
        <w:t>-</w:t>
      </w:r>
      <w:r>
        <w:rPr>
          <w:rFonts w:cs="Times New Roman"/>
          <w:b w:val="0"/>
          <w:bCs/>
        </w:rPr>
        <w:t xml:space="preserve">inflation </w:t>
      </w:r>
      <w:r w:rsidR="00B24750">
        <w:rPr>
          <w:rFonts w:cs="Times New Roman"/>
          <w:b w:val="0"/>
          <w:bCs/>
        </w:rPr>
        <w:t xml:space="preserve">(ratio of predicted to observed zeros = 0.94) </w:t>
      </w:r>
      <w:r>
        <w:rPr>
          <w:rFonts w:cs="Times New Roman"/>
          <w:b w:val="0"/>
          <w:bCs/>
        </w:rPr>
        <w:t>existed. Therefore,</w:t>
      </w:r>
      <w:r w:rsidRPr="006E463A">
        <w:rPr>
          <w:rFonts w:cs="Times New Roman"/>
          <w:b w:val="0"/>
          <w:bCs/>
        </w:rPr>
        <w:t xml:space="preserve"> </w:t>
      </w:r>
      <w:r w:rsidRPr="00212613">
        <w:rPr>
          <w:rFonts w:cs="Times New Roman"/>
          <w:b w:val="0"/>
          <w:bCs/>
        </w:rPr>
        <w:t>for the form recall items</w:t>
      </w:r>
      <w:r>
        <w:rPr>
          <w:rFonts w:cs="Times New Roman"/>
          <w:b w:val="0"/>
          <w:bCs/>
        </w:rPr>
        <w:t xml:space="preserve">, </w:t>
      </w:r>
      <w:r w:rsidRPr="006E463A">
        <w:rPr>
          <w:rFonts w:cs="Times New Roman"/>
          <w:b w:val="0"/>
          <w:bCs/>
        </w:rPr>
        <w:t xml:space="preserve">we </w:t>
      </w:r>
      <w:r>
        <w:rPr>
          <w:rFonts w:cs="Times New Roman"/>
          <w:b w:val="0"/>
          <w:bCs/>
        </w:rPr>
        <w:t xml:space="preserve">built </w:t>
      </w:r>
      <w:r w:rsidR="00A10694">
        <w:rPr>
          <w:rFonts w:cs="Times New Roman"/>
          <w:b w:val="0"/>
          <w:bCs/>
        </w:rPr>
        <w:t xml:space="preserve">a </w:t>
      </w:r>
      <w:r>
        <w:rPr>
          <w:rFonts w:cs="Times New Roman"/>
          <w:b w:val="0"/>
          <w:bCs/>
        </w:rPr>
        <w:t xml:space="preserve">hurdle mixed effects </w:t>
      </w:r>
      <w:r w:rsidR="00A10694">
        <w:rPr>
          <w:rFonts w:cs="Times New Roman"/>
          <w:b w:val="0"/>
          <w:bCs/>
        </w:rPr>
        <w:t xml:space="preserve">model </w:t>
      </w:r>
      <w:r>
        <w:rPr>
          <w:rFonts w:cs="Times New Roman"/>
          <w:b w:val="0"/>
          <w:bCs/>
        </w:rPr>
        <w:t>by using a truncated Conway-</w:t>
      </w:r>
      <w:r w:rsidRPr="006E463A">
        <w:rPr>
          <w:rFonts w:cs="Times New Roman"/>
          <w:b w:val="0"/>
          <w:bCs/>
        </w:rPr>
        <w:t>Maxwell-Poisson distribution</w:t>
      </w:r>
      <w:r>
        <w:rPr>
          <w:rFonts w:cs="Times New Roman"/>
          <w:b w:val="0"/>
          <w:bCs/>
        </w:rPr>
        <w:t xml:space="preserve"> for the positive part and a</w:t>
      </w:r>
      <w:r w:rsidRPr="00212613">
        <w:rPr>
          <w:rFonts w:cs="Times New Roman"/>
          <w:b w:val="0"/>
          <w:bCs/>
        </w:rPr>
        <w:t xml:space="preserve"> Bernoulli distribution for the binary part</w:t>
      </w:r>
      <w:r>
        <w:rPr>
          <w:rFonts w:cs="Times New Roman"/>
          <w:b w:val="0"/>
          <w:bCs/>
        </w:rPr>
        <w:t>.</w:t>
      </w:r>
    </w:p>
    <w:p w14:paraId="78D1F3CD" w14:textId="77777777" w:rsidR="00CB76BA" w:rsidRPr="00212613" w:rsidRDefault="00CB76BA" w:rsidP="0049463E">
      <w:pPr>
        <w:pStyle w:val="APAText"/>
        <w:snapToGrid w:val="0"/>
        <w:spacing w:line="240" w:lineRule="auto"/>
        <w:ind w:firstLine="0"/>
        <w:jc w:val="center"/>
        <w:rPr>
          <w:rFonts w:cs="Times New Roman"/>
        </w:rPr>
      </w:pPr>
      <w:r w:rsidRPr="00212613">
        <w:rPr>
          <w:rFonts w:cs="Times New Roman"/>
          <w:noProof/>
          <w:lang w:eastAsia="en-US"/>
        </w:rPr>
        <w:drawing>
          <wp:inline distT="0" distB="0" distL="0" distR="0" wp14:anchorId="7080FC51" wp14:editId="2219295E">
            <wp:extent cx="3537412" cy="2224454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" r="6331"/>
                    <a:stretch/>
                  </pic:blipFill>
                  <pic:spPr bwMode="auto">
                    <a:xfrm>
                      <a:off x="0" y="0"/>
                      <a:ext cx="3552280" cy="2233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032BA" w14:textId="77777777" w:rsidR="00DF76F4" w:rsidRDefault="00CB76BA" w:rsidP="00C22558">
      <w:pPr>
        <w:pStyle w:val="APAFigureCaption"/>
        <w:snapToGrid w:val="0"/>
        <w:spacing w:line="276" w:lineRule="auto"/>
        <w:jc w:val="center"/>
        <w:rPr>
          <w:rFonts w:cs="Times New Roman"/>
          <w:bCs/>
          <w:i/>
        </w:rPr>
      </w:pPr>
      <w:bookmarkStart w:id="8" w:name="_Toc57965603"/>
      <w:r w:rsidRPr="00212613">
        <w:rPr>
          <w:rFonts w:cs="Times New Roman"/>
          <w:bCs/>
          <w:i/>
        </w:rPr>
        <w:t xml:space="preserve">Figure </w:t>
      </w:r>
      <w:r w:rsidR="000E4E17" w:rsidRPr="00212613">
        <w:rPr>
          <w:rFonts w:cs="Times New Roman"/>
          <w:bCs/>
          <w:i/>
        </w:rPr>
        <w:t>1</w:t>
      </w:r>
      <w:r w:rsidRPr="00212613">
        <w:rPr>
          <w:rFonts w:cs="Times New Roman"/>
          <w:bCs/>
          <w:i/>
        </w:rPr>
        <w:t xml:space="preserve">. Histogram of </w:t>
      </w:r>
      <w:r w:rsidR="006C289C">
        <w:rPr>
          <w:rFonts w:cs="Times New Roman"/>
          <w:bCs/>
          <w:i/>
        </w:rPr>
        <w:t xml:space="preserve">converted </w:t>
      </w:r>
      <w:r w:rsidRPr="00212613">
        <w:rPr>
          <w:rFonts w:cs="Times New Roman"/>
          <w:bCs/>
          <w:i/>
        </w:rPr>
        <w:t xml:space="preserve">item-level vocabulary gain scores for </w:t>
      </w:r>
      <w:r w:rsidR="001209BE">
        <w:rPr>
          <w:rFonts w:cs="Times New Roman"/>
          <w:bCs/>
          <w:i/>
        </w:rPr>
        <w:t xml:space="preserve">the </w:t>
      </w:r>
      <w:r w:rsidR="00A8531F" w:rsidRPr="00212613">
        <w:rPr>
          <w:rFonts w:cs="Times New Roman"/>
          <w:bCs/>
          <w:i/>
        </w:rPr>
        <w:t>form recall items (Test Formats</w:t>
      </w:r>
      <w:r w:rsidR="000E4E17" w:rsidRPr="00212613">
        <w:rPr>
          <w:rFonts w:cs="Times New Roman"/>
          <w:bCs/>
          <w:i/>
        </w:rPr>
        <w:t xml:space="preserve"> </w:t>
      </w:r>
      <w:r w:rsidR="00A8531F" w:rsidRPr="00212613">
        <w:rPr>
          <w:rFonts w:cs="Times New Roman"/>
          <w:bCs/>
          <w:i/>
        </w:rPr>
        <w:t>[</w:t>
      </w:r>
      <w:r w:rsidR="000E4E17" w:rsidRPr="00212613">
        <w:rPr>
          <w:rFonts w:cs="Times New Roman"/>
          <w:bCs/>
          <w:i/>
        </w:rPr>
        <w:t>1</w:t>
      </w:r>
      <w:r w:rsidR="00A8531F" w:rsidRPr="00212613">
        <w:rPr>
          <w:rFonts w:cs="Times New Roman"/>
          <w:bCs/>
          <w:i/>
        </w:rPr>
        <w:t>]</w:t>
      </w:r>
      <w:r w:rsidR="000E4E17" w:rsidRPr="00212613">
        <w:rPr>
          <w:rFonts w:cs="Times New Roman"/>
          <w:bCs/>
          <w:i/>
        </w:rPr>
        <w:t xml:space="preserve">, </w:t>
      </w:r>
      <w:r w:rsidR="00A8531F" w:rsidRPr="00212613">
        <w:rPr>
          <w:rFonts w:cs="Times New Roman"/>
          <w:bCs/>
          <w:i/>
        </w:rPr>
        <w:t>[</w:t>
      </w:r>
      <w:r w:rsidR="000E4E17" w:rsidRPr="00212613">
        <w:rPr>
          <w:rFonts w:cs="Times New Roman"/>
          <w:bCs/>
          <w:i/>
        </w:rPr>
        <w:t>2</w:t>
      </w:r>
      <w:r w:rsidR="00A8531F" w:rsidRPr="00212613">
        <w:rPr>
          <w:rFonts w:cs="Times New Roman"/>
          <w:bCs/>
          <w:i/>
        </w:rPr>
        <w:t>]</w:t>
      </w:r>
      <w:r w:rsidR="000E4E17" w:rsidRPr="00212613">
        <w:rPr>
          <w:rFonts w:cs="Times New Roman"/>
          <w:bCs/>
          <w:i/>
        </w:rPr>
        <w:t xml:space="preserve">, </w:t>
      </w:r>
      <w:r w:rsidR="00A8531F" w:rsidRPr="00212613">
        <w:rPr>
          <w:rFonts w:cs="Times New Roman"/>
          <w:bCs/>
          <w:i/>
        </w:rPr>
        <w:t>[</w:t>
      </w:r>
      <w:r w:rsidR="000E4E17" w:rsidRPr="00212613">
        <w:rPr>
          <w:rFonts w:cs="Times New Roman"/>
          <w:bCs/>
          <w:i/>
        </w:rPr>
        <w:t>6</w:t>
      </w:r>
      <w:r w:rsidR="00A8531F" w:rsidRPr="00212613">
        <w:rPr>
          <w:rFonts w:cs="Times New Roman"/>
          <w:bCs/>
          <w:i/>
        </w:rPr>
        <w:t>]</w:t>
      </w:r>
      <w:r w:rsidR="000E4E17" w:rsidRPr="00212613">
        <w:rPr>
          <w:rFonts w:cs="Times New Roman"/>
          <w:bCs/>
          <w:i/>
        </w:rPr>
        <w:t>)</w:t>
      </w:r>
      <w:r w:rsidRPr="00212613">
        <w:rPr>
          <w:rFonts w:cs="Times New Roman"/>
          <w:bCs/>
          <w:i/>
        </w:rPr>
        <w:t>.</w:t>
      </w:r>
      <w:bookmarkEnd w:id="8"/>
    </w:p>
    <w:p w14:paraId="318474BF" w14:textId="77777777" w:rsidR="00DF76F4" w:rsidRDefault="00DF76F4" w:rsidP="00DF76F4">
      <w:pPr>
        <w:pStyle w:val="APAFigureCaption"/>
        <w:snapToGrid w:val="0"/>
        <w:spacing w:line="276" w:lineRule="auto"/>
        <w:rPr>
          <w:rFonts w:cs="Times New Roman"/>
          <w:bCs/>
          <w:i/>
        </w:rPr>
      </w:pPr>
    </w:p>
    <w:p w14:paraId="6105E4FA" w14:textId="611E248D" w:rsidR="004576FA" w:rsidRDefault="001F47B7" w:rsidP="00DC0360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>
        <w:rPr>
          <w:rFonts w:cs="Times New Roman"/>
          <w:b w:val="0"/>
        </w:rPr>
        <w:t>Deviation</w:t>
      </w:r>
      <w:r w:rsidR="004576FA">
        <w:rPr>
          <w:rFonts w:cs="Times New Roman"/>
          <w:b w:val="0"/>
        </w:rPr>
        <w:t xml:space="preserve"> Coding for Categorical Predictor</w:t>
      </w:r>
    </w:p>
    <w:p w14:paraId="1429A713" w14:textId="5D947FC4" w:rsidR="008C694C" w:rsidRDefault="002916AD" w:rsidP="00F7777D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Barr et al. (2013) </w:t>
      </w:r>
      <w:r w:rsidR="00750F88">
        <w:rPr>
          <w:rFonts w:cs="Times New Roman"/>
          <w:b w:val="0"/>
          <w:bCs/>
        </w:rPr>
        <w:t xml:space="preserve">used both treatment coding and deviation coding </w:t>
      </w:r>
      <w:r w:rsidR="0021635E">
        <w:rPr>
          <w:rFonts w:cs="Times New Roman"/>
          <w:b w:val="0"/>
          <w:bCs/>
        </w:rPr>
        <w:t>for mixed effects model</w:t>
      </w:r>
      <w:r w:rsidR="00A168E4">
        <w:rPr>
          <w:rFonts w:cs="Times New Roman"/>
          <w:b w:val="0"/>
          <w:bCs/>
        </w:rPr>
        <w:t>ing</w:t>
      </w:r>
      <w:r w:rsidR="009B3EDB">
        <w:rPr>
          <w:rFonts w:cs="Times New Roman"/>
          <w:b w:val="0"/>
          <w:bCs/>
        </w:rPr>
        <w:t xml:space="preserve"> in their simulation studies, and </w:t>
      </w:r>
      <w:r w:rsidR="00431C84">
        <w:rPr>
          <w:rFonts w:cs="Times New Roman"/>
          <w:b w:val="0"/>
          <w:bCs/>
        </w:rPr>
        <w:t>recommended</w:t>
      </w:r>
      <w:r w:rsidR="009B3EDB">
        <w:rPr>
          <w:rFonts w:cs="Times New Roman"/>
          <w:b w:val="0"/>
          <w:bCs/>
        </w:rPr>
        <w:t xml:space="preserve"> that </w:t>
      </w:r>
      <w:r w:rsidR="00636946">
        <w:rPr>
          <w:rFonts w:cs="Times New Roman"/>
          <w:b w:val="0"/>
          <w:bCs/>
        </w:rPr>
        <w:t>deviation coding was generally preferrable than treatment coding</w:t>
      </w:r>
      <w:r w:rsidR="00085FA3">
        <w:rPr>
          <w:rFonts w:cs="Times New Roman"/>
          <w:b w:val="0"/>
          <w:bCs/>
        </w:rPr>
        <w:t xml:space="preserve"> in </w:t>
      </w:r>
      <w:r w:rsidR="008E4AEB">
        <w:rPr>
          <w:rFonts w:cs="Times New Roman"/>
          <w:b w:val="0"/>
          <w:bCs/>
        </w:rPr>
        <w:t>comparing group means</w:t>
      </w:r>
      <w:r w:rsidR="007F0DC0">
        <w:rPr>
          <w:rFonts w:cs="Times New Roman"/>
          <w:b w:val="0"/>
          <w:bCs/>
        </w:rPr>
        <w:t>.</w:t>
      </w:r>
      <w:r w:rsidR="005D345F">
        <w:rPr>
          <w:rFonts w:cs="Times New Roman"/>
          <w:b w:val="0"/>
          <w:bCs/>
        </w:rPr>
        <w:t xml:space="preserve"> </w:t>
      </w:r>
      <w:r w:rsidR="00BA192D">
        <w:rPr>
          <w:rFonts w:cs="Times New Roman"/>
          <w:b w:val="0"/>
          <w:bCs/>
        </w:rPr>
        <w:t xml:space="preserve">Therefore, we adopted </w:t>
      </w:r>
      <w:r w:rsidR="00C3433B">
        <w:rPr>
          <w:rFonts w:cs="Times New Roman"/>
          <w:b w:val="0"/>
          <w:bCs/>
        </w:rPr>
        <w:t>deviation</w:t>
      </w:r>
      <w:r w:rsidR="00BA192D">
        <w:rPr>
          <w:rFonts w:cs="Times New Roman"/>
          <w:b w:val="0"/>
          <w:bCs/>
        </w:rPr>
        <w:t xml:space="preserve"> coding f</w:t>
      </w:r>
      <w:r w:rsidR="005D47BE">
        <w:rPr>
          <w:rFonts w:cs="Times New Roman"/>
          <w:b w:val="0"/>
          <w:bCs/>
        </w:rPr>
        <w:t xml:space="preserve">or </w:t>
      </w:r>
      <w:r w:rsidR="00CC6FEC">
        <w:rPr>
          <w:rFonts w:cs="Times New Roman"/>
          <w:b w:val="0"/>
          <w:bCs/>
        </w:rPr>
        <w:t>presentation formats</w:t>
      </w:r>
      <w:r w:rsidR="00BA192D">
        <w:rPr>
          <w:rFonts w:cs="Times New Roman"/>
          <w:b w:val="0"/>
          <w:bCs/>
        </w:rPr>
        <w:t xml:space="preserve"> as a categorical variable. Specifically,</w:t>
      </w:r>
      <w:r w:rsidR="00CC6FEC">
        <w:rPr>
          <w:rFonts w:cs="Times New Roman"/>
          <w:b w:val="0"/>
          <w:bCs/>
        </w:rPr>
        <w:t xml:space="preserve"> we </w:t>
      </w:r>
      <w:r w:rsidR="009F6474">
        <w:rPr>
          <w:rFonts w:cs="Times New Roman"/>
          <w:b w:val="0"/>
          <w:bCs/>
        </w:rPr>
        <w:t xml:space="preserve">designated the horizontal format as the reference level, </w:t>
      </w:r>
      <w:r w:rsidR="00172727">
        <w:rPr>
          <w:rFonts w:cs="Times New Roman"/>
          <w:b w:val="0"/>
          <w:bCs/>
        </w:rPr>
        <w:t>and compared</w:t>
      </w:r>
      <w:r w:rsidR="00C01DA4">
        <w:rPr>
          <w:rFonts w:cs="Times New Roman"/>
          <w:b w:val="0"/>
          <w:bCs/>
        </w:rPr>
        <w:t xml:space="preserve"> it with</w:t>
      </w:r>
      <w:r w:rsidR="00172727">
        <w:rPr>
          <w:rFonts w:cs="Times New Roman"/>
          <w:b w:val="0"/>
          <w:bCs/>
        </w:rPr>
        <w:t xml:space="preserve"> </w:t>
      </w:r>
      <w:r w:rsidR="00522D3C">
        <w:rPr>
          <w:rFonts w:cs="Times New Roman"/>
          <w:b w:val="0"/>
          <w:bCs/>
        </w:rPr>
        <w:t xml:space="preserve">the other </w:t>
      </w:r>
      <w:r w:rsidR="00C01DA4">
        <w:rPr>
          <w:rFonts w:cs="Times New Roman"/>
          <w:b w:val="0"/>
          <w:bCs/>
        </w:rPr>
        <w:t>two more integrated formats, namely,</w:t>
      </w:r>
      <w:r w:rsidR="004756F2">
        <w:rPr>
          <w:rFonts w:cs="Times New Roman"/>
          <w:b w:val="0"/>
          <w:bCs/>
        </w:rPr>
        <w:t xml:space="preserve"> the</w:t>
      </w:r>
      <w:r w:rsidR="00C01DA4">
        <w:rPr>
          <w:rFonts w:cs="Times New Roman"/>
          <w:b w:val="0"/>
          <w:bCs/>
        </w:rPr>
        <w:t xml:space="preserve"> vertical and</w:t>
      </w:r>
      <w:r w:rsidR="004756F2">
        <w:rPr>
          <w:rFonts w:cs="Times New Roman"/>
          <w:b w:val="0"/>
          <w:bCs/>
        </w:rPr>
        <w:t xml:space="preserve"> the</w:t>
      </w:r>
      <w:r w:rsidR="00C01DA4">
        <w:rPr>
          <w:rFonts w:cs="Times New Roman"/>
          <w:b w:val="0"/>
          <w:bCs/>
        </w:rPr>
        <w:t xml:space="preserve"> adjacent format</w:t>
      </w:r>
      <w:r w:rsidR="002F1AB4">
        <w:rPr>
          <w:rFonts w:cs="Times New Roman"/>
          <w:b w:val="0"/>
          <w:bCs/>
        </w:rPr>
        <w:t>s.</w:t>
      </w:r>
      <w:r w:rsidR="009F6474">
        <w:rPr>
          <w:rFonts w:cs="Times New Roman"/>
          <w:b w:val="0"/>
          <w:bCs/>
        </w:rPr>
        <w:t xml:space="preserve"> </w:t>
      </w:r>
      <w:r w:rsidR="00CD6874">
        <w:rPr>
          <w:rFonts w:cs="Times New Roman"/>
          <w:b w:val="0"/>
          <w:bCs/>
        </w:rPr>
        <w:t>As Lee and Kalyuga (2011) focused on the horizontal and the vertical formats, the current coding also allowed us to compare our results with theirs.</w:t>
      </w:r>
      <w:r w:rsidR="00721A7B">
        <w:rPr>
          <w:rFonts w:cs="Times New Roman"/>
          <w:b w:val="0"/>
          <w:bCs/>
        </w:rPr>
        <w:t xml:space="preserve"> </w:t>
      </w:r>
      <w:r w:rsidR="00E20230">
        <w:rPr>
          <w:rFonts w:cs="Times New Roman"/>
          <w:b w:val="0"/>
          <w:bCs/>
        </w:rPr>
        <w:t xml:space="preserve">Following </w:t>
      </w:r>
      <w:r w:rsidR="00AB2E1B">
        <w:rPr>
          <w:rFonts w:cs="Times New Roman"/>
          <w:b w:val="0"/>
          <w:bCs/>
        </w:rPr>
        <w:t>Barr (</w:t>
      </w:r>
      <w:r w:rsidR="00C33E13">
        <w:rPr>
          <w:rFonts w:cs="Times New Roman"/>
          <w:b w:val="0"/>
          <w:bCs/>
        </w:rPr>
        <w:t>2019</w:t>
      </w:r>
      <w:r w:rsidR="00AB2E1B">
        <w:rPr>
          <w:rFonts w:cs="Times New Roman"/>
          <w:b w:val="0"/>
          <w:bCs/>
        </w:rPr>
        <w:t>)</w:t>
      </w:r>
      <w:r w:rsidR="00E20230">
        <w:rPr>
          <w:rFonts w:cs="Times New Roman"/>
          <w:b w:val="0"/>
          <w:bCs/>
        </w:rPr>
        <w:t>, we assigned</w:t>
      </w:r>
      <w:r w:rsidR="00B370CF">
        <w:rPr>
          <w:rFonts w:cs="Times New Roman"/>
          <w:b w:val="0"/>
          <w:bCs/>
        </w:rPr>
        <w:t xml:space="preserve"> </w:t>
      </w:r>
      <w:r w:rsidR="008C694C">
        <w:rPr>
          <w:rFonts w:cs="Times New Roman"/>
          <w:b w:val="0"/>
          <w:bCs/>
        </w:rPr>
        <w:t>the cod</w:t>
      </w:r>
      <w:r w:rsidR="00310EAF">
        <w:rPr>
          <w:rFonts w:cs="Times New Roman"/>
          <w:b w:val="0"/>
          <w:bCs/>
        </w:rPr>
        <w:t>ing</w:t>
      </w:r>
      <w:r w:rsidR="00464D26">
        <w:rPr>
          <w:rFonts w:cs="Times New Roman"/>
          <w:b w:val="0"/>
          <w:bCs/>
        </w:rPr>
        <w:t xml:space="preserve"> scheme</w:t>
      </w:r>
      <w:r w:rsidR="009E70A0">
        <w:rPr>
          <w:rFonts w:cs="Times New Roman"/>
          <w:b w:val="0"/>
          <w:bCs/>
        </w:rPr>
        <w:t xml:space="preserve"> below</w:t>
      </w:r>
      <w:r w:rsidR="008823F6">
        <w:rPr>
          <w:rFonts w:cs="Times New Roman"/>
          <w:b w:val="0"/>
          <w:bCs/>
        </w:rPr>
        <w:t xml:space="preserve"> </w:t>
      </w:r>
      <w:r w:rsidR="00310EAF">
        <w:rPr>
          <w:rFonts w:cs="Times New Roman"/>
          <w:b w:val="0"/>
          <w:bCs/>
        </w:rPr>
        <w:t>to the three formats</w:t>
      </w:r>
      <w:r w:rsidR="00133C95">
        <w:rPr>
          <w:rFonts w:cs="Times New Roman"/>
          <w:b w:val="0"/>
          <w:bCs/>
        </w:rPr>
        <w:t xml:space="preserve"> </w:t>
      </w:r>
      <w:r w:rsidR="00E20230">
        <w:rPr>
          <w:rFonts w:cs="Times New Roman"/>
          <w:b w:val="0"/>
          <w:bCs/>
        </w:rPr>
        <w:t>(see Table 1)</w:t>
      </w:r>
      <w:r w:rsidR="008755A9">
        <w:rPr>
          <w:rFonts w:cs="Times New Roman"/>
          <w:b w:val="0"/>
          <w:bCs/>
        </w:rPr>
        <w:t xml:space="preserve">. </w:t>
      </w:r>
    </w:p>
    <w:p w14:paraId="7EBB49B7" w14:textId="70682829" w:rsidR="00F7777D" w:rsidRPr="00F7777D" w:rsidRDefault="00F7777D" w:rsidP="00F7777D">
      <w:pPr>
        <w:pStyle w:val="APAFigureCaption"/>
        <w:snapToGrid w:val="0"/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Tabl</w:t>
      </w:r>
      <w:r w:rsidRPr="00212613">
        <w:rPr>
          <w:rFonts w:cs="Times New Roman"/>
          <w:bCs/>
          <w:i/>
        </w:rPr>
        <w:t xml:space="preserve">e 1. </w:t>
      </w:r>
      <w:r w:rsidR="00D93A49">
        <w:rPr>
          <w:rFonts w:cs="Times New Roman"/>
          <w:bCs/>
          <w:i/>
        </w:rPr>
        <w:t xml:space="preserve">Deviation </w:t>
      </w:r>
      <w:r>
        <w:rPr>
          <w:rFonts w:cs="Times New Roman"/>
          <w:bCs/>
          <w:i/>
        </w:rPr>
        <w:t>Coding for Presentation Formats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892"/>
        <w:gridCol w:w="2790"/>
      </w:tblGrid>
      <w:tr w:rsidR="00E24D15" w14:paraId="107243A1" w14:textId="77777777" w:rsidTr="00E24D15">
        <w:trPr>
          <w:jc w:val="center"/>
        </w:trPr>
        <w:tc>
          <w:tcPr>
            <w:tcW w:w="1783" w:type="dxa"/>
            <w:vAlign w:val="center"/>
          </w:tcPr>
          <w:p w14:paraId="5725BA43" w14:textId="786F6DF3" w:rsidR="00844DF9" w:rsidRDefault="00844DF9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892" w:type="dxa"/>
            <w:vAlign w:val="center"/>
          </w:tcPr>
          <w:p w14:paraId="5D678790" w14:textId="43D806DA" w:rsidR="00844DF9" w:rsidRDefault="00E24D15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</w:rPr>
              <w:t>Vertical vs. Horizontal</w:t>
            </w:r>
          </w:p>
        </w:tc>
        <w:tc>
          <w:tcPr>
            <w:tcW w:w="2790" w:type="dxa"/>
            <w:vAlign w:val="center"/>
          </w:tcPr>
          <w:p w14:paraId="67C87661" w14:textId="521A9E57" w:rsidR="00844DF9" w:rsidRDefault="00E24D15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</w:rPr>
              <w:t>Adjacent vs. Horizontal</w:t>
            </w:r>
          </w:p>
        </w:tc>
      </w:tr>
      <w:tr w:rsidR="00E24D15" w14:paraId="73A71692" w14:textId="77777777" w:rsidTr="00E24D15">
        <w:trPr>
          <w:jc w:val="center"/>
        </w:trPr>
        <w:tc>
          <w:tcPr>
            <w:tcW w:w="1783" w:type="dxa"/>
            <w:vAlign w:val="center"/>
          </w:tcPr>
          <w:p w14:paraId="0A99298B" w14:textId="5466D3F8" w:rsidR="00844DF9" w:rsidRDefault="00B660D7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</w:rPr>
              <w:lastRenderedPageBreak/>
              <w:t>Horizontal</w:t>
            </w:r>
          </w:p>
        </w:tc>
        <w:tc>
          <w:tcPr>
            <w:tcW w:w="2892" w:type="dxa"/>
            <w:vAlign w:val="center"/>
          </w:tcPr>
          <w:p w14:paraId="30DB79DC" w14:textId="6C5A6EC6" w:rsidR="00844DF9" w:rsidRPr="00EF0B1A" w:rsidRDefault="003A164C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6EDEC7E2" w14:textId="613B6660" w:rsidR="00844DF9" w:rsidRPr="00EF0B1A" w:rsidRDefault="003A164C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E24D15" w14:paraId="66AEB117" w14:textId="77777777" w:rsidTr="00E24D15">
        <w:trPr>
          <w:jc w:val="center"/>
        </w:trPr>
        <w:tc>
          <w:tcPr>
            <w:tcW w:w="1783" w:type="dxa"/>
            <w:vAlign w:val="center"/>
          </w:tcPr>
          <w:p w14:paraId="6C19C769" w14:textId="1A169623" w:rsidR="00844DF9" w:rsidRDefault="00B12E0A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</w:rPr>
              <w:t>Vertical</w:t>
            </w:r>
          </w:p>
        </w:tc>
        <w:tc>
          <w:tcPr>
            <w:tcW w:w="2892" w:type="dxa"/>
            <w:vAlign w:val="center"/>
          </w:tcPr>
          <w:p w14:paraId="34040866" w14:textId="4E31BFA1" w:rsidR="00844DF9" w:rsidRPr="00EF0B1A" w:rsidRDefault="00B43C57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19C2F145" w14:textId="4E195B4B" w:rsidR="00844DF9" w:rsidRPr="00EF0B1A" w:rsidRDefault="003A164C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E24D15" w14:paraId="46F5D501" w14:textId="77777777" w:rsidTr="00E24D15">
        <w:trPr>
          <w:jc w:val="center"/>
        </w:trPr>
        <w:tc>
          <w:tcPr>
            <w:tcW w:w="1783" w:type="dxa"/>
            <w:vAlign w:val="center"/>
          </w:tcPr>
          <w:p w14:paraId="56CCB511" w14:textId="07DEAC49" w:rsidR="00844DF9" w:rsidRDefault="00B660D7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</w:rPr>
              <w:t>Adjacent</w:t>
            </w:r>
          </w:p>
        </w:tc>
        <w:tc>
          <w:tcPr>
            <w:tcW w:w="2892" w:type="dxa"/>
            <w:vAlign w:val="center"/>
          </w:tcPr>
          <w:p w14:paraId="064B34BB" w14:textId="7776F2F6" w:rsidR="00844DF9" w:rsidRPr="00EF0B1A" w:rsidRDefault="003A164C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0E329E76" w14:textId="39761B86" w:rsidR="00844DF9" w:rsidRPr="00EF0B1A" w:rsidRDefault="00B43C57" w:rsidP="00B12E0A">
            <w:pPr>
              <w:pStyle w:val="APALevel2"/>
              <w:snapToGrid w:val="0"/>
              <w:spacing w:line="276" w:lineRule="auto"/>
              <w:jc w:val="center"/>
              <w:rPr>
                <w:rFonts w:cs="Times New Roman"/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015CBB40" w14:textId="5EB2BF41" w:rsidR="004576FA" w:rsidRDefault="004576FA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</w:p>
    <w:p w14:paraId="1B66667D" w14:textId="65F90A3F" w:rsidR="00B453FF" w:rsidRDefault="00464D26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With this coding scheme, </w:t>
      </w:r>
      <w:r w:rsidR="005F50FE">
        <w:rPr>
          <w:rFonts w:cs="Times New Roman"/>
          <w:b w:val="0"/>
          <w:bCs/>
        </w:rPr>
        <w:t>we d</w:t>
      </w:r>
      <w:r w:rsidR="00737C22">
        <w:rPr>
          <w:rFonts w:cs="Times New Roman"/>
          <w:b w:val="0"/>
          <w:bCs/>
        </w:rPr>
        <w:t>id</w:t>
      </w:r>
      <w:r w:rsidR="005F50FE">
        <w:rPr>
          <w:rFonts w:cs="Times New Roman"/>
          <w:b w:val="0"/>
          <w:bCs/>
        </w:rPr>
        <w:t xml:space="preserve"> some calculations </w:t>
      </w:r>
      <w:r w:rsidR="001226E7">
        <w:rPr>
          <w:rFonts w:cs="Times New Roman"/>
          <w:b w:val="0"/>
          <w:bCs/>
        </w:rPr>
        <w:t xml:space="preserve">in order </w:t>
      </w:r>
      <w:r w:rsidR="00BC44AC">
        <w:rPr>
          <w:rFonts w:cs="Times New Roman"/>
          <w:b w:val="0"/>
          <w:bCs/>
        </w:rPr>
        <w:t xml:space="preserve">to interpret the </w:t>
      </w:r>
      <w:r w:rsidR="00613855">
        <w:rPr>
          <w:rFonts w:cs="Times New Roman"/>
          <w:b w:val="0"/>
          <w:bCs/>
        </w:rPr>
        <w:t>fixed effects</w:t>
      </w:r>
      <w:r w:rsidR="00BC44AC">
        <w:rPr>
          <w:rFonts w:cs="Times New Roman"/>
          <w:b w:val="0"/>
          <w:bCs/>
        </w:rPr>
        <w:t xml:space="preserve"> estimates </w:t>
      </w:r>
      <w:r w:rsidR="00613855">
        <w:rPr>
          <w:rFonts w:cs="Times New Roman"/>
          <w:b w:val="0"/>
          <w:bCs/>
        </w:rPr>
        <w:t xml:space="preserve">for presentation formats by following Field’s (2018) steps. </w:t>
      </w:r>
      <w:r w:rsidR="000750DE">
        <w:rPr>
          <w:rFonts w:cs="Times New Roman"/>
          <w:b w:val="0"/>
          <w:bCs/>
        </w:rPr>
        <w:t>Specifically, w</w:t>
      </w:r>
      <w:r w:rsidR="005E5FA6">
        <w:rPr>
          <w:rFonts w:cs="Times New Roman"/>
          <w:b w:val="0"/>
          <w:bCs/>
        </w:rPr>
        <w:t>e start</w:t>
      </w:r>
      <w:r w:rsidR="000750DE">
        <w:rPr>
          <w:rFonts w:cs="Times New Roman"/>
          <w:b w:val="0"/>
          <w:bCs/>
        </w:rPr>
        <w:t>ed</w:t>
      </w:r>
      <w:r w:rsidR="005E5FA6">
        <w:rPr>
          <w:rFonts w:cs="Times New Roman"/>
          <w:b w:val="0"/>
          <w:bCs/>
        </w:rPr>
        <w:t xml:space="preserve"> by using a </w:t>
      </w:r>
      <w:r w:rsidR="00175753">
        <w:rPr>
          <w:rFonts w:cs="Times New Roman"/>
          <w:b w:val="0"/>
          <w:bCs/>
        </w:rPr>
        <w:t xml:space="preserve">simplified </w:t>
      </w:r>
      <w:r w:rsidR="005E5FA6">
        <w:rPr>
          <w:rFonts w:cs="Times New Roman"/>
          <w:b w:val="0"/>
          <w:bCs/>
        </w:rPr>
        <w:t xml:space="preserve">equation to describe the </w:t>
      </w:r>
      <w:r w:rsidR="008F0A07">
        <w:rPr>
          <w:rFonts w:cs="Times New Roman"/>
          <w:b w:val="0"/>
          <w:bCs/>
        </w:rPr>
        <w:t>relationship between vocabulary gain scores</w:t>
      </w:r>
      <w:r w:rsidR="00BC44AC">
        <w:rPr>
          <w:rFonts w:cs="Times New Roman"/>
          <w:b w:val="0"/>
          <w:bCs/>
        </w:rPr>
        <w:t xml:space="preserve"> </w:t>
      </w:r>
      <w:r w:rsidR="009E312A">
        <w:rPr>
          <w:rFonts w:cs="Times New Roman"/>
          <w:b w:val="0"/>
          <w:bCs/>
        </w:rPr>
        <w:t xml:space="preserve">(Gain) </w:t>
      </w:r>
      <w:r w:rsidR="004D5BF8">
        <w:rPr>
          <w:rFonts w:cs="Times New Roman"/>
          <w:b w:val="0"/>
          <w:bCs/>
        </w:rPr>
        <w:t>and presentation formats</w:t>
      </w:r>
      <w:r w:rsidR="00E75F56">
        <w:rPr>
          <w:rFonts w:cs="Times New Roman"/>
          <w:b w:val="0"/>
          <w:bCs/>
        </w:rPr>
        <w:t xml:space="preserve"> (Contrast</w:t>
      </w:r>
      <w:r w:rsidR="00E75F56" w:rsidRPr="00E75F56">
        <w:rPr>
          <w:rFonts w:cs="Times New Roman"/>
          <w:b w:val="0"/>
          <w:bCs/>
          <w:vertAlign w:val="subscript"/>
        </w:rPr>
        <w:t>VH</w:t>
      </w:r>
      <w:r w:rsidR="00E75F56">
        <w:rPr>
          <w:rFonts w:cs="Times New Roman"/>
          <w:b w:val="0"/>
          <w:bCs/>
        </w:rPr>
        <w:t xml:space="preserve"> = </w:t>
      </w:r>
      <w:r w:rsidR="00991235">
        <w:rPr>
          <w:rFonts w:cs="Times New Roman"/>
          <w:b w:val="0"/>
          <w:bCs/>
        </w:rPr>
        <w:t>v</w:t>
      </w:r>
      <w:r w:rsidR="00E75F56">
        <w:rPr>
          <w:rFonts w:cs="Times New Roman"/>
          <w:b w:val="0"/>
          <w:bCs/>
        </w:rPr>
        <w:t xml:space="preserve">ertical vs. </w:t>
      </w:r>
      <w:r w:rsidR="00991235">
        <w:rPr>
          <w:rFonts w:cs="Times New Roman"/>
          <w:b w:val="0"/>
          <w:bCs/>
        </w:rPr>
        <w:t>h</w:t>
      </w:r>
      <w:r w:rsidR="00E75F56">
        <w:rPr>
          <w:rFonts w:cs="Times New Roman"/>
          <w:b w:val="0"/>
          <w:bCs/>
        </w:rPr>
        <w:t>orizontal; Contrast</w:t>
      </w:r>
      <w:r w:rsidR="00E75F56" w:rsidRPr="00E75F56">
        <w:rPr>
          <w:rFonts w:cs="Times New Roman"/>
          <w:b w:val="0"/>
          <w:bCs/>
          <w:vertAlign w:val="subscript"/>
        </w:rPr>
        <w:t>AH</w:t>
      </w:r>
      <w:r w:rsidR="00E75F56">
        <w:rPr>
          <w:rFonts w:cs="Times New Roman"/>
          <w:b w:val="0"/>
          <w:bCs/>
        </w:rPr>
        <w:t xml:space="preserve"> = </w:t>
      </w:r>
      <w:r w:rsidR="00991235">
        <w:rPr>
          <w:rFonts w:cs="Times New Roman"/>
          <w:b w:val="0"/>
          <w:bCs/>
        </w:rPr>
        <w:t>a</w:t>
      </w:r>
      <w:r w:rsidR="00E75F56">
        <w:rPr>
          <w:rFonts w:cs="Times New Roman"/>
          <w:b w:val="0"/>
          <w:bCs/>
        </w:rPr>
        <w:t xml:space="preserve">djacent vs. </w:t>
      </w:r>
      <w:r w:rsidR="00991235">
        <w:rPr>
          <w:rFonts w:cs="Times New Roman"/>
          <w:b w:val="0"/>
          <w:bCs/>
        </w:rPr>
        <w:t>h</w:t>
      </w:r>
      <w:r w:rsidR="00E75F56">
        <w:rPr>
          <w:rFonts w:cs="Times New Roman"/>
          <w:b w:val="0"/>
          <w:bCs/>
        </w:rPr>
        <w:t>orizontal)</w:t>
      </w:r>
      <w:r w:rsidR="00B453FF">
        <w:rPr>
          <w:rFonts w:cs="Times New Roman"/>
          <w:b w:val="0"/>
          <w:bCs/>
        </w:rPr>
        <w:t>:</w:t>
      </w:r>
      <w:r w:rsidR="004D5BF8">
        <w:rPr>
          <w:rFonts w:cs="Times New Roman"/>
          <w:b w:val="0"/>
          <w:bCs/>
        </w:rPr>
        <w:t xml:space="preserve"> </w:t>
      </w:r>
    </w:p>
    <w:p w14:paraId="0A5FF9DB" w14:textId="469DD4CC" w:rsidR="005E34C0" w:rsidRPr="003F182A" w:rsidRDefault="00B453FF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Gain = b</w:t>
      </w:r>
      <w:r w:rsidRPr="00C6625F">
        <w:rPr>
          <w:rFonts w:cs="Times New Roman"/>
          <w:b w:val="0"/>
          <w:bCs/>
          <w:vertAlign w:val="subscript"/>
        </w:rPr>
        <w:t>0</w:t>
      </w:r>
      <w:r>
        <w:rPr>
          <w:rFonts w:cs="Times New Roman"/>
          <w:b w:val="0"/>
          <w:bCs/>
        </w:rPr>
        <w:t xml:space="preserve"> + b</w:t>
      </w:r>
      <w:r w:rsidRPr="00C6625F">
        <w:rPr>
          <w:rFonts w:cs="Times New Roman"/>
          <w:b w:val="0"/>
          <w:bCs/>
          <w:vertAlign w:val="subscript"/>
        </w:rPr>
        <w:t>1</w:t>
      </w:r>
      <w:r w:rsidR="00C6625F">
        <w:rPr>
          <w:rFonts w:cs="Times New Roman"/>
          <w:b w:val="0"/>
          <w:bCs/>
        </w:rPr>
        <w:t>Contrast</w:t>
      </w:r>
      <w:r w:rsidR="00C6625F">
        <w:rPr>
          <w:rFonts w:cs="Times New Roman"/>
          <w:b w:val="0"/>
          <w:bCs/>
          <w:vertAlign w:val="subscript"/>
        </w:rPr>
        <w:t>VH</w:t>
      </w:r>
      <w:r w:rsidR="00C6625F">
        <w:rPr>
          <w:rFonts w:cs="Times New Roman"/>
          <w:b w:val="0"/>
          <w:bCs/>
        </w:rPr>
        <w:t xml:space="preserve"> + b</w:t>
      </w:r>
      <w:r w:rsidR="00C6625F" w:rsidRPr="003F182A">
        <w:rPr>
          <w:rFonts w:cs="Times New Roman"/>
          <w:b w:val="0"/>
          <w:bCs/>
          <w:vertAlign w:val="subscript"/>
        </w:rPr>
        <w:t>2</w:t>
      </w:r>
      <w:r w:rsidR="00C6625F">
        <w:rPr>
          <w:rFonts w:cs="Times New Roman"/>
          <w:b w:val="0"/>
          <w:bCs/>
        </w:rPr>
        <w:t>Contrast</w:t>
      </w:r>
      <w:r w:rsidR="00C6625F">
        <w:rPr>
          <w:rFonts w:cs="Times New Roman"/>
          <w:b w:val="0"/>
          <w:bCs/>
          <w:vertAlign w:val="subscript"/>
        </w:rPr>
        <w:t>AH</w:t>
      </w:r>
      <w:r w:rsidR="003F182A" w:rsidRPr="003F182A">
        <w:rPr>
          <w:rFonts w:cs="Times New Roman"/>
          <w:b w:val="0"/>
          <w:bCs/>
        </w:rPr>
        <w:t xml:space="preserve"> </w:t>
      </w:r>
      <w:r w:rsidR="003F182A">
        <w:rPr>
          <w:rFonts w:cs="Times New Roman"/>
          <w:b w:val="0"/>
          <w:bCs/>
        </w:rPr>
        <w:t>(1)</w:t>
      </w:r>
    </w:p>
    <w:p w14:paraId="4A8ED49B" w14:textId="32549D3A" w:rsidR="00613855" w:rsidRDefault="00A2640C" w:rsidP="00A2640C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Then we calculated the average gain score</w:t>
      </w:r>
      <w:r w:rsidR="00F75F81">
        <w:rPr>
          <w:rFonts w:cs="Times New Roman"/>
          <w:b w:val="0"/>
          <w:bCs/>
        </w:rPr>
        <w:t xml:space="preserve"> </w:t>
      </w:r>
      <w:r>
        <w:rPr>
          <w:rFonts w:cs="Times New Roman"/>
          <w:b w:val="0"/>
          <w:bCs/>
        </w:rPr>
        <w:t xml:space="preserve">for each presentation format </w:t>
      </w:r>
      <w:r w:rsidR="00991235">
        <w:rPr>
          <w:rFonts w:cs="Times New Roman"/>
          <w:b w:val="0"/>
          <w:bCs/>
        </w:rPr>
        <w:t>(M</w:t>
      </w:r>
      <w:r w:rsidR="00991235" w:rsidRPr="00D619A8">
        <w:rPr>
          <w:rFonts w:cs="Times New Roman"/>
          <w:b w:val="0"/>
          <w:bCs/>
          <w:vertAlign w:val="subscript"/>
        </w:rPr>
        <w:t>H</w:t>
      </w:r>
      <w:r w:rsidR="00991235">
        <w:rPr>
          <w:rFonts w:cs="Times New Roman"/>
          <w:b w:val="0"/>
          <w:bCs/>
        </w:rPr>
        <w:t xml:space="preserve"> = </w:t>
      </w:r>
      <w:r w:rsidR="00D619A8">
        <w:rPr>
          <w:rFonts w:cs="Times New Roman"/>
          <w:b w:val="0"/>
          <w:bCs/>
        </w:rPr>
        <w:t>h</w:t>
      </w:r>
      <w:r w:rsidR="00991235">
        <w:rPr>
          <w:rFonts w:cs="Times New Roman"/>
          <w:b w:val="0"/>
          <w:bCs/>
        </w:rPr>
        <w:t>orizontal; M</w:t>
      </w:r>
      <w:r w:rsidR="00991235" w:rsidRPr="00D619A8">
        <w:rPr>
          <w:rFonts w:cs="Times New Roman"/>
          <w:b w:val="0"/>
          <w:bCs/>
          <w:vertAlign w:val="subscript"/>
        </w:rPr>
        <w:t>V</w:t>
      </w:r>
      <w:r w:rsidR="00991235">
        <w:rPr>
          <w:rFonts w:cs="Times New Roman"/>
          <w:b w:val="0"/>
          <w:bCs/>
        </w:rPr>
        <w:t xml:space="preserve"> = </w:t>
      </w:r>
      <w:r w:rsidR="00D619A8">
        <w:rPr>
          <w:rFonts w:cs="Times New Roman"/>
          <w:b w:val="0"/>
          <w:bCs/>
        </w:rPr>
        <w:t>v</w:t>
      </w:r>
      <w:r w:rsidR="00991235">
        <w:rPr>
          <w:rFonts w:cs="Times New Roman"/>
          <w:b w:val="0"/>
          <w:bCs/>
        </w:rPr>
        <w:t xml:space="preserve">ertical; </w:t>
      </w:r>
      <w:r w:rsidR="00D619A8">
        <w:rPr>
          <w:rFonts w:cs="Times New Roman"/>
          <w:b w:val="0"/>
          <w:bCs/>
        </w:rPr>
        <w:t>M</w:t>
      </w:r>
      <w:r w:rsidR="00D619A8" w:rsidRPr="00D619A8">
        <w:rPr>
          <w:rFonts w:cs="Times New Roman"/>
          <w:b w:val="0"/>
          <w:bCs/>
          <w:vertAlign w:val="subscript"/>
        </w:rPr>
        <w:t>A</w:t>
      </w:r>
      <w:r w:rsidR="00D619A8">
        <w:rPr>
          <w:rFonts w:cs="Times New Roman"/>
          <w:b w:val="0"/>
          <w:bCs/>
        </w:rPr>
        <w:t xml:space="preserve"> = adjacent</w:t>
      </w:r>
      <w:r w:rsidR="00991235">
        <w:rPr>
          <w:rFonts w:cs="Times New Roman"/>
          <w:b w:val="0"/>
          <w:bCs/>
        </w:rPr>
        <w:t xml:space="preserve">) </w:t>
      </w:r>
      <w:r>
        <w:rPr>
          <w:rFonts w:cs="Times New Roman"/>
          <w:b w:val="0"/>
          <w:bCs/>
        </w:rPr>
        <w:t xml:space="preserve">by </w:t>
      </w:r>
      <w:r w:rsidR="00ED71AE">
        <w:rPr>
          <w:rFonts w:cs="Times New Roman"/>
          <w:b w:val="0"/>
          <w:bCs/>
        </w:rPr>
        <w:t xml:space="preserve">replacing </w:t>
      </w:r>
      <w:r w:rsidR="00CB4360">
        <w:rPr>
          <w:rFonts w:cs="Times New Roman"/>
          <w:b w:val="0"/>
          <w:bCs/>
        </w:rPr>
        <w:t>Contrast</w:t>
      </w:r>
      <w:r w:rsidR="00CB4360">
        <w:rPr>
          <w:rFonts w:cs="Times New Roman"/>
          <w:b w:val="0"/>
          <w:bCs/>
          <w:vertAlign w:val="subscript"/>
        </w:rPr>
        <w:t>VH</w:t>
      </w:r>
      <w:r w:rsidR="00CB4360">
        <w:rPr>
          <w:rFonts w:cs="Times New Roman"/>
          <w:b w:val="0"/>
          <w:bCs/>
        </w:rPr>
        <w:t xml:space="preserve"> and Contrast</w:t>
      </w:r>
      <w:r w:rsidR="00CB4360">
        <w:rPr>
          <w:rFonts w:cs="Times New Roman"/>
          <w:b w:val="0"/>
          <w:bCs/>
          <w:vertAlign w:val="subscript"/>
        </w:rPr>
        <w:t>AH</w:t>
      </w:r>
      <w:r w:rsidR="00ED71AE">
        <w:rPr>
          <w:rFonts w:cs="Times New Roman"/>
          <w:b w:val="0"/>
          <w:bCs/>
        </w:rPr>
        <w:t xml:space="preserve"> in equation (1) with the coding values in Table 1</w:t>
      </w:r>
      <w:r w:rsidR="00E02788">
        <w:rPr>
          <w:rFonts w:cs="Times New Roman"/>
          <w:b w:val="0"/>
          <w:bCs/>
        </w:rPr>
        <w:t>:</w:t>
      </w:r>
    </w:p>
    <w:p w14:paraId="057086D5" w14:textId="1D173334" w:rsidR="005E34C0" w:rsidRDefault="009E312A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M</w:t>
      </w:r>
      <w:r w:rsidRPr="00F12276">
        <w:rPr>
          <w:rFonts w:cs="Times New Roman"/>
          <w:b w:val="0"/>
          <w:bCs/>
          <w:vertAlign w:val="subscript"/>
        </w:rPr>
        <w:t>H</w:t>
      </w:r>
      <w:r>
        <w:rPr>
          <w:rFonts w:cs="Times New Roman"/>
          <w:b w:val="0"/>
          <w:bCs/>
        </w:rPr>
        <w:t xml:space="preserve"> = </w:t>
      </w:r>
      <w:r w:rsidR="000E1082">
        <w:rPr>
          <w:rFonts w:cs="Times New Roman"/>
          <w:b w:val="0"/>
          <w:bCs/>
        </w:rPr>
        <w:t>b</w:t>
      </w:r>
      <w:r w:rsidR="000E1082" w:rsidRPr="00C6625F">
        <w:rPr>
          <w:rFonts w:cs="Times New Roman"/>
          <w:b w:val="0"/>
          <w:bCs/>
          <w:vertAlign w:val="subscript"/>
        </w:rPr>
        <w:t>0</w:t>
      </w:r>
      <w:r w:rsidR="000E1082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0E1082">
        <w:rPr>
          <w:rFonts w:cs="Times New Roman"/>
          <w:b w:val="0"/>
          <w:bCs/>
        </w:rPr>
        <w:t>b</w:t>
      </w:r>
      <w:r w:rsidR="000E1082" w:rsidRPr="000E1082">
        <w:rPr>
          <w:rFonts w:cs="Times New Roman"/>
          <w:b w:val="0"/>
          <w:bCs/>
          <w:vertAlign w:val="subscript"/>
        </w:rPr>
        <w:t>1</w:t>
      </w:r>
      <w:r w:rsidR="000E1082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502EBD">
        <w:rPr>
          <w:rFonts w:cs="Times New Roman"/>
          <w:b w:val="0"/>
          <w:bCs/>
        </w:rPr>
        <w:t>b</w:t>
      </w:r>
      <w:r w:rsidR="00502EBD">
        <w:rPr>
          <w:rFonts w:cs="Times New Roman"/>
          <w:b w:val="0"/>
          <w:bCs/>
          <w:vertAlign w:val="subscript"/>
        </w:rPr>
        <w:t>2</w:t>
      </w:r>
      <w:r w:rsidR="00C03F09" w:rsidRPr="003F182A">
        <w:rPr>
          <w:rFonts w:cs="Times New Roman"/>
          <w:b w:val="0"/>
          <w:bCs/>
        </w:rPr>
        <w:t xml:space="preserve"> </w:t>
      </w:r>
      <w:r w:rsidR="00C03F09">
        <w:rPr>
          <w:rFonts w:cs="Times New Roman"/>
          <w:b w:val="0"/>
          <w:bCs/>
        </w:rPr>
        <w:t>(2)</w:t>
      </w:r>
    </w:p>
    <w:p w14:paraId="71095FAD" w14:textId="7873D43C" w:rsidR="00057DC5" w:rsidRDefault="00057DC5" w:rsidP="00057DC5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M</w:t>
      </w:r>
      <w:r>
        <w:rPr>
          <w:rFonts w:cs="Times New Roman"/>
          <w:b w:val="0"/>
          <w:bCs/>
          <w:vertAlign w:val="subscript"/>
        </w:rPr>
        <w:t>V</w:t>
      </w:r>
      <w:r>
        <w:rPr>
          <w:rFonts w:cs="Times New Roman"/>
          <w:b w:val="0"/>
          <w:bCs/>
        </w:rPr>
        <w:t xml:space="preserve"> = b</w:t>
      </w:r>
      <w:r w:rsidRPr="00C6625F">
        <w:rPr>
          <w:rFonts w:cs="Times New Roman"/>
          <w:b w:val="0"/>
          <w:bCs/>
          <w:vertAlign w:val="subscript"/>
        </w:rPr>
        <w:t>0</w:t>
      </w:r>
      <w:r>
        <w:rPr>
          <w:rFonts w:cs="Times New Roman"/>
          <w:b w:val="0"/>
          <w:bCs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cs="Times New Roman"/>
          <w:b w:val="0"/>
          <w:bCs/>
        </w:rPr>
        <w:t>b</w:t>
      </w:r>
      <w:r w:rsidRPr="000E1082">
        <w:rPr>
          <w:rFonts w:cs="Times New Roman"/>
          <w:b w:val="0"/>
          <w:bCs/>
          <w:vertAlign w:val="subscript"/>
        </w:rPr>
        <w:t>1</w:t>
      </w:r>
      <w:r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cs="Times New Roman"/>
          <w:b w:val="0"/>
          <w:bCs/>
        </w:rPr>
        <w:t>b</w:t>
      </w:r>
      <w:r>
        <w:rPr>
          <w:rFonts w:cs="Times New Roman"/>
          <w:b w:val="0"/>
          <w:bCs/>
          <w:vertAlign w:val="subscript"/>
        </w:rPr>
        <w:t>2</w:t>
      </w:r>
      <w:r w:rsidR="00C03F09" w:rsidRPr="003F182A">
        <w:rPr>
          <w:rFonts w:cs="Times New Roman"/>
          <w:b w:val="0"/>
          <w:bCs/>
        </w:rPr>
        <w:t xml:space="preserve"> </w:t>
      </w:r>
      <w:r w:rsidR="00C03F09">
        <w:rPr>
          <w:rFonts w:cs="Times New Roman"/>
          <w:b w:val="0"/>
          <w:bCs/>
        </w:rPr>
        <w:t>(3)</w:t>
      </w:r>
    </w:p>
    <w:p w14:paraId="69FD477C" w14:textId="2DB0D10A" w:rsidR="005654AC" w:rsidRDefault="005654AC" w:rsidP="005654AC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M</w:t>
      </w:r>
      <w:r>
        <w:rPr>
          <w:rFonts w:cs="Times New Roman"/>
          <w:b w:val="0"/>
          <w:bCs/>
          <w:vertAlign w:val="subscript"/>
        </w:rPr>
        <w:t>A</w:t>
      </w:r>
      <w:r>
        <w:rPr>
          <w:rFonts w:cs="Times New Roman"/>
          <w:b w:val="0"/>
          <w:bCs/>
        </w:rPr>
        <w:t xml:space="preserve"> = b</w:t>
      </w:r>
      <w:r w:rsidRPr="00C6625F">
        <w:rPr>
          <w:rFonts w:cs="Times New Roman"/>
          <w:b w:val="0"/>
          <w:bCs/>
          <w:vertAlign w:val="subscript"/>
        </w:rPr>
        <w:t>0</w:t>
      </w:r>
      <w:r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cs="Times New Roman"/>
          <w:b w:val="0"/>
          <w:bCs/>
        </w:rPr>
        <w:t>b</w:t>
      </w:r>
      <w:r w:rsidRPr="000E1082">
        <w:rPr>
          <w:rFonts w:cs="Times New Roman"/>
          <w:b w:val="0"/>
          <w:bCs/>
          <w:vertAlign w:val="subscript"/>
        </w:rPr>
        <w:t>1</w:t>
      </w:r>
      <w:r>
        <w:rPr>
          <w:rFonts w:cs="Times New Roman"/>
          <w:b w:val="0"/>
          <w:bCs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cs="Times New Roman"/>
          <w:b w:val="0"/>
          <w:bCs/>
        </w:rPr>
        <w:t>b</w:t>
      </w:r>
      <w:r>
        <w:rPr>
          <w:rFonts w:cs="Times New Roman"/>
          <w:b w:val="0"/>
          <w:bCs/>
          <w:vertAlign w:val="subscript"/>
        </w:rPr>
        <w:t>2</w:t>
      </w:r>
      <w:r w:rsidR="00C03F09" w:rsidRPr="003F182A">
        <w:rPr>
          <w:rFonts w:cs="Times New Roman"/>
          <w:b w:val="0"/>
          <w:bCs/>
        </w:rPr>
        <w:t xml:space="preserve"> </w:t>
      </w:r>
      <w:r w:rsidR="00C03F09">
        <w:rPr>
          <w:rFonts w:cs="Times New Roman"/>
          <w:b w:val="0"/>
          <w:bCs/>
        </w:rPr>
        <w:t>(4)</w:t>
      </w:r>
    </w:p>
    <w:p w14:paraId="0B7105AD" w14:textId="46A3C0B5" w:rsidR="00ED71AE" w:rsidRDefault="002D61AA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With equations (2) to (4), we ca</w:t>
      </w:r>
      <w:r w:rsidR="000D717D">
        <w:rPr>
          <w:rFonts w:cs="Times New Roman"/>
          <w:b w:val="0"/>
          <w:bCs/>
        </w:rPr>
        <w:t>lculated the difference between group means</w:t>
      </w:r>
      <w:r w:rsidR="00A24420">
        <w:rPr>
          <w:rFonts w:cs="Times New Roman"/>
          <w:b w:val="0"/>
          <w:bCs/>
        </w:rPr>
        <w:t xml:space="preserve"> </w:t>
      </w:r>
      <w:r w:rsidR="007B23A6">
        <w:rPr>
          <w:rFonts w:cs="Times New Roman"/>
          <w:b w:val="0"/>
          <w:bCs/>
        </w:rPr>
        <w:t>for</w:t>
      </w:r>
      <w:r w:rsidR="00A24420">
        <w:rPr>
          <w:rFonts w:cs="Times New Roman"/>
          <w:b w:val="0"/>
          <w:bCs/>
        </w:rPr>
        <w:t xml:space="preserve"> the pairwise comparisons specified in Table 1</w:t>
      </w:r>
      <w:r w:rsidR="008122DC">
        <w:rPr>
          <w:rFonts w:cs="Times New Roman"/>
          <w:b w:val="0"/>
          <w:bCs/>
        </w:rPr>
        <w:t>:</w:t>
      </w:r>
      <w:r w:rsidR="00A24420">
        <w:rPr>
          <w:rFonts w:cs="Times New Roman"/>
          <w:b w:val="0"/>
          <w:bCs/>
        </w:rPr>
        <w:t xml:space="preserve"> </w:t>
      </w:r>
      <w:r w:rsidR="00DB45E8">
        <w:rPr>
          <w:rFonts w:cs="Times New Roman"/>
          <w:b w:val="0"/>
          <w:bCs/>
        </w:rPr>
        <w:t xml:space="preserve"> </w:t>
      </w:r>
    </w:p>
    <w:p w14:paraId="714BAE49" w14:textId="62CF0C77" w:rsidR="00020C99" w:rsidRPr="005A454A" w:rsidRDefault="00811791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Vertical vs. Horizontal</w:t>
      </w:r>
      <w:r w:rsidR="00A15F67">
        <w:rPr>
          <w:rFonts w:cs="Times New Roman"/>
          <w:b w:val="0"/>
          <w:bCs/>
        </w:rPr>
        <w:t>:</w:t>
      </w:r>
      <w:r>
        <w:rPr>
          <w:rFonts w:cs="Times New Roman"/>
          <w:b w:val="0"/>
          <w:bCs/>
        </w:rPr>
        <w:t xml:space="preserve"> </w:t>
      </w:r>
      <w:r w:rsidR="00FB60DB">
        <w:rPr>
          <w:rFonts w:cs="Times New Roman"/>
          <w:b w:val="0"/>
          <w:bCs/>
        </w:rPr>
        <w:t>M</w:t>
      </w:r>
      <w:r w:rsidR="00FB60DB">
        <w:rPr>
          <w:rFonts w:cs="Times New Roman"/>
          <w:b w:val="0"/>
          <w:bCs/>
          <w:vertAlign w:val="subscript"/>
        </w:rPr>
        <w:t>V</w:t>
      </w:r>
      <w:r w:rsidR="00FB60DB" w:rsidRPr="00FB60DB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-</m:t>
        </m:r>
      </m:oMath>
      <w:r w:rsidR="00FB60DB">
        <w:rPr>
          <w:rFonts w:cs="Times New Roman"/>
          <w:b w:val="0"/>
          <w:bCs/>
        </w:rPr>
        <w:t xml:space="preserve"> M</w:t>
      </w:r>
      <w:r w:rsidR="00FB60DB" w:rsidRPr="00F12276">
        <w:rPr>
          <w:rFonts w:cs="Times New Roman"/>
          <w:b w:val="0"/>
          <w:bCs/>
          <w:vertAlign w:val="subscript"/>
        </w:rPr>
        <w:t>H</w:t>
      </w:r>
      <w:r w:rsidR="00FB60DB">
        <w:rPr>
          <w:rFonts w:cs="Times New Roman"/>
          <w:b w:val="0"/>
          <w:bCs/>
        </w:rPr>
        <w:t xml:space="preserve"> = </w:t>
      </w:r>
      <w:r w:rsidR="00D8526E">
        <w:rPr>
          <w:rFonts w:cs="Times New Roman"/>
          <w:b w:val="0"/>
          <w:bCs/>
        </w:rPr>
        <w:t>(</w:t>
      </w:r>
      <w:r w:rsidR="00A462C6">
        <w:rPr>
          <w:rFonts w:cs="Times New Roman"/>
          <w:b w:val="0"/>
          <w:bCs/>
        </w:rPr>
        <w:t>b</w:t>
      </w:r>
      <w:r w:rsidR="00A462C6" w:rsidRPr="00C6625F">
        <w:rPr>
          <w:rFonts w:cs="Times New Roman"/>
          <w:b w:val="0"/>
          <w:bCs/>
          <w:vertAlign w:val="subscript"/>
        </w:rPr>
        <w:t>0</w:t>
      </w:r>
      <w:r w:rsidR="00A462C6">
        <w:rPr>
          <w:rFonts w:cs="Times New Roman"/>
          <w:b w:val="0"/>
          <w:bCs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A462C6">
        <w:rPr>
          <w:rFonts w:cs="Times New Roman"/>
          <w:b w:val="0"/>
          <w:bCs/>
        </w:rPr>
        <w:t>b</w:t>
      </w:r>
      <w:r w:rsidR="00A462C6" w:rsidRPr="000E1082">
        <w:rPr>
          <w:rFonts w:cs="Times New Roman"/>
          <w:b w:val="0"/>
          <w:bCs/>
          <w:vertAlign w:val="subscript"/>
        </w:rPr>
        <w:t>1</w:t>
      </w:r>
      <w:r w:rsidR="00A462C6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A462C6">
        <w:rPr>
          <w:rFonts w:cs="Times New Roman"/>
          <w:b w:val="0"/>
          <w:bCs/>
        </w:rPr>
        <w:t>b</w:t>
      </w:r>
      <w:r w:rsidR="00A462C6">
        <w:rPr>
          <w:rFonts w:cs="Times New Roman"/>
          <w:b w:val="0"/>
          <w:bCs/>
          <w:vertAlign w:val="subscript"/>
        </w:rPr>
        <w:t>2</w:t>
      </w:r>
      <w:r w:rsidR="00D8526E">
        <w:rPr>
          <w:rFonts w:cs="Times New Roman"/>
          <w:b w:val="0"/>
          <w:bCs/>
        </w:rPr>
        <w:t xml:space="preserve">) </w:t>
      </w:r>
      <m:oMath>
        <m:r>
          <m:rPr>
            <m:sty m:val="bi"/>
          </m:rPr>
          <w:rPr>
            <w:rFonts w:ascii="Cambria Math" w:hAnsi="Cambria Math" w:cs="Times New Roman"/>
          </w:rPr>
          <m:t>–</m:t>
        </m:r>
      </m:oMath>
      <w:r w:rsidR="00D8526E">
        <w:rPr>
          <w:rFonts w:cs="Times New Roman"/>
          <w:b w:val="0"/>
          <w:bCs/>
        </w:rPr>
        <w:t xml:space="preserve"> </w:t>
      </w:r>
      <w:r w:rsidR="005A454A">
        <w:rPr>
          <w:rFonts w:cs="Times New Roman"/>
          <w:b w:val="0"/>
          <w:bCs/>
        </w:rPr>
        <w:t>(</w:t>
      </w:r>
      <w:r w:rsidR="00A462C6">
        <w:rPr>
          <w:rFonts w:cs="Times New Roman"/>
          <w:b w:val="0"/>
          <w:bCs/>
        </w:rPr>
        <w:t>b</w:t>
      </w:r>
      <w:r w:rsidR="00A462C6" w:rsidRPr="00C6625F">
        <w:rPr>
          <w:rFonts w:cs="Times New Roman"/>
          <w:b w:val="0"/>
          <w:bCs/>
          <w:vertAlign w:val="subscript"/>
        </w:rPr>
        <w:t>0</w:t>
      </w:r>
      <w:r w:rsidR="00A462C6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A462C6">
        <w:rPr>
          <w:rFonts w:cs="Times New Roman"/>
          <w:b w:val="0"/>
          <w:bCs/>
        </w:rPr>
        <w:t>b</w:t>
      </w:r>
      <w:r w:rsidR="00A462C6" w:rsidRPr="000E1082">
        <w:rPr>
          <w:rFonts w:cs="Times New Roman"/>
          <w:b w:val="0"/>
          <w:bCs/>
          <w:vertAlign w:val="subscript"/>
        </w:rPr>
        <w:t>1</w:t>
      </w:r>
      <w:r w:rsidR="00A462C6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A462C6">
        <w:rPr>
          <w:rFonts w:cs="Times New Roman"/>
          <w:b w:val="0"/>
          <w:bCs/>
        </w:rPr>
        <w:t>b</w:t>
      </w:r>
      <w:r w:rsidR="00A462C6">
        <w:rPr>
          <w:rFonts w:cs="Times New Roman"/>
          <w:b w:val="0"/>
          <w:bCs/>
          <w:vertAlign w:val="subscript"/>
        </w:rPr>
        <w:t>2</w:t>
      </w:r>
      <w:r w:rsidR="005A454A">
        <w:rPr>
          <w:rFonts w:cs="Times New Roman"/>
          <w:b w:val="0"/>
          <w:bCs/>
        </w:rPr>
        <w:t>)</w:t>
      </w:r>
      <w:r w:rsidR="00A15F67">
        <w:rPr>
          <w:rFonts w:cs="Times New Roman"/>
          <w:b w:val="0"/>
          <w:bCs/>
        </w:rPr>
        <w:t xml:space="preserve"> = b</w:t>
      </w:r>
      <w:r w:rsidR="00A15F67" w:rsidRPr="000E1082">
        <w:rPr>
          <w:rFonts w:cs="Times New Roman"/>
          <w:b w:val="0"/>
          <w:bCs/>
          <w:vertAlign w:val="subscript"/>
        </w:rPr>
        <w:t>1</w:t>
      </w:r>
    </w:p>
    <w:p w14:paraId="3913074F" w14:textId="3BC230A8" w:rsidR="004D24B3" w:rsidRPr="005A454A" w:rsidRDefault="00340370" w:rsidP="004D24B3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Adjacent</w:t>
      </w:r>
      <w:r w:rsidR="004D24B3">
        <w:rPr>
          <w:rFonts w:cs="Times New Roman"/>
          <w:b w:val="0"/>
          <w:bCs/>
        </w:rPr>
        <w:t xml:space="preserve"> vs. Horizontal: M</w:t>
      </w:r>
      <w:r w:rsidR="003D0D09">
        <w:rPr>
          <w:rFonts w:cs="Times New Roman"/>
          <w:b w:val="0"/>
          <w:bCs/>
          <w:vertAlign w:val="subscript"/>
        </w:rPr>
        <w:t>A</w:t>
      </w:r>
      <w:r w:rsidR="004D24B3" w:rsidRPr="00FB60DB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-</m:t>
        </m:r>
      </m:oMath>
      <w:r w:rsidR="004D24B3">
        <w:rPr>
          <w:rFonts w:cs="Times New Roman"/>
          <w:b w:val="0"/>
          <w:bCs/>
        </w:rPr>
        <w:t xml:space="preserve"> M</w:t>
      </w:r>
      <w:r w:rsidR="004D24B3" w:rsidRPr="00F12276">
        <w:rPr>
          <w:rFonts w:cs="Times New Roman"/>
          <w:b w:val="0"/>
          <w:bCs/>
          <w:vertAlign w:val="subscript"/>
        </w:rPr>
        <w:t>H</w:t>
      </w:r>
      <w:r w:rsidR="004D24B3">
        <w:rPr>
          <w:rFonts w:cs="Times New Roman"/>
          <w:b w:val="0"/>
          <w:bCs/>
        </w:rPr>
        <w:t xml:space="preserve"> = (</w:t>
      </w:r>
      <w:r w:rsidR="003D0D09">
        <w:rPr>
          <w:rFonts w:cs="Times New Roman"/>
          <w:b w:val="0"/>
          <w:bCs/>
        </w:rPr>
        <w:t>b</w:t>
      </w:r>
      <w:r w:rsidR="003D0D09" w:rsidRPr="00C6625F">
        <w:rPr>
          <w:rFonts w:cs="Times New Roman"/>
          <w:b w:val="0"/>
          <w:bCs/>
          <w:vertAlign w:val="subscript"/>
        </w:rPr>
        <w:t>0</w:t>
      </w:r>
      <w:r w:rsidR="003D0D09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3D0D09">
        <w:rPr>
          <w:rFonts w:cs="Times New Roman"/>
          <w:b w:val="0"/>
          <w:bCs/>
        </w:rPr>
        <w:t>b</w:t>
      </w:r>
      <w:r w:rsidR="003D0D09" w:rsidRPr="000E1082">
        <w:rPr>
          <w:rFonts w:cs="Times New Roman"/>
          <w:b w:val="0"/>
          <w:bCs/>
          <w:vertAlign w:val="subscript"/>
        </w:rPr>
        <w:t>1</w:t>
      </w:r>
      <w:r w:rsidR="003D0D09">
        <w:rPr>
          <w:rFonts w:cs="Times New Roman"/>
          <w:b w:val="0"/>
          <w:bCs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3D0D09">
        <w:rPr>
          <w:rFonts w:cs="Times New Roman"/>
          <w:b w:val="0"/>
          <w:bCs/>
        </w:rPr>
        <w:t>b</w:t>
      </w:r>
      <w:r w:rsidR="003D0D09">
        <w:rPr>
          <w:rFonts w:cs="Times New Roman"/>
          <w:b w:val="0"/>
          <w:bCs/>
          <w:vertAlign w:val="subscript"/>
        </w:rPr>
        <w:t>2</w:t>
      </w:r>
      <w:r w:rsidR="004D24B3">
        <w:rPr>
          <w:rFonts w:cs="Times New Roman"/>
          <w:b w:val="0"/>
          <w:bCs/>
        </w:rPr>
        <w:t xml:space="preserve">) </w:t>
      </w:r>
      <m:oMath>
        <m:r>
          <m:rPr>
            <m:sty m:val="bi"/>
          </m:rPr>
          <w:rPr>
            <w:rFonts w:ascii="Cambria Math" w:hAnsi="Cambria Math" w:cs="Times New Roman"/>
          </w:rPr>
          <m:t>–</m:t>
        </m:r>
      </m:oMath>
      <w:r w:rsidR="004D24B3">
        <w:rPr>
          <w:rFonts w:cs="Times New Roman"/>
          <w:b w:val="0"/>
          <w:bCs/>
        </w:rPr>
        <w:t xml:space="preserve"> (b</w:t>
      </w:r>
      <w:r w:rsidR="004D24B3" w:rsidRPr="00C6625F">
        <w:rPr>
          <w:rFonts w:cs="Times New Roman"/>
          <w:b w:val="0"/>
          <w:bCs/>
          <w:vertAlign w:val="subscript"/>
        </w:rPr>
        <w:t>0</w:t>
      </w:r>
      <w:r w:rsidR="004D24B3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4D24B3">
        <w:rPr>
          <w:rFonts w:cs="Times New Roman"/>
          <w:b w:val="0"/>
          <w:bCs/>
        </w:rPr>
        <w:t>b</w:t>
      </w:r>
      <w:r w:rsidR="004D24B3" w:rsidRPr="000E1082">
        <w:rPr>
          <w:rFonts w:cs="Times New Roman"/>
          <w:b w:val="0"/>
          <w:bCs/>
          <w:vertAlign w:val="subscript"/>
        </w:rPr>
        <w:t>1</w:t>
      </w:r>
      <w:r w:rsidR="004D24B3">
        <w:rPr>
          <w:rFonts w:cs="Times New Roman"/>
          <w:b w:val="0"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b w:val="0"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4D24B3">
        <w:rPr>
          <w:rFonts w:cs="Times New Roman"/>
          <w:b w:val="0"/>
          <w:bCs/>
        </w:rPr>
        <w:t>b</w:t>
      </w:r>
      <w:r w:rsidR="004D24B3">
        <w:rPr>
          <w:rFonts w:cs="Times New Roman"/>
          <w:b w:val="0"/>
          <w:bCs/>
          <w:vertAlign w:val="subscript"/>
        </w:rPr>
        <w:t>2</w:t>
      </w:r>
      <w:r w:rsidR="004D24B3">
        <w:rPr>
          <w:rFonts w:cs="Times New Roman"/>
          <w:b w:val="0"/>
          <w:bCs/>
        </w:rPr>
        <w:t>) = b</w:t>
      </w:r>
      <w:r w:rsidR="003D0D09">
        <w:rPr>
          <w:rFonts w:cs="Times New Roman"/>
          <w:b w:val="0"/>
          <w:bCs/>
          <w:vertAlign w:val="subscript"/>
        </w:rPr>
        <w:t>2</w:t>
      </w:r>
    </w:p>
    <w:p w14:paraId="57E12890" w14:textId="55A5E2DA" w:rsidR="00F12276" w:rsidRDefault="0081572C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Therefore, </w:t>
      </w:r>
      <w:r w:rsidR="0060547B">
        <w:rPr>
          <w:rFonts w:cs="Times New Roman"/>
          <w:b w:val="0"/>
          <w:bCs/>
        </w:rPr>
        <w:t>with the current coding scheme,</w:t>
      </w:r>
      <w:r w:rsidR="00BE500F">
        <w:rPr>
          <w:rFonts w:cs="Times New Roman"/>
          <w:b w:val="0"/>
          <w:bCs/>
        </w:rPr>
        <w:t xml:space="preserve"> we interpreted </w:t>
      </w:r>
      <w:r w:rsidR="0060547B">
        <w:rPr>
          <w:rFonts w:cs="Times New Roman"/>
          <w:b w:val="0"/>
          <w:bCs/>
        </w:rPr>
        <w:t>b</w:t>
      </w:r>
      <w:r w:rsidR="0060547B" w:rsidRPr="000E1082">
        <w:rPr>
          <w:rFonts w:cs="Times New Roman"/>
          <w:b w:val="0"/>
          <w:bCs/>
          <w:vertAlign w:val="subscript"/>
        </w:rPr>
        <w:t>1</w:t>
      </w:r>
      <w:r w:rsidR="0060547B">
        <w:rPr>
          <w:rFonts w:cs="Times New Roman"/>
          <w:b w:val="0"/>
          <w:bCs/>
        </w:rPr>
        <w:t xml:space="preserve"> as the mean difference between vertical and horizontal formats, and</w:t>
      </w:r>
      <w:r w:rsidR="0060547B">
        <w:rPr>
          <w:rFonts w:cs="Times New Roman"/>
          <w:b w:val="0"/>
          <w:bCs/>
          <w:vertAlign w:val="subscript"/>
        </w:rPr>
        <w:t xml:space="preserve"> </w:t>
      </w:r>
      <w:r w:rsidR="0060547B">
        <w:rPr>
          <w:rFonts w:cs="Times New Roman"/>
          <w:b w:val="0"/>
          <w:bCs/>
        </w:rPr>
        <w:t>b</w:t>
      </w:r>
      <w:r w:rsidR="0060547B">
        <w:rPr>
          <w:rFonts w:cs="Times New Roman"/>
          <w:b w:val="0"/>
          <w:bCs/>
          <w:vertAlign w:val="subscript"/>
        </w:rPr>
        <w:t xml:space="preserve">2 </w:t>
      </w:r>
      <w:r w:rsidR="0060547B">
        <w:rPr>
          <w:rFonts w:cs="Times New Roman"/>
          <w:b w:val="0"/>
          <w:bCs/>
        </w:rPr>
        <w:t xml:space="preserve">as the mean difference between </w:t>
      </w:r>
      <w:r w:rsidR="00A61FA7">
        <w:rPr>
          <w:rFonts w:cs="Times New Roman"/>
          <w:b w:val="0"/>
          <w:bCs/>
        </w:rPr>
        <w:t>adjacent</w:t>
      </w:r>
      <w:r w:rsidR="0060547B">
        <w:rPr>
          <w:rFonts w:cs="Times New Roman"/>
          <w:b w:val="0"/>
          <w:bCs/>
        </w:rPr>
        <w:t xml:space="preserve"> and horizontal formats</w:t>
      </w:r>
      <w:r w:rsidR="00F22CB1">
        <w:rPr>
          <w:rFonts w:cs="Times New Roman"/>
          <w:b w:val="0"/>
          <w:bCs/>
        </w:rPr>
        <w:t xml:space="preserve">. </w:t>
      </w:r>
    </w:p>
    <w:p w14:paraId="42D2DF30" w14:textId="77777777" w:rsidR="004B7152" w:rsidRPr="00CC71D4" w:rsidRDefault="004B7152" w:rsidP="00CC71D4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</w:p>
    <w:p w14:paraId="4D423AB9" w14:textId="70C21754" w:rsidR="00DC0360" w:rsidRPr="00212613" w:rsidRDefault="00DC0360" w:rsidP="00DC0360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</w:rPr>
      </w:pPr>
      <w:r>
        <w:rPr>
          <w:rFonts w:cs="Times New Roman"/>
          <w:b w:val="0"/>
        </w:rPr>
        <w:t>Centering</w:t>
      </w:r>
      <w:r w:rsidRPr="00212613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for Continuous Predictors</w:t>
      </w:r>
    </w:p>
    <w:p w14:paraId="4E7D749B" w14:textId="07538BD5" w:rsidR="003A5C03" w:rsidRDefault="00DC0360" w:rsidP="00492BF7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For L2 proficiency scores as a between-subject variable, grand mean centering was conducted with each participant’s score minus all participants’ average score (</w:t>
      </w:r>
      <w:r w:rsidRPr="00C9457A">
        <w:rPr>
          <w:rFonts w:cs="Times New Roman"/>
          <w:b w:val="0"/>
          <w:bCs/>
        </w:rPr>
        <w:t>Brauer &amp; Curtin, 2018</w:t>
      </w:r>
      <w:r>
        <w:rPr>
          <w:rFonts w:cs="Times New Roman"/>
          <w:b w:val="0"/>
          <w:bCs/>
        </w:rPr>
        <w:t>).</w:t>
      </w:r>
      <w:r w:rsidRPr="00212613">
        <w:rPr>
          <w:rFonts w:cs="Times New Roman"/>
          <w:b w:val="0"/>
          <w:bCs/>
        </w:rPr>
        <w:t xml:space="preserve"> </w:t>
      </w:r>
      <w:r>
        <w:rPr>
          <w:rFonts w:cs="Times New Roman"/>
          <w:b w:val="0"/>
          <w:bCs/>
        </w:rPr>
        <w:t>For</w:t>
      </w:r>
      <w:r w:rsidRPr="00212613">
        <w:rPr>
          <w:rFonts w:cs="Times New Roman"/>
          <w:b w:val="0"/>
          <w:bCs/>
        </w:rPr>
        <w:t xml:space="preserve"> preference ratings</w:t>
      </w:r>
      <w:r>
        <w:rPr>
          <w:rFonts w:cs="Times New Roman"/>
          <w:b w:val="0"/>
          <w:bCs/>
        </w:rPr>
        <w:t xml:space="preserve"> as a within-subject variable,</w:t>
      </w:r>
      <w:r w:rsidRPr="00212613">
        <w:rPr>
          <w:rFonts w:cs="Times New Roman"/>
          <w:b w:val="0"/>
          <w:bCs/>
        </w:rPr>
        <w:t xml:space="preserve"> </w:t>
      </w:r>
      <w:r>
        <w:rPr>
          <w:rFonts w:cs="Times New Roman"/>
          <w:b w:val="0"/>
          <w:bCs/>
        </w:rPr>
        <w:t xml:space="preserve">group mean centering was conducted with each rating </w:t>
      </w:r>
      <w:r w:rsidR="00FD3A56">
        <w:rPr>
          <w:rFonts w:cs="Times New Roman"/>
          <w:b w:val="0"/>
          <w:bCs/>
        </w:rPr>
        <w:t xml:space="preserve">of a participant </w:t>
      </w:r>
      <w:r>
        <w:rPr>
          <w:rFonts w:cs="Times New Roman"/>
          <w:b w:val="0"/>
          <w:bCs/>
        </w:rPr>
        <w:t>minus that participant’s average rating for three formats (</w:t>
      </w:r>
      <w:r w:rsidRPr="00C9457A">
        <w:rPr>
          <w:rFonts w:cs="Times New Roman"/>
          <w:b w:val="0"/>
          <w:bCs/>
        </w:rPr>
        <w:t>Brauer &amp; Curtin, 2018</w:t>
      </w:r>
      <w:r>
        <w:rPr>
          <w:rFonts w:cs="Times New Roman"/>
          <w:b w:val="0"/>
          <w:bCs/>
        </w:rPr>
        <w:t>)</w:t>
      </w:r>
      <w:r w:rsidRPr="00212613">
        <w:rPr>
          <w:rFonts w:cs="Times New Roman"/>
          <w:b w:val="0"/>
          <w:bCs/>
        </w:rPr>
        <w:t xml:space="preserve">. </w:t>
      </w:r>
    </w:p>
    <w:p w14:paraId="583A65D2" w14:textId="77777777" w:rsidR="00991481" w:rsidRDefault="00991481" w:rsidP="00E32401">
      <w:pPr>
        <w:pStyle w:val="APALevel2"/>
        <w:snapToGrid w:val="0"/>
        <w:spacing w:line="276" w:lineRule="auto"/>
        <w:rPr>
          <w:rFonts w:cs="Times New Roman"/>
          <w:b w:val="0"/>
          <w:bCs/>
        </w:rPr>
      </w:pPr>
    </w:p>
    <w:p w14:paraId="68B9B340" w14:textId="75D3D4ED" w:rsidR="00991481" w:rsidRDefault="006C19B5" w:rsidP="00991481">
      <w:pPr>
        <w:pStyle w:val="APALevel2"/>
        <w:numPr>
          <w:ilvl w:val="0"/>
          <w:numId w:val="1"/>
        </w:numPr>
        <w:snapToGrid w:val="0"/>
        <w:spacing w:line="276" w:lineRule="auto"/>
        <w:ind w:left="36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Model </w:t>
      </w:r>
      <w:r w:rsidR="006F70B7">
        <w:rPr>
          <w:rFonts w:cs="Times New Roman"/>
          <w:b w:val="0"/>
          <w:bCs/>
        </w:rPr>
        <w:t>Diagnostics</w:t>
      </w:r>
    </w:p>
    <w:p w14:paraId="5B81DD40" w14:textId="0B44A849" w:rsidR="00743AD8" w:rsidRDefault="006C19B5" w:rsidP="00743AD8">
      <w:pPr>
        <w:pStyle w:val="APALevel2"/>
        <w:snapToGrid w:val="0"/>
        <w:spacing w:line="276" w:lineRule="auto"/>
        <w:ind w:firstLine="720"/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 xml:space="preserve">Following Gries’ (2021) recommendation, we conducted model diagnostics for </w:t>
      </w:r>
      <w:r w:rsidR="002559F5">
        <w:rPr>
          <w:rFonts w:cs="Times New Roman"/>
          <w:b w:val="0"/>
          <w:bCs/>
        </w:rPr>
        <w:t>the</w:t>
      </w:r>
      <w:r w:rsidR="00382D1E">
        <w:rPr>
          <w:rFonts w:cs="Times New Roman"/>
          <w:b w:val="0"/>
          <w:bCs/>
        </w:rPr>
        <w:t xml:space="preserve"> two</w:t>
      </w:r>
      <w:r w:rsidR="002559F5">
        <w:rPr>
          <w:rFonts w:cs="Times New Roman"/>
          <w:b w:val="0"/>
          <w:bCs/>
        </w:rPr>
        <w:t xml:space="preserve"> final mixed effects models</w:t>
      </w:r>
      <w:r w:rsidR="00166CBB">
        <w:rPr>
          <w:rFonts w:cs="Times New Roman"/>
          <w:b w:val="0"/>
          <w:bCs/>
        </w:rPr>
        <w:t>, by using the D</w:t>
      </w:r>
      <w:r w:rsidR="00C36BA9">
        <w:rPr>
          <w:rFonts w:cs="Times New Roman"/>
          <w:b w:val="0"/>
          <w:bCs/>
        </w:rPr>
        <w:t>HARMa package</w:t>
      </w:r>
      <w:r w:rsidR="00C36BA9" w:rsidRPr="00C36BA9">
        <w:rPr>
          <w:rFonts w:cs="Times New Roman"/>
          <w:b w:val="0"/>
          <w:bCs/>
        </w:rPr>
        <w:t xml:space="preserve"> </w:t>
      </w:r>
      <w:r w:rsidR="00C36BA9">
        <w:rPr>
          <w:rFonts w:cs="Times New Roman"/>
          <w:b w:val="0"/>
          <w:bCs/>
        </w:rPr>
        <w:t>(</w:t>
      </w:r>
      <w:r w:rsidR="005D7AFD">
        <w:rPr>
          <w:rFonts w:cs="Times New Roman"/>
          <w:b w:val="0"/>
          <w:bCs/>
        </w:rPr>
        <w:t xml:space="preserve">v0.4.5; </w:t>
      </w:r>
      <w:r w:rsidR="00C36BA9" w:rsidRPr="00C36BA9">
        <w:rPr>
          <w:rFonts w:cs="Times New Roman"/>
          <w:b w:val="0"/>
          <w:bCs/>
        </w:rPr>
        <w:t>Hartig</w:t>
      </w:r>
      <w:r w:rsidR="00C36BA9">
        <w:rPr>
          <w:rFonts w:cs="Times New Roman"/>
          <w:b w:val="0"/>
          <w:bCs/>
        </w:rPr>
        <w:t>, 2022)</w:t>
      </w:r>
      <w:r w:rsidR="005D7AFD">
        <w:rPr>
          <w:rFonts w:cs="Times New Roman"/>
          <w:b w:val="0"/>
          <w:bCs/>
        </w:rPr>
        <w:t xml:space="preserve"> in R (</w:t>
      </w:r>
      <w:r w:rsidR="003E03E7" w:rsidRPr="00212613">
        <w:rPr>
          <w:rFonts w:cs="Times New Roman"/>
          <w:b w:val="0"/>
          <w:bCs/>
        </w:rPr>
        <w:t>v4.</w:t>
      </w:r>
      <w:r w:rsidR="003E03E7">
        <w:rPr>
          <w:rFonts w:cs="Times New Roman"/>
          <w:b w:val="0"/>
          <w:bCs/>
        </w:rPr>
        <w:t>1</w:t>
      </w:r>
      <w:r w:rsidR="003E03E7" w:rsidRPr="00212613">
        <w:rPr>
          <w:rFonts w:cs="Times New Roman"/>
          <w:b w:val="0"/>
          <w:bCs/>
        </w:rPr>
        <w:t>.2; R Core Team, 20</w:t>
      </w:r>
      <w:r w:rsidR="003E03E7">
        <w:rPr>
          <w:rFonts w:cs="Times New Roman"/>
          <w:b w:val="0"/>
          <w:bCs/>
        </w:rPr>
        <w:t>21</w:t>
      </w:r>
      <w:r w:rsidR="005D7AFD">
        <w:rPr>
          <w:rFonts w:cs="Times New Roman"/>
          <w:b w:val="0"/>
          <w:bCs/>
        </w:rPr>
        <w:t>)</w:t>
      </w:r>
      <w:r w:rsidR="002559F5">
        <w:rPr>
          <w:rFonts w:cs="Times New Roman"/>
          <w:b w:val="0"/>
          <w:bCs/>
        </w:rPr>
        <w:t xml:space="preserve">. </w:t>
      </w:r>
      <w:r w:rsidR="00B14A56">
        <w:rPr>
          <w:rFonts w:cs="Times New Roman"/>
          <w:b w:val="0"/>
          <w:bCs/>
        </w:rPr>
        <w:t xml:space="preserve">Specifically, we used the </w:t>
      </w:r>
      <w:r w:rsidR="00256E25">
        <w:rPr>
          <w:rFonts w:cs="Times New Roman"/>
          <w:b w:val="0"/>
          <w:bCs/>
        </w:rPr>
        <w:t>plot</w:t>
      </w:r>
      <w:r w:rsidR="00323171">
        <w:rPr>
          <w:rFonts w:cs="Times New Roman"/>
          <w:b w:val="0"/>
          <w:bCs/>
        </w:rPr>
        <w:t>QQunif</w:t>
      </w:r>
      <w:r w:rsidR="00845199">
        <w:rPr>
          <w:rFonts w:cs="Times New Roman"/>
          <w:b w:val="0"/>
          <w:bCs/>
        </w:rPr>
        <w:t xml:space="preserve"> and plotResidual</w:t>
      </w:r>
      <w:r w:rsidR="00256E25">
        <w:rPr>
          <w:rFonts w:cs="Times New Roman"/>
          <w:b w:val="0"/>
          <w:bCs/>
        </w:rPr>
        <w:t xml:space="preserve"> function</w:t>
      </w:r>
      <w:r w:rsidR="00845199">
        <w:rPr>
          <w:rFonts w:cs="Times New Roman"/>
          <w:b w:val="0"/>
          <w:bCs/>
        </w:rPr>
        <w:t xml:space="preserve">s to check the residual patterns of the </w:t>
      </w:r>
      <w:r w:rsidR="00692441">
        <w:rPr>
          <w:rFonts w:cs="Times New Roman"/>
          <w:b w:val="0"/>
          <w:bCs/>
        </w:rPr>
        <w:t>mixed logit model</w:t>
      </w:r>
      <w:r w:rsidR="007B33DF">
        <w:rPr>
          <w:rFonts w:cs="Times New Roman"/>
          <w:b w:val="0"/>
          <w:bCs/>
        </w:rPr>
        <w:t>.</w:t>
      </w:r>
      <w:r w:rsidR="00743AD8">
        <w:rPr>
          <w:rFonts w:cs="Times New Roman"/>
          <w:b w:val="0"/>
          <w:bCs/>
        </w:rPr>
        <w:t xml:space="preserve"> </w:t>
      </w:r>
      <w:r w:rsidR="007B33DF">
        <w:rPr>
          <w:rFonts w:cs="Times New Roman"/>
          <w:b w:val="0"/>
          <w:bCs/>
        </w:rPr>
        <w:t>T</w:t>
      </w:r>
      <w:r w:rsidR="00191986">
        <w:rPr>
          <w:rFonts w:cs="Times New Roman"/>
          <w:b w:val="0"/>
          <w:bCs/>
        </w:rPr>
        <w:t xml:space="preserve">he residual plots </w:t>
      </w:r>
      <w:r w:rsidR="008516B1">
        <w:rPr>
          <w:rFonts w:cs="Times New Roman"/>
          <w:b w:val="0"/>
          <w:bCs/>
        </w:rPr>
        <w:t xml:space="preserve">(see Figure 2) </w:t>
      </w:r>
      <w:r w:rsidR="00191986">
        <w:rPr>
          <w:rFonts w:cs="Times New Roman"/>
          <w:b w:val="0"/>
          <w:bCs/>
        </w:rPr>
        <w:t xml:space="preserve">did not </w:t>
      </w:r>
      <w:r w:rsidR="00416491">
        <w:rPr>
          <w:rFonts w:cs="Times New Roman"/>
          <w:b w:val="0"/>
          <w:bCs/>
        </w:rPr>
        <w:t xml:space="preserve">flag </w:t>
      </w:r>
      <w:r w:rsidR="00191986">
        <w:rPr>
          <w:rFonts w:cs="Times New Roman"/>
          <w:b w:val="0"/>
          <w:bCs/>
        </w:rPr>
        <w:lastRenderedPageBreak/>
        <w:t xml:space="preserve">serious </w:t>
      </w:r>
      <w:r w:rsidR="007E2E99">
        <w:rPr>
          <w:rFonts w:cs="Times New Roman"/>
          <w:b w:val="0"/>
          <w:bCs/>
        </w:rPr>
        <w:t>issues</w:t>
      </w:r>
      <w:r w:rsidR="00191986">
        <w:rPr>
          <w:rFonts w:cs="Times New Roman"/>
          <w:b w:val="0"/>
          <w:bCs/>
        </w:rPr>
        <w:t xml:space="preserve">. </w:t>
      </w:r>
      <w:r w:rsidR="00743AD8">
        <w:rPr>
          <w:rFonts w:cs="Times New Roman"/>
          <w:b w:val="0"/>
          <w:bCs/>
        </w:rPr>
        <w:t xml:space="preserve">For the hurdle mixed effects model, in addition to creating residual plots with the plotQQunif and plotResidual functions, we also used the </w:t>
      </w:r>
      <w:r w:rsidR="00DF4C82">
        <w:rPr>
          <w:rFonts w:cs="Times New Roman"/>
          <w:b w:val="0"/>
          <w:bCs/>
        </w:rPr>
        <w:t xml:space="preserve">testDispersion and </w:t>
      </w:r>
      <w:r w:rsidR="00743AD8">
        <w:rPr>
          <w:rFonts w:cs="Times New Roman"/>
          <w:b w:val="0"/>
          <w:bCs/>
        </w:rPr>
        <w:t>testZeroInflation</w:t>
      </w:r>
      <w:r w:rsidR="00DF4C82">
        <w:rPr>
          <w:rFonts w:cs="Times New Roman"/>
          <w:b w:val="0"/>
          <w:bCs/>
        </w:rPr>
        <w:t xml:space="preserve"> functions to </w:t>
      </w:r>
      <w:r w:rsidR="00EF48AC">
        <w:rPr>
          <w:rFonts w:cs="Times New Roman"/>
          <w:b w:val="0"/>
          <w:bCs/>
        </w:rPr>
        <w:t xml:space="preserve">check whether </w:t>
      </w:r>
      <w:r w:rsidR="00AA081D">
        <w:rPr>
          <w:rFonts w:cs="Times New Roman"/>
          <w:b w:val="0"/>
          <w:bCs/>
        </w:rPr>
        <w:t>over</w:t>
      </w:r>
      <w:r w:rsidR="00EF5C48">
        <w:rPr>
          <w:rFonts w:cs="Times New Roman"/>
          <w:b w:val="0"/>
          <w:bCs/>
        </w:rPr>
        <w:t>-</w:t>
      </w:r>
      <w:r w:rsidR="00AA081D">
        <w:rPr>
          <w:rFonts w:cs="Times New Roman"/>
          <w:b w:val="0"/>
          <w:bCs/>
        </w:rPr>
        <w:t>dispersion or zero</w:t>
      </w:r>
      <w:r w:rsidR="00EF5C48">
        <w:rPr>
          <w:rFonts w:cs="Times New Roman"/>
          <w:b w:val="0"/>
          <w:bCs/>
        </w:rPr>
        <w:t>-</w:t>
      </w:r>
      <w:r w:rsidR="00AA081D">
        <w:rPr>
          <w:rFonts w:cs="Times New Roman"/>
          <w:b w:val="0"/>
          <w:bCs/>
        </w:rPr>
        <w:t>inflation existed in the model.</w:t>
      </w:r>
      <w:r w:rsidR="001602C9">
        <w:rPr>
          <w:rFonts w:cs="Times New Roman"/>
          <w:b w:val="0"/>
          <w:bCs/>
        </w:rPr>
        <w:t xml:space="preserve"> The residual plots </w:t>
      </w:r>
      <w:r w:rsidR="006146EA">
        <w:rPr>
          <w:rFonts w:cs="Times New Roman"/>
          <w:b w:val="0"/>
          <w:bCs/>
        </w:rPr>
        <w:t xml:space="preserve">(see Figure 3) </w:t>
      </w:r>
      <w:r w:rsidR="00F30575">
        <w:rPr>
          <w:rFonts w:cs="Times New Roman"/>
          <w:b w:val="0"/>
          <w:bCs/>
        </w:rPr>
        <w:t>d</w:t>
      </w:r>
      <w:r w:rsidR="00EF5C48">
        <w:rPr>
          <w:rFonts w:cs="Times New Roman"/>
          <w:b w:val="0"/>
          <w:bCs/>
        </w:rPr>
        <w:t>o</w:t>
      </w:r>
      <w:r w:rsidR="00F30575">
        <w:rPr>
          <w:rFonts w:cs="Times New Roman"/>
          <w:b w:val="0"/>
          <w:bCs/>
        </w:rPr>
        <w:t xml:space="preserve"> not </w:t>
      </w:r>
      <w:r w:rsidR="00416491">
        <w:rPr>
          <w:rFonts w:cs="Times New Roman"/>
          <w:b w:val="0"/>
          <w:bCs/>
        </w:rPr>
        <w:t xml:space="preserve">show </w:t>
      </w:r>
      <w:r w:rsidR="00F30575">
        <w:rPr>
          <w:rFonts w:cs="Times New Roman"/>
          <w:b w:val="0"/>
          <w:bCs/>
        </w:rPr>
        <w:t xml:space="preserve">serious </w:t>
      </w:r>
      <w:r w:rsidR="00B67F40">
        <w:rPr>
          <w:rFonts w:cs="Times New Roman"/>
          <w:b w:val="0"/>
          <w:bCs/>
        </w:rPr>
        <w:t>issues</w:t>
      </w:r>
      <w:r w:rsidR="00F30575">
        <w:rPr>
          <w:rFonts w:cs="Times New Roman"/>
          <w:b w:val="0"/>
          <w:bCs/>
        </w:rPr>
        <w:t xml:space="preserve"> except some outliers. </w:t>
      </w:r>
      <w:r w:rsidR="00923492">
        <w:rPr>
          <w:rFonts w:cs="Times New Roman"/>
          <w:b w:val="0"/>
          <w:bCs/>
        </w:rPr>
        <w:t>T</w:t>
      </w:r>
      <w:r w:rsidR="00A06143">
        <w:rPr>
          <w:rFonts w:cs="Times New Roman"/>
          <w:b w:val="0"/>
          <w:bCs/>
        </w:rPr>
        <w:t>he simulation plots</w:t>
      </w:r>
      <w:r w:rsidR="00CB2B65">
        <w:rPr>
          <w:rFonts w:cs="Times New Roman"/>
          <w:b w:val="0"/>
          <w:bCs/>
        </w:rPr>
        <w:t xml:space="preserve"> </w:t>
      </w:r>
      <w:r w:rsidR="007963DB">
        <w:rPr>
          <w:rFonts w:cs="Times New Roman"/>
          <w:b w:val="0"/>
          <w:bCs/>
        </w:rPr>
        <w:t xml:space="preserve">(see Figure 3) </w:t>
      </w:r>
      <w:r w:rsidR="00E22120">
        <w:rPr>
          <w:rFonts w:cs="Times New Roman"/>
          <w:b w:val="0"/>
          <w:bCs/>
        </w:rPr>
        <w:t>do not</w:t>
      </w:r>
      <w:r w:rsidR="00154C26">
        <w:rPr>
          <w:rFonts w:cs="Times New Roman"/>
          <w:b w:val="0"/>
          <w:bCs/>
        </w:rPr>
        <w:t xml:space="preserve"> </w:t>
      </w:r>
      <w:r w:rsidR="00416491">
        <w:rPr>
          <w:rFonts w:cs="Times New Roman"/>
          <w:b w:val="0"/>
          <w:bCs/>
        </w:rPr>
        <w:t xml:space="preserve">identify </w:t>
      </w:r>
      <w:r w:rsidR="00CB2B65">
        <w:rPr>
          <w:rFonts w:cs="Times New Roman"/>
          <w:b w:val="0"/>
          <w:bCs/>
        </w:rPr>
        <w:t>over</w:t>
      </w:r>
      <w:r w:rsidR="009358CA">
        <w:rPr>
          <w:rFonts w:cs="Times New Roman"/>
          <w:b w:val="0"/>
          <w:bCs/>
        </w:rPr>
        <w:t>-</w:t>
      </w:r>
      <w:r w:rsidR="00CB2B65">
        <w:rPr>
          <w:rFonts w:cs="Times New Roman"/>
          <w:b w:val="0"/>
          <w:bCs/>
        </w:rPr>
        <w:t>dispersion or zero</w:t>
      </w:r>
      <w:r w:rsidR="009358CA">
        <w:rPr>
          <w:rFonts w:cs="Times New Roman"/>
          <w:b w:val="0"/>
          <w:bCs/>
        </w:rPr>
        <w:t>-i</w:t>
      </w:r>
      <w:r w:rsidR="00CB2B65">
        <w:rPr>
          <w:rFonts w:cs="Times New Roman"/>
          <w:b w:val="0"/>
          <w:bCs/>
        </w:rPr>
        <w:t>nflation</w:t>
      </w:r>
      <w:r w:rsidR="00416491">
        <w:rPr>
          <w:rFonts w:cs="Times New Roman"/>
          <w:b w:val="0"/>
          <w:bCs/>
        </w:rPr>
        <w:t xml:space="preserve"> issues</w:t>
      </w:r>
      <w:r w:rsidR="00CB2B65">
        <w:rPr>
          <w:rFonts w:cs="Times New Roman"/>
          <w:b w:val="0"/>
          <w:bCs/>
        </w:rPr>
        <w:t xml:space="preserve"> </w:t>
      </w:r>
      <w:r w:rsidR="00E22120">
        <w:rPr>
          <w:rFonts w:cs="Times New Roman"/>
          <w:b w:val="0"/>
          <w:bCs/>
        </w:rPr>
        <w:t>in the model</w:t>
      </w:r>
      <w:r w:rsidR="00B01F90">
        <w:rPr>
          <w:rFonts w:cs="Times New Roman"/>
          <w:b w:val="0"/>
          <w:bCs/>
        </w:rPr>
        <w:t>.</w:t>
      </w:r>
      <w:r w:rsidR="00804141">
        <w:rPr>
          <w:rFonts w:cs="Times New Roman"/>
          <w:b w:val="0"/>
          <w:bCs/>
        </w:rPr>
        <w:t xml:space="preserve"> Overall, these model diagnostics </w:t>
      </w:r>
      <w:r w:rsidR="00F03CF4">
        <w:rPr>
          <w:rFonts w:cs="Times New Roman"/>
          <w:b w:val="0"/>
          <w:bCs/>
        </w:rPr>
        <w:t xml:space="preserve">indicate </w:t>
      </w:r>
      <w:r w:rsidR="00A91D8C">
        <w:rPr>
          <w:rFonts w:cs="Times New Roman"/>
          <w:b w:val="0"/>
          <w:bCs/>
        </w:rPr>
        <w:t>the lack of</w:t>
      </w:r>
      <w:r w:rsidR="00D9565E">
        <w:rPr>
          <w:rFonts w:cs="Times New Roman"/>
          <w:b w:val="0"/>
          <w:bCs/>
        </w:rPr>
        <w:t xml:space="preserve"> </w:t>
      </w:r>
      <w:r w:rsidR="00F03CF4">
        <w:rPr>
          <w:rFonts w:cs="Times New Roman"/>
          <w:b w:val="0"/>
          <w:bCs/>
        </w:rPr>
        <w:t xml:space="preserve">serious problems in the two mixed effects models. </w:t>
      </w:r>
      <w:r w:rsidR="00B01F90">
        <w:rPr>
          <w:rFonts w:cs="Times New Roman"/>
          <w:b w:val="0"/>
          <w:bCs/>
        </w:rPr>
        <w:t xml:space="preserve"> </w:t>
      </w:r>
      <w:r w:rsidR="00057279">
        <w:rPr>
          <w:rFonts w:cs="Times New Roman"/>
          <w:b w:val="0"/>
          <w:bCs/>
        </w:rPr>
        <w:t xml:space="preserve"> </w:t>
      </w:r>
    </w:p>
    <w:p w14:paraId="1FCFDD64" w14:textId="1F10696C" w:rsidR="001B44E5" w:rsidRDefault="001B44E5" w:rsidP="001B44E5">
      <w:pPr>
        <w:pStyle w:val="APALevel2"/>
        <w:snapToGrid w:val="0"/>
        <w:spacing w:line="240" w:lineRule="auto"/>
        <w:rPr>
          <w:rFonts w:cs="Times New Roman"/>
          <w:b w:val="0"/>
          <w:bCs/>
        </w:rPr>
      </w:pPr>
      <w:r>
        <w:rPr>
          <w:rFonts w:cs="Times New Roman"/>
          <w:b w:val="0"/>
          <w:bCs/>
          <w:noProof/>
        </w:rPr>
        <w:drawing>
          <wp:inline distT="0" distB="0" distL="0" distR="0" wp14:anchorId="413C7F33" wp14:editId="252BDED5">
            <wp:extent cx="2870783" cy="211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44" cy="21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/>
        </w:rPr>
        <w:t xml:space="preserve">  </w:t>
      </w:r>
      <w:r>
        <w:rPr>
          <w:rFonts w:cs="Times New Roman"/>
          <w:b w:val="0"/>
          <w:bCs/>
          <w:noProof/>
        </w:rPr>
        <w:drawing>
          <wp:inline distT="0" distB="0" distL="0" distR="0" wp14:anchorId="7E6DDF89" wp14:editId="7E233C56">
            <wp:extent cx="2932696" cy="215691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54" cy="21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C2C3" w14:textId="367FB7DE" w:rsidR="0019586E" w:rsidRDefault="0019586E" w:rsidP="0019586E">
      <w:pPr>
        <w:pStyle w:val="APAFigureCaption"/>
        <w:snapToGrid w:val="0"/>
        <w:spacing w:line="276" w:lineRule="auto"/>
        <w:jc w:val="center"/>
        <w:rPr>
          <w:rFonts w:cs="Times New Roman"/>
          <w:bCs/>
          <w:i/>
        </w:rPr>
      </w:pPr>
      <w:r w:rsidRPr="00212613">
        <w:rPr>
          <w:rFonts w:cs="Times New Roman"/>
          <w:bCs/>
          <w:i/>
        </w:rPr>
        <w:t xml:space="preserve">Figure </w:t>
      </w:r>
      <w:r>
        <w:rPr>
          <w:rFonts w:cs="Times New Roman"/>
          <w:bCs/>
          <w:i/>
        </w:rPr>
        <w:t>2</w:t>
      </w:r>
      <w:r w:rsidRPr="00212613">
        <w:rPr>
          <w:rFonts w:cs="Times New Roman"/>
          <w:bCs/>
          <w:i/>
        </w:rPr>
        <w:t xml:space="preserve">. </w:t>
      </w:r>
      <w:r w:rsidR="00E77B77">
        <w:rPr>
          <w:rFonts w:cs="Times New Roman"/>
          <w:bCs/>
          <w:i/>
        </w:rPr>
        <w:t xml:space="preserve">Residual plots for </w:t>
      </w:r>
      <w:r w:rsidR="00FF0FCA">
        <w:rPr>
          <w:rFonts w:cs="Times New Roman"/>
          <w:bCs/>
          <w:i/>
        </w:rPr>
        <w:t>the mixed logit model</w:t>
      </w:r>
      <w:r w:rsidRPr="00212613">
        <w:rPr>
          <w:rFonts w:cs="Times New Roman"/>
          <w:bCs/>
          <w:i/>
        </w:rPr>
        <w:t>.</w:t>
      </w:r>
    </w:p>
    <w:p w14:paraId="5F57547B" w14:textId="77777777" w:rsidR="00A06143" w:rsidRDefault="00D34EAF" w:rsidP="00D34EAF">
      <w:pPr>
        <w:pStyle w:val="APALevel2"/>
        <w:snapToGrid w:val="0"/>
        <w:spacing w:line="240" w:lineRule="auto"/>
        <w:rPr>
          <w:rFonts w:cs="Times New Roman"/>
          <w:b w:val="0"/>
          <w:bCs/>
        </w:rPr>
      </w:pPr>
      <w:r>
        <w:rPr>
          <w:rFonts w:cs="Times New Roman"/>
          <w:b w:val="0"/>
          <w:bCs/>
          <w:noProof/>
        </w:rPr>
        <w:drawing>
          <wp:inline distT="0" distB="0" distL="0" distR="0" wp14:anchorId="24E18BB4" wp14:editId="676BEAE6">
            <wp:extent cx="2917768" cy="2145931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053" cy="21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/>
        </w:rPr>
        <w:t xml:space="preserve">  </w:t>
      </w:r>
      <w:r>
        <w:rPr>
          <w:rFonts w:cs="Times New Roman"/>
          <w:b w:val="0"/>
          <w:bCs/>
          <w:noProof/>
        </w:rPr>
        <w:drawing>
          <wp:inline distT="0" distB="0" distL="0" distR="0" wp14:anchorId="06DFE533" wp14:editId="587BB906">
            <wp:extent cx="2931207" cy="2155814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306" cy="21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6F38" w14:textId="77777777" w:rsidR="00DE7936" w:rsidRDefault="00277E30" w:rsidP="00D34EAF">
      <w:pPr>
        <w:pStyle w:val="APALevel2"/>
        <w:snapToGrid w:val="0"/>
        <w:spacing w:line="240" w:lineRule="auto"/>
        <w:rPr>
          <w:rFonts w:cs="Times New Roman"/>
          <w:b w:val="0"/>
          <w:bCs/>
        </w:rPr>
      </w:pPr>
      <w:r>
        <w:rPr>
          <w:rFonts w:cs="Times New Roman"/>
          <w:b w:val="0"/>
          <w:bCs/>
          <w:noProof/>
        </w:rPr>
        <w:drawing>
          <wp:inline distT="0" distB="0" distL="0" distR="0" wp14:anchorId="07DEDFB0" wp14:editId="2192BA70">
            <wp:extent cx="2948299" cy="216838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792" cy="21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/>
        </w:rPr>
        <w:t xml:space="preserve">  </w:t>
      </w:r>
      <w:r>
        <w:rPr>
          <w:rFonts w:cs="Times New Roman"/>
          <w:b w:val="0"/>
          <w:bCs/>
          <w:noProof/>
        </w:rPr>
        <w:drawing>
          <wp:inline distT="0" distB="0" distL="0" distR="0" wp14:anchorId="65FBBD8F" wp14:editId="21C44068">
            <wp:extent cx="2881155" cy="2119003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74" cy="21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FEB3" w14:textId="69778235" w:rsidR="00710824" w:rsidRPr="00DE7936" w:rsidRDefault="00DE7936" w:rsidP="00DE7936">
      <w:pPr>
        <w:pStyle w:val="APAFigureCaption"/>
        <w:snapToGrid w:val="0"/>
        <w:spacing w:line="276" w:lineRule="auto"/>
        <w:jc w:val="center"/>
        <w:rPr>
          <w:rFonts w:cs="Times New Roman"/>
          <w:bCs/>
          <w:i/>
        </w:rPr>
      </w:pPr>
      <w:r w:rsidRPr="00212613">
        <w:rPr>
          <w:rFonts w:cs="Times New Roman"/>
          <w:bCs/>
          <w:i/>
        </w:rPr>
        <w:t xml:space="preserve">Figure </w:t>
      </w:r>
      <w:r>
        <w:rPr>
          <w:rFonts w:cs="Times New Roman"/>
          <w:bCs/>
          <w:i/>
        </w:rPr>
        <w:t>3</w:t>
      </w:r>
      <w:r w:rsidRPr="00212613">
        <w:rPr>
          <w:rFonts w:cs="Times New Roman"/>
          <w:bCs/>
          <w:i/>
        </w:rPr>
        <w:t xml:space="preserve">. </w:t>
      </w:r>
      <w:r>
        <w:rPr>
          <w:rFonts w:cs="Times New Roman"/>
          <w:bCs/>
          <w:i/>
        </w:rPr>
        <w:t xml:space="preserve">Residual plots </w:t>
      </w:r>
      <w:r w:rsidR="007963DB">
        <w:rPr>
          <w:rFonts w:cs="Times New Roman"/>
          <w:bCs/>
          <w:i/>
        </w:rPr>
        <w:t xml:space="preserve">and simulation plots </w:t>
      </w:r>
      <w:r>
        <w:rPr>
          <w:rFonts w:cs="Times New Roman"/>
          <w:bCs/>
          <w:i/>
        </w:rPr>
        <w:t>for the hurdle mixed effects model</w:t>
      </w:r>
      <w:r w:rsidRPr="00212613">
        <w:rPr>
          <w:rFonts w:cs="Times New Roman"/>
          <w:bCs/>
          <w:i/>
        </w:rPr>
        <w:t>.</w:t>
      </w:r>
      <w:r w:rsidR="00710824">
        <w:rPr>
          <w:rFonts w:cs="Times New Roman"/>
          <w:bCs/>
        </w:rPr>
        <w:br w:type="page"/>
      </w:r>
    </w:p>
    <w:p w14:paraId="62A7F54A" w14:textId="70EDEC47" w:rsidR="00DB659A" w:rsidRPr="00212613" w:rsidRDefault="00DB659A" w:rsidP="004D57EA">
      <w:pPr>
        <w:pStyle w:val="APALevel2"/>
        <w:snapToGrid w:val="0"/>
        <w:spacing w:line="276" w:lineRule="auto"/>
        <w:jc w:val="center"/>
        <w:rPr>
          <w:rFonts w:cs="Times New Roman"/>
          <w:b w:val="0"/>
          <w:bCs/>
        </w:rPr>
      </w:pPr>
      <w:r w:rsidRPr="00212613">
        <w:rPr>
          <w:rFonts w:cs="Times New Roman"/>
          <w:b w:val="0"/>
          <w:bCs/>
        </w:rPr>
        <w:lastRenderedPageBreak/>
        <w:t>References</w:t>
      </w:r>
    </w:p>
    <w:p w14:paraId="70048890" w14:textId="77777777" w:rsidR="00E0255F" w:rsidRPr="00060C25" w:rsidRDefault="00E0255F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  <w:highlight w:val="white"/>
        </w:rPr>
      </w:pPr>
      <w:r w:rsidRPr="00212613">
        <w:rPr>
          <w:rFonts w:ascii="Times New Roman" w:hAnsi="Times New Roman" w:cs="Times New Roman"/>
          <w:highlight w:val="white"/>
        </w:rPr>
        <w:t xml:space="preserve">Baguley, T. (2012). Calculating and graphing within-subject confidence intervals for ANOVA. </w:t>
      </w:r>
      <w:r w:rsidRPr="00060C25">
        <w:rPr>
          <w:rFonts w:ascii="Times New Roman" w:hAnsi="Times New Roman" w:cs="Times New Roman"/>
          <w:i/>
          <w:highlight w:val="white"/>
        </w:rPr>
        <w:t>Behavior Research Methods</w:t>
      </w:r>
      <w:r w:rsidRPr="00060C25">
        <w:rPr>
          <w:rFonts w:ascii="Times New Roman" w:hAnsi="Times New Roman" w:cs="Times New Roman"/>
          <w:highlight w:val="white"/>
        </w:rPr>
        <w:t xml:space="preserve">, </w:t>
      </w:r>
      <w:r w:rsidRPr="00060C25">
        <w:rPr>
          <w:rFonts w:ascii="Times New Roman" w:hAnsi="Times New Roman" w:cs="Times New Roman"/>
          <w:i/>
          <w:highlight w:val="white"/>
        </w:rPr>
        <w:t>44</w:t>
      </w:r>
      <w:r w:rsidRPr="00060C25">
        <w:rPr>
          <w:rFonts w:ascii="Times New Roman" w:hAnsi="Times New Roman" w:cs="Times New Roman"/>
          <w:highlight w:val="white"/>
        </w:rPr>
        <w:t xml:space="preserve">(1), 158-175. </w:t>
      </w:r>
    </w:p>
    <w:p w14:paraId="665EB4D0" w14:textId="6F263BF7" w:rsidR="004D7552" w:rsidRDefault="004D7552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Barr, D. (2019). </w:t>
      </w:r>
      <w:r w:rsidR="005766B0" w:rsidRPr="005766B0">
        <w:rPr>
          <w:rFonts w:ascii="Times New Roman" w:hAnsi="Times New Roman" w:cs="Times New Roman"/>
          <w:color w:val="000000"/>
        </w:rPr>
        <w:t>Coding categorical predictor variables in factorial designs</w:t>
      </w:r>
      <w:r w:rsidR="005766B0">
        <w:rPr>
          <w:rFonts w:ascii="Times New Roman" w:hAnsi="Times New Roman" w:cs="Times New Roman"/>
          <w:color w:val="000000"/>
        </w:rPr>
        <w:t xml:space="preserve">. </w:t>
      </w:r>
      <w:hyperlink r:id="rId15" w:history="1">
        <w:r w:rsidR="00EF6867" w:rsidRPr="00601E9D">
          <w:rPr>
            <w:rStyle w:val="Hyperlink"/>
            <w:rFonts w:ascii="Times New Roman" w:hAnsi="Times New Roman" w:cs="Times New Roman"/>
          </w:rPr>
          <w:t>https://talklab.psy.gla.ac.uk/tvw/catpred/</w:t>
        </w:r>
      </w:hyperlink>
    </w:p>
    <w:p w14:paraId="30580201" w14:textId="76D62B17" w:rsidR="000F046E" w:rsidRDefault="000F046E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 w:rsidRPr="000F046E">
        <w:rPr>
          <w:rFonts w:ascii="Times New Roman" w:hAnsi="Times New Roman" w:cs="Times New Roman"/>
          <w:color w:val="000000"/>
        </w:rPr>
        <w:t xml:space="preserve">Barr, D. J., Levy, R., Scheepers, C., &amp; Tily, H. J. (2013). Random effects structure for confirmatory hypothesis testing: Keep it maximal. </w:t>
      </w:r>
      <w:r w:rsidRPr="000F046E">
        <w:rPr>
          <w:rFonts w:ascii="Times New Roman" w:hAnsi="Times New Roman" w:cs="Times New Roman"/>
          <w:i/>
          <w:iCs/>
          <w:color w:val="000000"/>
        </w:rPr>
        <w:t>Journal of Memory and Language</w:t>
      </w:r>
      <w:r w:rsidRPr="000F046E">
        <w:rPr>
          <w:rFonts w:ascii="Times New Roman" w:hAnsi="Times New Roman" w:cs="Times New Roman"/>
          <w:color w:val="000000"/>
        </w:rPr>
        <w:t xml:space="preserve">, </w:t>
      </w:r>
      <w:r w:rsidRPr="000F046E">
        <w:rPr>
          <w:rFonts w:ascii="Times New Roman" w:hAnsi="Times New Roman" w:cs="Times New Roman"/>
          <w:i/>
          <w:iCs/>
          <w:color w:val="000000"/>
        </w:rPr>
        <w:t>68</w:t>
      </w:r>
      <w:r w:rsidRPr="000F046E">
        <w:rPr>
          <w:rFonts w:ascii="Times New Roman" w:hAnsi="Times New Roman" w:cs="Times New Roman"/>
          <w:color w:val="000000"/>
        </w:rPr>
        <w:t>(3), 255-278.</w:t>
      </w:r>
    </w:p>
    <w:p w14:paraId="3A3DDDE3" w14:textId="68D0E116" w:rsidR="009E77B1" w:rsidRPr="009E77B1" w:rsidRDefault="009E77B1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 w:rsidRPr="009E77B1">
        <w:rPr>
          <w:rFonts w:ascii="Times New Roman" w:hAnsi="Times New Roman" w:cs="Times New Roman"/>
          <w:color w:val="000000"/>
        </w:rPr>
        <w:t xml:space="preserve">Brauer, M., &amp; Curtin, J. J. (2018). Linear mixed-effects models and the analysis of nonindependent data: A unified framework to analyze categorical and continuous independent variables that vary within-subjects and/or within-items. </w:t>
      </w:r>
      <w:r w:rsidRPr="009E77B1">
        <w:rPr>
          <w:rFonts w:ascii="Times New Roman" w:hAnsi="Times New Roman" w:cs="Times New Roman"/>
          <w:i/>
          <w:iCs/>
          <w:color w:val="000000"/>
        </w:rPr>
        <w:t>Psychological Methods</w:t>
      </w:r>
      <w:r w:rsidRPr="009E77B1">
        <w:rPr>
          <w:rFonts w:ascii="Times New Roman" w:hAnsi="Times New Roman" w:cs="Times New Roman"/>
          <w:color w:val="000000"/>
        </w:rPr>
        <w:t xml:space="preserve">, </w:t>
      </w:r>
      <w:r w:rsidRPr="009E77B1">
        <w:rPr>
          <w:rFonts w:ascii="Times New Roman" w:hAnsi="Times New Roman" w:cs="Times New Roman"/>
          <w:i/>
          <w:iCs/>
          <w:color w:val="000000"/>
        </w:rPr>
        <w:t>23</w:t>
      </w:r>
      <w:r w:rsidRPr="009E77B1">
        <w:rPr>
          <w:rFonts w:ascii="Times New Roman" w:hAnsi="Times New Roman" w:cs="Times New Roman"/>
          <w:color w:val="000000"/>
        </w:rPr>
        <w:t>(3), 389-411.</w:t>
      </w:r>
    </w:p>
    <w:p w14:paraId="30C3F485" w14:textId="77777777" w:rsidR="00060C25" w:rsidRPr="00060C25" w:rsidRDefault="00060C25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222222"/>
          <w:highlight w:val="white"/>
        </w:rPr>
      </w:pPr>
      <w:r w:rsidRPr="00060C25">
        <w:rPr>
          <w:rFonts w:ascii="Times New Roman" w:hAnsi="Times New Roman" w:cs="Times New Roman"/>
          <w:color w:val="222222"/>
        </w:rPr>
        <w:t xml:space="preserve">Brooks, M. E., Kristensen, K., van Benthem, K. J., Magnusson, A., Berg, C. W., Nielsen, A., Skaug, H. J., Maechler, M., &amp; Bolker, B. M. (2017). glmmTMB balances speed and flexibility among packages for zero-inflated generalized linear mixed modeling. </w:t>
      </w:r>
      <w:r w:rsidRPr="00060C25">
        <w:rPr>
          <w:rFonts w:ascii="Times New Roman" w:hAnsi="Times New Roman" w:cs="Times New Roman"/>
          <w:i/>
          <w:iCs/>
          <w:color w:val="222222"/>
        </w:rPr>
        <w:t>The R Journal</w:t>
      </w:r>
      <w:r w:rsidRPr="00060C25">
        <w:rPr>
          <w:rFonts w:ascii="Times New Roman" w:hAnsi="Times New Roman" w:cs="Times New Roman"/>
          <w:color w:val="222222"/>
        </w:rPr>
        <w:t xml:space="preserve">, </w:t>
      </w:r>
      <w:r w:rsidRPr="00060C25">
        <w:rPr>
          <w:rFonts w:ascii="Times New Roman" w:hAnsi="Times New Roman" w:cs="Times New Roman"/>
          <w:i/>
          <w:iCs/>
          <w:color w:val="222222"/>
        </w:rPr>
        <w:t>9</w:t>
      </w:r>
      <w:r w:rsidRPr="00060C25">
        <w:rPr>
          <w:rFonts w:ascii="Times New Roman" w:hAnsi="Times New Roman" w:cs="Times New Roman"/>
          <w:color w:val="222222"/>
        </w:rPr>
        <w:t>(2), 378–400</w:t>
      </w:r>
      <w:r w:rsidRPr="00060C25">
        <w:rPr>
          <w:rFonts w:ascii="Times New Roman" w:hAnsi="Times New Roman" w:cs="Times New Roman"/>
          <w:color w:val="222222"/>
          <w:highlight w:val="white"/>
        </w:rPr>
        <w:t>.</w:t>
      </w:r>
    </w:p>
    <w:p w14:paraId="0FFC2B4A" w14:textId="77777777" w:rsidR="00757A36" w:rsidRPr="00212613" w:rsidRDefault="00757A36" w:rsidP="00424BBF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  <w:highlight w:val="white"/>
        </w:rPr>
        <w:t xml:space="preserve">Cousineau, D., &amp; O’Brien, F. (2014). Error bars in within-subject designs: A comment on Baguley (2012). </w:t>
      </w:r>
      <w:r w:rsidRPr="00212613">
        <w:rPr>
          <w:rFonts w:ascii="Times New Roman" w:hAnsi="Times New Roman" w:cs="Times New Roman"/>
          <w:i/>
          <w:highlight w:val="white"/>
        </w:rPr>
        <w:t>Behavior Research Methods</w:t>
      </w:r>
      <w:r w:rsidRPr="00212613">
        <w:rPr>
          <w:rFonts w:ascii="Times New Roman" w:hAnsi="Times New Roman" w:cs="Times New Roman"/>
          <w:highlight w:val="white"/>
        </w:rPr>
        <w:t xml:space="preserve">, </w:t>
      </w:r>
      <w:r w:rsidRPr="00212613">
        <w:rPr>
          <w:rFonts w:ascii="Times New Roman" w:hAnsi="Times New Roman" w:cs="Times New Roman"/>
          <w:i/>
          <w:highlight w:val="white"/>
        </w:rPr>
        <w:t>46</w:t>
      </w:r>
      <w:r w:rsidRPr="00212613">
        <w:rPr>
          <w:rFonts w:ascii="Times New Roman" w:hAnsi="Times New Roman" w:cs="Times New Roman"/>
          <w:highlight w:val="white"/>
        </w:rPr>
        <w:t>(4), 1149-1151.</w:t>
      </w:r>
    </w:p>
    <w:p w14:paraId="2311D6DF" w14:textId="77777777" w:rsidR="00016DAB" w:rsidRPr="00212613" w:rsidRDefault="00016DAB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Cunnings, I., &amp; Finlayson, I. (2015). Mixed effects modeling and longitudinal data analysis. In L. Plonsky (Ed.), </w:t>
      </w:r>
      <w:r w:rsidRPr="00212613">
        <w:rPr>
          <w:rFonts w:ascii="Times New Roman" w:hAnsi="Times New Roman" w:cs="Times New Roman"/>
          <w:i/>
        </w:rPr>
        <w:t>Advancing quantitative methods in second language research</w:t>
      </w:r>
      <w:r w:rsidRPr="00212613">
        <w:rPr>
          <w:rFonts w:ascii="Times New Roman" w:hAnsi="Times New Roman" w:cs="Times New Roman"/>
        </w:rPr>
        <w:t xml:space="preserve"> (pp.159-181). New York, NY: Routledge. </w:t>
      </w:r>
    </w:p>
    <w:p w14:paraId="02918A0A" w14:textId="77777777" w:rsidR="000C29A2" w:rsidRPr="00212613" w:rsidRDefault="000C29A2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Field, A. (2018). </w:t>
      </w:r>
      <w:r w:rsidRPr="00212613">
        <w:rPr>
          <w:rFonts w:ascii="Times New Roman" w:hAnsi="Times New Roman" w:cs="Times New Roman"/>
          <w:i/>
        </w:rPr>
        <w:t>Discovering statistics using IBM SPSS Statistics</w:t>
      </w:r>
      <w:r w:rsidRPr="00212613">
        <w:rPr>
          <w:rFonts w:ascii="Times New Roman" w:hAnsi="Times New Roman" w:cs="Times New Roman"/>
        </w:rPr>
        <w:t xml:space="preserve"> (5</w:t>
      </w:r>
      <w:r w:rsidRPr="00212613">
        <w:rPr>
          <w:rFonts w:ascii="Times New Roman" w:hAnsi="Times New Roman" w:cs="Times New Roman"/>
          <w:vertAlign w:val="superscript"/>
        </w:rPr>
        <w:t>th</w:t>
      </w:r>
      <w:r w:rsidRPr="00212613">
        <w:rPr>
          <w:rFonts w:ascii="Times New Roman" w:hAnsi="Times New Roman" w:cs="Times New Roman"/>
        </w:rPr>
        <w:t xml:space="preserve"> Ed.). Los Angeles: SAGE. </w:t>
      </w:r>
    </w:p>
    <w:p w14:paraId="714F027A" w14:textId="77777777" w:rsidR="00697D38" w:rsidRDefault="00001512" w:rsidP="00697D3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Gelman, A., &amp; Hill, J. (2007). </w:t>
      </w:r>
      <w:r w:rsidRPr="00212613">
        <w:rPr>
          <w:rFonts w:ascii="Times New Roman" w:hAnsi="Times New Roman" w:cs="Times New Roman"/>
          <w:i/>
        </w:rPr>
        <w:t>Data analysis using regression and multilevel-hierarchical models</w:t>
      </w:r>
      <w:r w:rsidRPr="00212613">
        <w:rPr>
          <w:rFonts w:ascii="Times New Roman" w:hAnsi="Times New Roman" w:cs="Times New Roman"/>
        </w:rPr>
        <w:t>. Cambridge: Cambridge University Press.</w:t>
      </w:r>
    </w:p>
    <w:p w14:paraId="465F31CF" w14:textId="27AB4A52" w:rsidR="00697D38" w:rsidRPr="00697D38" w:rsidRDefault="00697D38" w:rsidP="00697D3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697D38">
        <w:rPr>
          <w:rFonts w:ascii="Times New Roman" w:eastAsia="Times New Roman" w:hAnsi="Times New Roman" w:cs="Times New Roman"/>
          <w:shd w:val="clear" w:color="auto" w:fill="FFFFFF"/>
        </w:rPr>
        <w:t>Gries, S. T. (2021). (Generalized linear) Mixed‐effects modeling: A learner corpus example. </w:t>
      </w:r>
      <w:r w:rsidRPr="00697D38">
        <w:rPr>
          <w:rFonts w:ascii="Times New Roman" w:eastAsia="Times New Roman" w:hAnsi="Times New Roman" w:cs="Times New Roman"/>
          <w:i/>
          <w:iCs/>
          <w:shd w:val="clear" w:color="auto" w:fill="FFFFFF"/>
        </w:rPr>
        <w:t>Language Learning</w:t>
      </w:r>
      <w:r w:rsidRPr="00697D38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697D38">
        <w:rPr>
          <w:rFonts w:ascii="Times New Roman" w:eastAsia="Times New Roman" w:hAnsi="Times New Roman" w:cs="Times New Roman"/>
          <w:i/>
          <w:iCs/>
          <w:shd w:val="clear" w:color="auto" w:fill="FFFFFF"/>
        </w:rPr>
        <w:t>71</w:t>
      </w:r>
      <w:r w:rsidRPr="00697D38">
        <w:rPr>
          <w:rFonts w:ascii="Times New Roman" w:eastAsia="Times New Roman" w:hAnsi="Times New Roman" w:cs="Times New Roman"/>
          <w:shd w:val="clear" w:color="auto" w:fill="FFFFFF"/>
        </w:rPr>
        <w:t>(3), 757-798.</w:t>
      </w:r>
    </w:p>
    <w:p w14:paraId="0BDE3BC7" w14:textId="77777777" w:rsidR="006C7D8D" w:rsidRPr="00212613" w:rsidRDefault="006C7D8D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Hair, J. F., Black, W. C., Babin, B. J., &amp; Anderson, R. E. (2019). </w:t>
      </w:r>
      <w:r w:rsidRPr="00212613">
        <w:rPr>
          <w:rFonts w:ascii="Times New Roman" w:hAnsi="Times New Roman" w:cs="Times New Roman"/>
          <w:i/>
        </w:rPr>
        <w:t>Multivariate data analysis</w:t>
      </w:r>
      <w:r w:rsidRPr="00212613">
        <w:rPr>
          <w:rFonts w:ascii="Times New Roman" w:hAnsi="Times New Roman" w:cs="Times New Roman"/>
        </w:rPr>
        <w:t xml:space="preserve"> (8</w:t>
      </w:r>
      <w:r w:rsidRPr="00212613">
        <w:rPr>
          <w:rFonts w:ascii="Times New Roman" w:hAnsi="Times New Roman" w:cs="Times New Roman"/>
          <w:vertAlign w:val="superscript"/>
        </w:rPr>
        <w:t>th</w:t>
      </w:r>
      <w:r w:rsidRPr="00212613">
        <w:rPr>
          <w:rFonts w:ascii="Times New Roman" w:hAnsi="Times New Roman" w:cs="Times New Roman"/>
        </w:rPr>
        <w:t xml:space="preserve"> ed.). Hampshire: Cengage Learning EMEA.  </w:t>
      </w:r>
    </w:p>
    <w:p w14:paraId="05408B71" w14:textId="35C66113" w:rsidR="007760A3" w:rsidRDefault="007760A3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7760A3">
        <w:rPr>
          <w:rFonts w:ascii="Times New Roman" w:hAnsi="Times New Roman" w:cs="Times New Roman"/>
        </w:rPr>
        <w:t>Hartig,</w:t>
      </w:r>
      <w:r>
        <w:rPr>
          <w:rFonts w:ascii="Times New Roman" w:hAnsi="Times New Roman" w:cs="Times New Roman"/>
        </w:rPr>
        <w:t xml:space="preserve"> F.</w:t>
      </w:r>
      <w:r w:rsidRPr="00776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760A3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  <w:r w:rsidRPr="007760A3">
        <w:rPr>
          <w:rFonts w:ascii="Times New Roman" w:hAnsi="Times New Roman" w:cs="Times New Roman"/>
        </w:rPr>
        <w:t>. DHARMa: Residual diagnostics for hierarchical (multi-level/mixed) regression models</w:t>
      </w:r>
      <w:r w:rsidR="00374512">
        <w:rPr>
          <w:rFonts w:ascii="Times New Roman" w:hAnsi="Times New Roman" w:cs="Times New Roman"/>
        </w:rPr>
        <w:t xml:space="preserve"> (version 0.4.5)</w:t>
      </w:r>
      <w:r>
        <w:rPr>
          <w:rFonts w:ascii="Times New Roman" w:hAnsi="Times New Roman" w:cs="Times New Roman"/>
        </w:rPr>
        <w:t xml:space="preserve">. </w:t>
      </w:r>
      <w:r w:rsidR="00FE745B">
        <w:rPr>
          <w:rFonts w:ascii="Times New Roman" w:hAnsi="Times New Roman" w:cs="Times New Roman"/>
        </w:rPr>
        <w:t xml:space="preserve">Retrieved from </w:t>
      </w:r>
      <w:r w:rsidR="00FE745B" w:rsidRPr="00FE745B">
        <w:rPr>
          <w:rFonts w:ascii="Times New Roman" w:hAnsi="Times New Roman" w:cs="Times New Roman"/>
        </w:rPr>
        <w:t>https://cran.r-project.org/package=DHARMa</w:t>
      </w:r>
    </w:p>
    <w:p w14:paraId="0685B49A" w14:textId="2D392B58" w:rsidR="00C14F1B" w:rsidRPr="00212613" w:rsidRDefault="00C14F1B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LaFlair, G., Egbert, J., &amp; Plonsky, L. (2015). A practical guide to bootstrapping descriptive statistics, correlations, t tests, and ANOVAs. In L. Plonsky (Ed.), </w:t>
      </w:r>
      <w:r w:rsidRPr="00212613">
        <w:rPr>
          <w:rFonts w:ascii="Times New Roman" w:hAnsi="Times New Roman" w:cs="Times New Roman"/>
          <w:i/>
        </w:rPr>
        <w:t>Advancing quantitative methods in second language research</w:t>
      </w:r>
      <w:r w:rsidRPr="00212613">
        <w:rPr>
          <w:rFonts w:ascii="Times New Roman" w:hAnsi="Times New Roman" w:cs="Times New Roman"/>
        </w:rPr>
        <w:t xml:space="preserve"> (pp. 46–77). New York, NY: Routledge.</w:t>
      </w:r>
    </w:p>
    <w:p w14:paraId="57315631" w14:textId="77777777" w:rsidR="00923931" w:rsidRPr="00212613" w:rsidRDefault="00923931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Larson-Hall, J. (2016). </w:t>
      </w:r>
      <w:r w:rsidRPr="00212613">
        <w:rPr>
          <w:rFonts w:ascii="Times New Roman" w:hAnsi="Times New Roman" w:cs="Times New Roman"/>
          <w:i/>
        </w:rPr>
        <w:t>A guide to doing statistics in second language research using SPSS and R</w:t>
      </w:r>
      <w:r w:rsidRPr="00212613">
        <w:rPr>
          <w:rFonts w:ascii="Times New Roman" w:hAnsi="Times New Roman" w:cs="Times New Roman"/>
        </w:rPr>
        <w:t>. London, England: Routledge.</w:t>
      </w:r>
    </w:p>
    <w:p w14:paraId="4882A6CC" w14:textId="5582B66D" w:rsidR="00DB1451" w:rsidRPr="00DB1451" w:rsidRDefault="00DB1451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 w:rsidRPr="00DB1451">
        <w:rPr>
          <w:rFonts w:ascii="Times New Roman" w:hAnsi="Times New Roman" w:cs="Times New Roman"/>
          <w:color w:val="000000"/>
        </w:rPr>
        <w:t xml:space="preserve">Lee, C. H., &amp; Kalyuga, S. (2011). Effectiveness of different pinyin presentation formats in learning Chinese characters: A </w:t>
      </w:r>
      <w:r w:rsidR="006B4ABF">
        <w:rPr>
          <w:rFonts w:ascii="Times New Roman" w:hAnsi="Times New Roman" w:cs="Times New Roman"/>
          <w:color w:val="000000"/>
        </w:rPr>
        <w:t>c</w:t>
      </w:r>
      <w:r w:rsidRPr="00DB1451">
        <w:rPr>
          <w:rFonts w:ascii="Times New Roman" w:hAnsi="Times New Roman" w:cs="Times New Roman"/>
          <w:color w:val="000000"/>
        </w:rPr>
        <w:t xml:space="preserve">ognitive </w:t>
      </w:r>
      <w:r w:rsidR="006B4ABF">
        <w:rPr>
          <w:rFonts w:ascii="Times New Roman" w:hAnsi="Times New Roman" w:cs="Times New Roman"/>
          <w:color w:val="000000"/>
        </w:rPr>
        <w:t>l</w:t>
      </w:r>
      <w:r w:rsidRPr="00DB1451">
        <w:rPr>
          <w:rFonts w:ascii="Times New Roman" w:hAnsi="Times New Roman" w:cs="Times New Roman"/>
          <w:color w:val="000000"/>
        </w:rPr>
        <w:t xml:space="preserve">oad perspective. </w:t>
      </w:r>
      <w:r w:rsidRPr="00DB1451">
        <w:rPr>
          <w:rFonts w:ascii="Times New Roman" w:hAnsi="Times New Roman" w:cs="Times New Roman"/>
          <w:i/>
          <w:color w:val="000000"/>
        </w:rPr>
        <w:t>Language Learning</w:t>
      </w:r>
      <w:r w:rsidRPr="00DB1451">
        <w:rPr>
          <w:rFonts w:ascii="Times New Roman" w:hAnsi="Times New Roman" w:cs="Times New Roman"/>
          <w:color w:val="000000"/>
        </w:rPr>
        <w:t xml:space="preserve">, </w:t>
      </w:r>
      <w:r w:rsidRPr="00DB1451">
        <w:rPr>
          <w:rFonts w:ascii="Times New Roman" w:hAnsi="Times New Roman" w:cs="Times New Roman"/>
          <w:i/>
          <w:color w:val="000000"/>
        </w:rPr>
        <w:t>61</w:t>
      </w:r>
      <w:r w:rsidRPr="00DB1451">
        <w:rPr>
          <w:rFonts w:ascii="Times New Roman" w:hAnsi="Times New Roman" w:cs="Times New Roman"/>
          <w:color w:val="000000"/>
        </w:rPr>
        <w:t>(4), 1099-1118.</w:t>
      </w:r>
    </w:p>
    <w:p w14:paraId="46D2DE03" w14:textId="77777777" w:rsidR="00BF5A35" w:rsidRPr="00212613" w:rsidRDefault="00BF5A35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lastRenderedPageBreak/>
        <w:t xml:space="preserve">Linck, J. A., &amp; Cunnings, I. (2015). Chapter 8 The utility and application of mixed-effects models in second language research. </w:t>
      </w:r>
      <w:r w:rsidRPr="00212613">
        <w:rPr>
          <w:rFonts w:ascii="Times New Roman" w:hAnsi="Times New Roman" w:cs="Times New Roman"/>
          <w:i/>
        </w:rPr>
        <w:t>Language Learning</w:t>
      </w:r>
      <w:r w:rsidRPr="00212613">
        <w:rPr>
          <w:rFonts w:ascii="Times New Roman" w:hAnsi="Times New Roman" w:cs="Times New Roman"/>
        </w:rPr>
        <w:t xml:space="preserve">, </w:t>
      </w:r>
      <w:r w:rsidRPr="00212613">
        <w:rPr>
          <w:rFonts w:ascii="Times New Roman" w:hAnsi="Times New Roman" w:cs="Times New Roman"/>
          <w:i/>
        </w:rPr>
        <w:t>65</w:t>
      </w:r>
      <w:r w:rsidRPr="00212613">
        <w:rPr>
          <w:rFonts w:ascii="Times New Roman" w:hAnsi="Times New Roman" w:cs="Times New Roman"/>
        </w:rPr>
        <w:t xml:space="preserve">(Suppl. 1), 185-207. </w:t>
      </w:r>
    </w:p>
    <w:p w14:paraId="6CCEBC16" w14:textId="77777777" w:rsidR="00D75376" w:rsidRPr="00212613" w:rsidRDefault="00D75376" w:rsidP="00424BBF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  <w:highlight w:val="white"/>
        </w:rPr>
        <w:t xml:space="preserve">Loftus, G. R., &amp; Masson, M. E. (1994). Using confidence intervals in within-subject designs. </w:t>
      </w:r>
      <w:r w:rsidRPr="00212613">
        <w:rPr>
          <w:rFonts w:ascii="Times New Roman" w:hAnsi="Times New Roman" w:cs="Times New Roman"/>
          <w:i/>
          <w:highlight w:val="white"/>
        </w:rPr>
        <w:t>Psychonomic Bulletin &amp; Review</w:t>
      </w:r>
      <w:r w:rsidRPr="00212613">
        <w:rPr>
          <w:rFonts w:ascii="Times New Roman" w:hAnsi="Times New Roman" w:cs="Times New Roman"/>
          <w:highlight w:val="white"/>
        </w:rPr>
        <w:t xml:space="preserve">, </w:t>
      </w:r>
      <w:r w:rsidRPr="00212613">
        <w:rPr>
          <w:rFonts w:ascii="Times New Roman" w:hAnsi="Times New Roman" w:cs="Times New Roman"/>
          <w:i/>
          <w:highlight w:val="white"/>
        </w:rPr>
        <w:t>1</w:t>
      </w:r>
      <w:r w:rsidRPr="00212613">
        <w:rPr>
          <w:rFonts w:ascii="Times New Roman" w:hAnsi="Times New Roman" w:cs="Times New Roman"/>
          <w:highlight w:val="white"/>
        </w:rPr>
        <w:t>(4), 476-490.</w:t>
      </w:r>
    </w:p>
    <w:p w14:paraId="6CAB1F6E" w14:textId="60C029CA" w:rsidR="00253F90" w:rsidRPr="00212613" w:rsidRDefault="00253F90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  <w:bCs/>
        </w:rPr>
      </w:pPr>
      <w:r w:rsidRPr="00212613">
        <w:rPr>
          <w:rFonts w:ascii="Times New Roman" w:hAnsi="Times New Roman" w:cs="Times New Roman"/>
          <w:bCs/>
        </w:rPr>
        <w:t>Lüdecke</w:t>
      </w:r>
      <w:r w:rsidR="00545335" w:rsidRPr="00212613">
        <w:rPr>
          <w:rFonts w:ascii="Times New Roman" w:hAnsi="Times New Roman" w:cs="Times New Roman"/>
          <w:bCs/>
        </w:rPr>
        <w:t>,</w:t>
      </w:r>
      <w:r w:rsidRPr="00212613">
        <w:rPr>
          <w:rFonts w:ascii="Times New Roman" w:hAnsi="Times New Roman" w:cs="Times New Roman"/>
          <w:bCs/>
        </w:rPr>
        <w:t xml:space="preserve"> D</w:t>
      </w:r>
      <w:r w:rsidR="00545335" w:rsidRPr="00212613">
        <w:rPr>
          <w:rFonts w:ascii="Times New Roman" w:hAnsi="Times New Roman" w:cs="Times New Roman"/>
          <w:bCs/>
        </w:rPr>
        <w:t>.</w:t>
      </w:r>
      <w:r w:rsidRPr="00212613">
        <w:rPr>
          <w:rFonts w:ascii="Times New Roman" w:hAnsi="Times New Roman" w:cs="Times New Roman"/>
          <w:bCs/>
        </w:rPr>
        <w:t>, Ben-Shachar</w:t>
      </w:r>
      <w:r w:rsidR="00545335" w:rsidRPr="00212613">
        <w:rPr>
          <w:rFonts w:ascii="Times New Roman" w:hAnsi="Times New Roman" w:cs="Times New Roman"/>
          <w:bCs/>
        </w:rPr>
        <w:t>,</w:t>
      </w:r>
      <w:r w:rsidRPr="00212613">
        <w:rPr>
          <w:rFonts w:ascii="Times New Roman" w:hAnsi="Times New Roman" w:cs="Times New Roman"/>
          <w:bCs/>
        </w:rPr>
        <w:t xml:space="preserve"> M</w:t>
      </w:r>
      <w:r w:rsidR="00545335" w:rsidRPr="00212613">
        <w:rPr>
          <w:rFonts w:ascii="Times New Roman" w:hAnsi="Times New Roman" w:cs="Times New Roman"/>
          <w:bCs/>
        </w:rPr>
        <w:t>.</w:t>
      </w:r>
      <w:r w:rsidRPr="00212613">
        <w:rPr>
          <w:rFonts w:ascii="Times New Roman" w:hAnsi="Times New Roman" w:cs="Times New Roman"/>
          <w:bCs/>
        </w:rPr>
        <w:t>, Patil</w:t>
      </w:r>
      <w:r w:rsidR="00545335" w:rsidRPr="00212613">
        <w:rPr>
          <w:rFonts w:ascii="Times New Roman" w:hAnsi="Times New Roman" w:cs="Times New Roman"/>
          <w:bCs/>
        </w:rPr>
        <w:t>,</w:t>
      </w:r>
      <w:r w:rsidRPr="00212613">
        <w:rPr>
          <w:rFonts w:ascii="Times New Roman" w:hAnsi="Times New Roman" w:cs="Times New Roman"/>
          <w:bCs/>
        </w:rPr>
        <w:t xml:space="preserve"> I</w:t>
      </w:r>
      <w:r w:rsidR="00545335" w:rsidRPr="00212613">
        <w:rPr>
          <w:rFonts w:ascii="Times New Roman" w:hAnsi="Times New Roman" w:cs="Times New Roman"/>
          <w:bCs/>
        </w:rPr>
        <w:t>.</w:t>
      </w:r>
      <w:r w:rsidRPr="00212613">
        <w:rPr>
          <w:rFonts w:ascii="Times New Roman" w:hAnsi="Times New Roman" w:cs="Times New Roman"/>
          <w:bCs/>
        </w:rPr>
        <w:t>, Waggoner</w:t>
      </w:r>
      <w:r w:rsidR="00545335" w:rsidRPr="00212613">
        <w:rPr>
          <w:rFonts w:ascii="Times New Roman" w:hAnsi="Times New Roman" w:cs="Times New Roman"/>
          <w:bCs/>
        </w:rPr>
        <w:t>,</w:t>
      </w:r>
      <w:r w:rsidRPr="00212613">
        <w:rPr>
          <w:rFonts w:ascii="Times New Roman" w:hAnsi="Times New Roman" w:cs="Times New Roman"/>
          <w:bCs/>
        </w:rPr>
        <w:t xml:space="preserve"> P</w:t>
      </w:r>
      <w:r w:rsidR="00545335" w:rsidRPr="00212613">
        <w:rPr>
          <w:rFonts w:ascii="Times New Roman" w:hAnsi="Times New Roman" w:cs="Times New Roman"/>
          <w:bCs/>
        </w:rPr>
        <w:t>.</w:t>
      </w:r>
      <w:r w:rsidRPr="00212613">
        <w:rPr>
          <w:rFonts w:ascii="Times New Roman" w:hAnsi="Times New Roman" w:cs="Times New Roman"/>
          <w:bCs/>
        </w:rPr>
        <w:t xml:space="preserve">, </w:t>
      </w:r>
      <w:r w:rsidR="00F278B8">
        <w:rPr>
          <w:rFonts w:ascii="Times New Roman" w:hAnsi="Times New Roman" w:cs="Times New Roman"/>
          <w:bCs/>
        </w:rPr>
        <w:t xml:space="preserve">&amp; </w:t>
      </w:r>
      <w:r w:rsidRPr="00212613">
        <w:rPr>
          <w:rFonts w:ascii="Times New Roman" w:hAnsi="Times New Roman" w:cs="Times New Roman"/>
          <w:bCs/>
        </w:rPr>
        <w:t>Makowski</w:t>
      </w:r>
      <w:r w:rsidR="00F278B8">
        <w:rPr>
          <w:rFonts w:ascii="Times New Roman" w:hAnsi="Times New Roman" w:cs="Times New Roman"/>
          <w:bCs/>
        </w:rPr>
        <w:t>,</w:t>
      </w:r>
      <w:r w:rsidRPr="00212613">
        <w:rPr>
          <w:rFonts w:ascii="Times New Roman" w:hAnsi="Times New Roman" w:cs="Times New Roman"/>
          <w:bCs/>
        </w:rPr>
        <w:t xml:space="preserve"> D</w:t>
      </w:r>
      <w:r w:rsidR="00F278B8">
        <w:rPr>
          <w:rFonts w:ascii="Times New Roman" w:hAnsi="Times New Roman" w:cs="Times New Roman"/>
          <w:bCs/>
        </w:rPr>
        <w:t>.</w:t>
      </w:r>
      <w:r w:rsidRPr="00212613">
        <w:rPr>
          <w:rFonts w:ascii="Times New Roman" w:hAnsi="Times New Roman" w:cs="Times New Roman"/>
          <w:bCs/>
        </w:rPr>
        <w:t xml:space="preserve"> (2021). performance: An R package for assessment, comparison and testing of statistical models. </w:t>
      </w:r>
      <w:r w:rsidRPr="00212613">
        <w:rPr>
          <w:rFonts w:ascii="Times New Roman" w:hAnsi="Times New Roman" w:cs="Times New Roman"/>
          <w:bCs/>
          <w:i/>
          <w:iCs/>
        </w:rPr>
        <w:t>Journal of Open Source Software</w:t>
      </w:r>
      <w:r w:rsidRPr="00212613">
        <w:rPr>
          <w:rFonts w:ascii="Times New Roman" w:hAnsi="Times New Roman" w:cs="Times New Roman"/>
          <w:bCs/>
        </w:rPr>
        <w:t xml:space="preserve">, </w:t>
      </w:r>
      <w:r w:rsidRPr="00212613">
        <w:rPr>
          <w:rFonts w:ascii="Times New Roman" w:hAnsi="Times New Roman" w:cs="Times New Roman"/>
          <w:bCs/>
          <w:i/>
          <w:iCs/>
        </w:rPr>
        <w:t>6</w:t>
      </w:r>
      <w:r w:rsidRPr="00212613">
        <w:rPr>
          <w:rFonts w:ascii="Times New Roman" w:hAnsi="Times New Roman" w:cs="Times New Roman"/>
          <w:bCs/>
        </w:rPr>
        <w:t>(60), 3139.</w:t>
      </w:r>
    </w:p>
    <w:p w14:paraId="21C72D08" w14:textId="77777777" w:rsidR="00F43AF6" w:rsidRPr="00F43AF6" w:rsidRDefault="00F43AF6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 w:rsidRPr="00F43AF6">
        <w:rPr>
          <w:rFonts w:ascii="Times New Roman" w:hAnsi="Times New Roman" w:cs="Times New Roman"/>
          <w:color w:val="000000"/>
        </w:rPr>
        <w:t xml:space="preserve">Meteyard, L., &amp; Davies, R. A. (2020). Best practice guidance for linear mixed-effects models in psychological science. </w:t>
      </w:r>
      <w:r w:rsidRPr="00F43AF6">
        <w:rPr>
          <w:rFonts w:ascii="Times New Roman" w:hAnsi="Times New Roman" w:cs="Times New Roman"/>
          <w:i/>
          <w:iCs/>
          <w:color w:val="000000"/>
        </w:rPr>
        <w:t>Journal of Memory and Language</w:t>
      </w:r>
      <w:r w:rsidRPr="00F43AF6">
        <w:rPr>
          <w:rFonts w:ascii="Times New Roman" w:hAnsi="Times New Roman" w:cs="Times New Roman"/>
          <w:color w:val="000000"/>
        </w:rPr>
        <w:t xml:space="preserve">, </w:t>
      </w:r>
      <w:r w:rsidRPr="00F43AF6">
        <w:rPr>
          <w:rFonts w:ascii="Times New Roman" w:hAnsi="Times New Roman" w:cs="Times New Roman"/>
          <w:i/>
          <w:iCs/>
          <w:color w:val="000000"/>
        </w:rPr>
        <w:t>112</w:t>
      </w:r>
      <w:r w:rsidRPr="00F43AF6">
        <w:rPr>
          <w:rFonts w:ascii="Times New Roman" w:hAnsi="Times New Roman" w:cs="Times New Roman"/>
          <w:color w:val="000000"/>
        </w:rPr>
        <w:t>.</w:t>
      </w:r>
    </w:p>
    <w:p w14:paraId="1276A170" w14:textId="6C1C05E6" w:rsidR="00EB2E86" w:rsidRPr="00212613" w:rsidRDefault="00EB2E86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Nakagawa, S., Johnson, P. C., &amp; Schielzeth, H. (2017). The coefficient of determination </w:t>
      </w:r>
      <w:r w:rsidRPr="00212613">
        <w:rPr>
          <w:rFonts w:ascii="Times New Roman" w:hAnsi="Times New Roman" w:cs="Times New Roman"/>
          <w:i/>
          <w:iCs/>
        </w:rPr>
        <w:t>R</w:t>
      </w:r>
      <w:r w:rsidRPr="00212613">
        <w:rPr>
          <w:rFonts w:ascii="Times New Roman" w:hAnsi="Times New Roman" w:cs="Times New Roman"/>
          <w:i/>
          <w:iCs/>
          <w:vertAlign w:val="superscript"/>
        </w:rPr>
        <w:t>2</w:t>
      </w:r>
      <w:r w:rsidRPr="00212613">
        <w:rPr>
          <w:rFonts w:ascii="Times New Roman" w:hAnsi="Times New Roman" w:cs="Times New Roman"/>
        </w:rPr>
        <w:t xml:space="preserve"> and intra-class correlation coefficient from generalized linear mixed-effects models revisited and expanded. </w:t>
      </w:r>
      <w:r w:rsidRPr="00212613">
        <w:rPr>
          <w:rFonts w:ascii="Times New Roman" w:hAnsi="Times New Roman" w:cs="Times New Roman"/>
          <w:i/>
          <w:iCs/>
        </w:rPr>
        <w:t>Journal of the Royal Society Interface</w:t>
      </w:r>
      <w:r w:rsidRPr="00212613">
        <w:rPr>
          <w:rFonts w:ascii="Times New Roman" w:hAnsi="Times New Roman" w:cs="Times New Roman"/>
        </w:rPr>
        <w:t xml:space="preserve">, </w:t>
      </w:r>
      <w:r w:rsidRPr="00212613">
        <w:rPr>
          <w:rFonts w:ascii="Times New Roman" w:hAnsi="Times New Roman" w:cs="Times New Roman"/>
          <w:i/>
          <w:iCs/>
        </w:rPr>
        <w:t>14</w:t>
      </w:r>
      <w:r w:rsidRPr="00212613">
        <w:rPr>
          <w:rFonts w:ascii="Times New Roman" w:hAnsi="Times New Roman" w:cs="Times New Roman"/>
        </w:rPr>
        <w:t xml:space="preserve">(134), 20170213. </w:t>
      </w:r>
    </w:p>
    <w:p w14:paraId="059311B2" w14:textId="20D7D0EC" w:rsidR="00110EA8" w:rsidRPr="00212613" w:rsidRDefault="00110EA8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Neelon, B., &amp; O’Malley, A. J. (2019). Two-part models for zero-modified count and semicontinuous data. In A. Levy, S. Goring, C. Gatsonis, B. Sobolev, E. van Ginneken, R. Busse (Eds.), </w:t>
      </w:r>
      <w:r w:rsidRPr="00212613">
        <w:rPr>
          <w:rFonts w:ascii="Times New Roman" w:hAnsi="Times New Roman" w:cs="Times New Roman"/>
          <w:i/>
        </w:rPr>
        <w:t>Health Services Evaluation</w:t>
      </w:r>
      <w:r w:rsidRPr="00212613">
        <w:rPr>
          <w:rFonts w:ascii="Times New Roman" w:hAnsi="Times New Roman" w:cs="Times New Roman"/>
        </w:rPr>
        <w:t xml:space="preserve"> (pp. 695-716). Springer. </w:t>
      </w:r>
    </w:p>
    <w:p w14:paraId="761A9408" w14:textId="77777777" w:rsidR="00110EA8" w:rsidRPr="00212613" w:rsidRDefault="00110EA8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>Neelon, B., O’Malley, A. J., &amp; Smith, V. A. (2016). Modeling zero</w:t>
      </w:r>
      <w:r w:rsidRPr="00212613">
        <w:rPr>
          <w:rFonts w:ascii="Times New Roman" w:eastAsia="Cambria Math" w:hAnsi="Times New Roman" w:cs="Times New Roman"/>
        </w:rPr>
        <w:t>‐</w:t>
      </w:r>
      <w:r w:rsidRPr="00212613">
        <w:rPr>
          <w:rFonts w:ascii="Times New Roman" w:hAnsi="Times New Roman" w:cs="Times New Roman"/>
        </w:rPr>
        <w:t xml:space="preserve">modified count and semicontinuous data in health services research part 1: Background and overview. </w:t>
      </w:r>
      <w:r w:rsidRPr="00212613">
        <w:rPr>
          <w:rFonts w:ascii="Times New Roman" w:hAnsi="Times New Roman" w:cs="Times New Roman"/>
          <w:i/>
        </w:rPr>
        <w:t>Statistics in Medicine</w:t>
      </w:r>
      <w:r w:rsidRPr="00212613">
        <w:rPr>
          <w:rFonts w:ascii="Times New Roman" w:hAnsi="Times New Roman" w:cs="Times New Roman"/>
        </w:rPr>
        <w:t xml:space="preserve">, </w:t>
      </w:r>
      <w:r w:rsidRPr="00212613">
        <w:rPr>
          <w:rFonts w:ascii="Times New Roman" w:hAnsi="Times New Roman" w:cs="Times New Roman"/>
          <w:i/>
        </w:rPr>
        <w:t>35</w:t>
      </w:r>
      <w:r w:rsidRPr="00212613">
        <w:rPr>
          <w:rFonts w:ascii="Times New Roman" w:hAnsi="Times New Roman" w:cs="Times New Roman"/>
        </w:rPr>
        <w:t>(27), 5070-5093.</w:t>
      </w:r>
    </w:p>
    <w:p w14:paraId="7058AF8A" w14:textId="75D33510" w:rsidR="00A96373" w:rsidRPr="00212613" w:rsidRDefault="00A96373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R Core Team. </w:t>
      </w:r>
      <w:r w:rsidR="00BC7605">
        <w:rPr>
          <w:rFonts w:ascii="Times New Roman" w:hAnsi="Times New Roman" w:cs="Times New Roman"/>
        </w:rPr>
        <w:t>(2019</w:t>
      </w:r>
      <w:r w:rsidR="00887955">
        <w:rPr>
          <w:rFonts w:ascii="Times New Roman" w:hAnsi="Times New Roman" w:cs="Times New Roman"/>
        </w:rPr>
        <w:t>,</w:t>
      </w:r>
      <w:r w:rsidR="00BC7605">
        <w:rPr>
          <w:rFonts w:ascii="Times New Roman" w:hAnsi="Times New Roman" w:cs="Times New Roman"/>
        </w:rPr>
        <w:t xml:space="preserve"> </w:t>
      </w:r>
      <w:r w:rsidRPr="00212613">
        <w:rPr>
          <w:rFonts w:ascii="Times New Roman" w:hAnsi="Times New Roman" w:cs="Times New Roman"/>
        </w:rPr>
        <w:t>20</w:t>
      </w:r>
      <w:r w:rsidR="000E2CE9">
        <w:rPr>
          <w:rFonts w:ascii="Times New Roman" w:hAnsi="Times New Roman" w:cs="Times New Roman"/>
        </w:rPr>
        <w:t>21</w:t>
      </w:r>
      <w:r w:rsidRPr="00212613">
        <w:rPr>
          <w:rFonts w:ascii="Times New Roman" w:hAnsi="Times New Roman" w:cs="Times New Roman"/>
        </w:rPr>
        <w:t>). R: A language and environment for statistical computing [software]. Vienna, Austria: R Foundation for Statistical Computing.</w:t>
      </w:r>
    </w:p>
    <w:p w14:paraId="61A0FD95" w14:textId="77777777" w:rsidR="008C1751" w:rsidRPr="008C1751" w:rsidRDefault="008C1751" w:rsidP="00424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hAnsi="Times New Roman" w:cs="Times New Roman"/>
          <w:color w:val="000000"/>
        </w:rPr>
      </w:pPr>
      <w:r w:rsidRPr="008C1751">
        <w:rPr>
          <w:rFonts w:ascii="Times New Roman" w:hAnsi="Times New Roman" w:cs="Times New Roman"/>
          <w:color w:val="000000"/>
        </w:rPr>
        <w:t xml:space="preserve">Sellers, K. F., &amp; Premeaux, B. (2021). Conway–Maxwell–Poisson regression models for dispersed count data. </w:t>
      </w:r>
      <w:r w:rsidRPr="008C1751">
        <w:rPr>
          <w:rFonts w:ascii="Times New Roman" w:hAnsi="Times New Roman" w:cs="Times New Roman"/>
          <w:i/>
          <w:iCs/>
          <w:color w:val="000000"/>
        </w:rPr>
        <w:t>Wiley Interdisciplinary Reviews: Computational Statistics</w:t>
      </w:r>
      <w:r w:rsidRPr="008C1751">
        <w:rPr>
          <w:rFonts w:ascii="Times New Roman" w:hAnsi="Times New Roman" w:cs="Times New Roman"/>
          <w:color w:val="000000"/>
        </w:rPr>
        <w:t xml:space="preserve">, </w:t>
      </w:r>
      <w:r w:rsidRPr="008C1751">
        <w:rPr>
          <w:rFonts w:ascii="Times New Roman" w:hAnsi="Times New Roman" w:cs="Times New Roman"/>
          <w:i/>
          <w:iCs/>
          <w:color w:val="000000"/>
        </w:rPr>
        <w:t>13</w:t>
      </w:r>
      <w:r w:rsidRPr="008C1751">
        <w:rPr>
          <w:rFonts w:ascii="Times New Roman" w:hAnsi="Times New Roman" w:cs="Times New Roman"/>
          <w:color w:val="000000"/>
        </w:rPr>
        <w:t>(6).</w:t>
      </w:r>
    </w:p>
    <w:p w14:paraId="585E4376" w14:textId="77777777" w:rsidR="00C73616" w:rsidRPr="00212613" w:rsidRDefault="00C73616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eastAsia="Arial" w:hAnsi="Times New Roman" w:cs="Times New Roman"/>
          <w:highlight w:val="white"/>
        </w:rPr>
      </w:pPr>
      <w:r w:rsidRPr="00212613">
        <w:rPr>
          <w:rFonts w:ascii="Times New Roman" w:hAnsi="Times New Roman" w:cs="Times New Roman"/>
        </w:rPr>
        <w:t xml:space="preserve">Tabachnick, B. G., &amp; Fidell, L. S. (2018). </w:t>
      </w:r>
      <w:r w:rsidRPr="00212613">
        <w:rPr>
          <w:rFonts w:ascii="Times New Roman" w:hAnsi="Times New Roman" w:cs="Times New Roman"/>
          <w:i/>
        </w:rPr>
        <w:t>Using multivariate statistics</w:t>
      </w:r>
      <w:r w:rsidRPr="00212613">
        <w:rPr>
          <w:rFonts w:ascii="Times New Roman" w:hAnsi="Times New Roman" w:cs="Times New Roman"/>
        </w:rPr>
        <w:t xml:space="preserve"> (8th ed.). New York: Pearson.</w:t>
      </w:r>
      <w:r w:rsidRPr="00212613">
        <w:rPr>
          <w:rFonts w:ascii="Times New Roman" w:eastAsia="Arial" w:hAnsi="Times New Roman" w:cs="Times New Roman"/>
          <w:highlight w:val="white"/>
        </w:rPr>
        <w:t xml:space="preserve"> </w:t>
      </w:r>
    </w:p>
    <w:p w14:paraId="094A40AF" w14:textId="77777777" w:rsidR="00140FA7" w:rsidRPr="00212613" w:rsidRDefault="00140FA7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Zuur, A., &amp; Ieno, E. N. (2016). </w:t>
      </w:r>
      <w:r w:rsidRPr="00212613">
        <w:rPr>
          <w:rFonts w:ascii="Times New Roman" w:hAnsi="Times New Roman" w:cs="Times New Roman"/>
          <w:i/>
        </w:rPr>
        <w:t>Beginner’s guide to zero-inflated models with R</w:t>
      </w:r>
      <w:r w:rsidRPr="00212613">
        <w:rPr>
          <w:rFonts w:ascii="Times New Roman" w:hAnsi="Times New Roman" w:cs="Times New Roman"/>
        </w:rPr>
        <w:t xml:space="preserve">. Newburgh: Highland Statistics Ltd. </w:t>
      </w:r>
    </w:p>
    <w:p w14:paraId="13C1221F" w14:textId="77777777" w:rsidR="00253F90" w:rsidRPr="00212613" w:rsidRDefault="0075433E" w:rsidP="00424B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ind w:left="720" w:hanging="720"/>
        <w:rPr>
          <w:rFonts w:ascii="Times New Roman" w:hAnsi="Times New Roman" w:cs="Times New Roman"/>
        </w:rPr>
      </w:pPr>
      <w:r w:rsidRPr="00212613">
        <w:rPr>
          <w:rFonts w:ascii="Times New Roman" w:hAnsi="Times New Roman" w:cs="Times New Roman"/>
        </w:rPr>
        <w:t xml:space="preserve">Zuur, A. F., Ieno, E. N, Walker, N. J., Saveliev, A. A., &amp; Smith, G. M. (2009). </w:t>
      </w:r>
      <w:r w:rsidRPr="00212613">
        <w:rPr>
          <w:rFonts w:ascii="Times New Roman" w:hAnsi="Times New Roman" w:cs="Times New Roman"/>
          <w:i/>
        </w:rPr>
        <w:t>Mixed effects models and extensions in ecology with R</w:t>
      </w:r>
      <w:r w:rsidRPr="00212613">
        <w:rPr>
          <w:rFonts w:ascii="Times New Roman" w:hAnsi="Times New Roman" w:cs="Times New Roman"/>
        </w:rPr>
        <w:t xml:space="preserve">. New York, NY: Springer. </w:t>
      </w:r>
    </w:p>
    <w:sectPr w:rsidR="00253F90" w:rsidRPr="00212613" w:rsidSect="003B6BE5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4F20" w14:textId="77777777" w:rsidR="007941E6" w:rsidRDefault="007941E6" w:rsidP="006E4CD3">
      <w:r>
        <w:separator/>
      </w:r>
    </w:p>
  </w:endnote>
  <w:endnote w:type="continuationSeparator" w:id="0">
    <w:p w14:paraId="499F8C1D" w14:textId="77777777" w:rsidR="007941E6" w:rsidRDefault="007941E6" w:rsidP="006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8699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506F9" w14:textId="6275822C" w:rsidR="006E4CD3" w:rsidRDefault="006E4CD3" w:rsidP="00EE02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5337D" w14:textId="77777777" w:rsidR="006E4CD3" w:rsidRDefault="006E4CD3" w:rsidP="006E4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2F7" w14:textId="77777777" w:rsidR="006E4CD3" w:rsidRDefault="006E4CD3" w:rsidP="006E4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C5A4" w14:textId="77777777" w:rsidR="007941E6" w:rsidRDefault="007941E6" w:rsidP="006E4CD3">
      <w:r>
        <w:separator/>
      </w:r>
    </w:p>
  </w:footnote>
  <w:footnote w:type="continuationSeparator" w:id="0">
    <w:p w14:paraId="7762A12C" w14:textId="77777777" w:rsidR="007941E6" w:rsidRDefault="007941E6" w:rsidP="006E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F31"/>
    <w:multiLevelType w:val="hybridMultilevel"/>
    <w:tmpl w:val="905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4EA9"/>
    <w:multiLevelType w:val="hybridMultilevel"/>
    <w:tmpl w:val="00809C48"/>
    <w:lvl w:ilvl="0" w:tplc="6562F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1CB9"/>
    <w:multiLevelType w:val="hybridMultilevel"/>
    <w:tmpl w:val="C982F4F4"/>
    <w:lvl w:ilvl="0" w:tplc="25BA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56595">
    <w:abstractNumId w:val="0"/>
  </w:num>
  <w:num w:numId="2" w16cid:durableId="1328629003">
    <w:abstractNumId w:val="2"/>
  </w:num>
  <w:num w:numId="3" w16cid:durableId="61475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BA"/>
    <w:rsid w:val="00001512"/>
    <w:rsid w:val="0000178D"/>
    <w:rsid w:val="00002811"/>
    <w:rsid w:val="000038F2"/>
    <w:rsid w:val="0000469F"/>
    <w:rsid w:val="00005371"/>
    <w:rsid w:val="00005FBD"/>
    <w:rsid w:val="00011D2D"/>
    <w:rsid w:val="000133BA"/>
    <w:rsid w:val="00016DAB"/>
    <w:rsid w:val="00020C99"/>
    <w:rsid w:val="00021E94"/>
    <w:rsid w:val="0002349D"/>
    <w:rsid w:val="00024908"/>
    <w:rsid w:val="000279A9"/>
    <w:rsid w:val="000348C0"/>
    <w:rsid w:val="0003735E"/>
    <w:rsid w:val="0004301B"/>
    <w:rsid w:val="00045C04"/>
    <w:rsid w:val="00053E86"/>
    <w:rsid w:val="00057279"/>
    <w:rsid w:val="00057DC5"/>
    <w:rsid w:val="00060C25"/>
    <w:rsid w:val="000638C2"/>
    <w:rsid w:val="000647D7"/>
    <w:rsid w:val="0007081C"/>
    <w:rsid w:val="000750DE"/>
    <w:rsid w:val="0008199B"/>
    <w:rsid w:val="00082A0F"/>
    <w:rsid w:val="000853D2"/>
    <w:rsid w:val="00085FA3"/>
    <w:rsid w:val="000915E6"/>
    <w:rsid w:val="0009574B"/>
    <w:rsid w:val="000C1371"/>
    <w:rsid w:val="000C29A2"/>
    <w:rsid w:val="000C4A26"/>
    <w:rsid w:val="000C56CC"/>
    <w:rsid w:val="000C6EA5"/>
    <w:rsid w:val="000C7258"/>
    <w:rsid w:val="000D249B"/>
    <w:rsid w:val="000D33E5"/>
    <w:rsid w:val="000D717D"/>
    <w:rsid w:val="000D7F14"/>
    <w:rsid w:val="000E1082"/>
    <w:rsid w:val="000E2098"/>
    <w:rsid w:val="000E2CE9"/>
    <w:rsid w:val="000E3840"/>
    <w:rsid w:val="000E4E17"/>
    <w:rsid w:val="000E6E3B"/>
    <w:rsid w:val="000F046E"/>
    <w:rsid w:val="000F5C0E"/>
    <w:rsid w:val="001003CF"/>
    <w:rsid w:val="001022B2"/>
    <w:rsid w:val="00103E39"/>
    <w:rsid w:val="00110EA8"/>
    <w:rsid w:val="00116558"/>
    <w:rsid w:val="00116ECE"/>
    <w:rsid w:val="001209BE"/>
    <w:rsid w:val="00121525"/>
    <w:rsid w:val="00121EF5"/>
    <w:rsid w:val="001226E7"/>
    <w:rsid w:val="0012523F"/>
    <w:rsid w:val="00133C95"/>
    <w:rsid w:val="00134357"/>
    <w:rsid w:val="00137549"/>
    <w:rsid w:val="001378BF"/>
    <w:rsid w:val="00140C12"/>
    <w:rsid w:val="00140FA7"/>
    <w:rsid w:val="00141F9D"/>
    <w:rsid w:val="0015211F"/>
    <w:rsid w:val="00154C26"/>
    <w:rsid w:val="001602C9"/>
    <w:rsid w:val="0016361C"/>
    <w:rsid w:val="00164282"/>
    <w:rsid w:val="00166CBB"/>
    <w:rsid w:val="00170F89"/>
    <w:rsid w:val="00172727"/>
    <w:rsid w:val="00174D91"/>
    <w:rsid w:val="00175753"/>
    <w:rsid w:val="001759E2"/>
    <w:rsid w:val="001775DF"/>
    <w:rsid w:val="001825D5"/>
    <w:rsid w:val="00191986"/>
    <w:rsid w:val="0019297D"/>
    <w:rsid w:val="00192F5D"/>
    <w:rsid w:val="00193230"/>
    <w:rsid w:val="0019586E"/>
    <w:rsid w:val="0019630F"/>
    <w:rsid w:val="001A5A73"/>
    <w:rsid w:val="001B44E5"/>
    <w:rsid w:val="001B515B"/>
    <w:rsid w:val="001C1374"/>
    <w:rsid w:val="001C268F"/>
    <w:rsid w:val="001C44AC"/>
    <w:rsid w:val="001C46A5"/>
    <w:rsid w:val="001C6169"/>
    <w:rsid w:val="001C74A6"/>
    <w:rsid w:val="001D23F0"/>
    <w:rsid w:val="001E50B6"/>
    <w:rsid w:val="001E7EC3"/>
    <w:rsid w:val="001F47B7"/>
    <w:rsid w:val="001F5BBF"/>
    <w:rsid w:val="001F7C07"/>
    <w:rsid w:val="00202573"/>
    <w:rsid w:val="00212613"/>
    <w:rsid w:val="0021635E"/>
    <w:rsid w:val="002170BC"/>
    <w:rsid w:val="00217F4A"/>
    <w:rsid w:val="00221109"/>
    <w:rsid w:val="00224452"/>
    <w:rsid w:val="00230113"/>
    <w:rsid w:val="0023250C"/>
    <w:rsid w:val="002366D9"/>
    <w:rsid w:val="00253F90"/>
    <w:rsid w:val="002559F5"/>
    <w:rsid w:val="00256E25"/>
    <w:rsid w:val="002613F8"/>
    <w:rsid w:val="00261DD4"/>
    <w:rsid w:val="00267790"/>
    <w:rsid w:val="0027378B"/>
    <w:rsid w:val="00277E30"/>
    <w:rsid w:val="002843FA"/>
    <w:rsid w:val="002847E7"/>
    <w:rsid w:val="00286C51"/>
    <w:rsid w:val="002916AD"/>
    <w:rsid w:val="00291D44"/>
    <w:rsid w:val="002948A9"/>
    <w:rsid w:val="002952C0"/>
    <w:rsid w:val="002A2BB2"/>
    <w:rsid w:val="002A4B39"/>
    <w:rsid w:val="002B37BC"/>
    <w:rsid w:val="002B4418"/>
    <w:rsid w:val="002B5BA8"/>
    <w:rsid w:val="002C037B"/>
    <w:rsid w:val="002D0088"/>
    <w:rsid w:val="002D3A1E"/>
    <w:rsid w:val="002D4EAA"/>
    <w:rsid w:val="002D61AA"/>
    <w:rsid w:val="002E035E"/>
    <w:rsid w:val="002E117D"/>
    <w:rsid w:val="002E798F"/>
    <w:rsid w:val="002F1AB4"/>
    <w:rsid w:val="002F5301"/>
    <w:rsid w:val="003013C1"/>
    <w:rsid w:val="00310EAF"/>
    <w:rsid w:val="00313311"/>
    <w:rsid w:val="00323171"/>
    <w:rsid w:val="00323A8F"/>
    <w:rsid w:val="00323F05"/>
    <w:rsid w:val="003256E2"/>
    <w:rsid w:val="0032696E"/>
    <w:rsid w:val="00332D15"/>
    <w:rsid w:val="00340370"/>
    <w:rsid w:val="00353A97"/>
    <w:rsid w:val="00354458"/>
    <w:rsid w:val="003571C7"/>
    <w:rsid w:val="003607D7"/>
    <w:rsid w:val="00362FCA"/>
    <w:rsid w:val="003635E8"/>
    <w:rsid w:val="003645CF"/>
    <w:rsid w:val="003649EF"/>
    <w:rsid w:val="00374512"/>
    <w:rsid w:val="00382D1E"/>
    <w:rsid w:val="00384D87"/>
    <w:rsid w:val="00384F26"/>
    <w:rsid w:val="00385ADB"/>
    <w:rsid w:val="00391C5E"/>
    <w:rsid w:val="003934EF"/>
    <w:rsid w:val="0039555D"/>
    <w:rsid w:val="003A164C"/>
    <w:rsid w:val="003A5C03"/>
    <w:rsid w:val="003A64E0"/>
    <w:rsid w:val="003B46DD"/>
    <w:rsid w:val="003B488F"/>
    <w:rsid w:val="003B6BE5"/>
    <w:rsid w:val="003C3E8E"/>
    <w:rsid w:val="003D0D09"/>
    <w:rsid w:val="003D169F"/>
    <w:rsid w:val="003D2B20"/>
    <w:rsid w:val="003D2D74"/>
    <w:rsid w:val="003D2E8C"/>
    <w:rsid w:val="003D588C"/>
    <w:rsid w:val="003D7CEF"/>
    <w:rsid w:val="003E03E7"/>
    <w:rsid w:val="003E27FA"/>
    <w:rsid w:val="003F182A"/>
    <w:rsid w:val="003F3A16"/>
    <w:rsid w:val="003F4B07"/>
    <w:rsid w:val="003F6E41"/>
    <w:rsid w:val="00400AA9"/>
    <w:rsid w:val="0040300E"/>
    <w:rsid w:val="00405C10"/>
    <w:rsid w:val="004066C0"/>
    <w:rsid w:val="00416491"/>
    <w:rsid w:val="004174A0"/>
    <w:rsid w:val="00424BBF"/>
    <w:rsid w:val="00431C84"/>
    <w:rsid w:val="0044728C"/>
    <w:rsid w:val="004570D2"/>
    <w:rsid w:val="004576FA"/>
    <w:rsid w:val="00460A39"/>
    <w:rsid w:val="00462DC8"/>
    <w:rsid w:val="00464D26"/>
    <w:rsid w:val="00465C00"/>
    <w:rsid w:val="00465F01"/>
    <w:rsid w:val="0047023A"/>
    <w:rsid w:val="004708FF"/>
    <w:rsid w:val="00471609"/>
    <w:rsid w:val="0047185A"/>
    <w:rsid w:val="004756F2"/>
    <w:rsid w:val="00477ABC"/>
    <w:rsid w:val="00480065"/>
    <w:rsid w:val="00482104"/>
    <w:rsid w:val="00484DFD"/>
    <w:rsid w:val="004855A7"/>
    <w:rsid w:val="00486C7D"/>
    <w:rsid w:val="0048799E"/>
    <w:rsid w:val="00491DE3"/>
    <w:rsid w:val="00492BF7"/>
    <w:rsid w:val="0049463E"/>
    <w:rsid w:val="00494D6E"/>
    <w:rsid w:val="004A1D6D"/>
    <w:rsid w:val="004A4C6C"/>
    <w:rsid w:val="004A7980"/>
    <w:rsid w:val="004A7F5C"/>
    <w:rsid w:val="004B0327"/>
    <w:rsid w:val="004B1F82"/>
    <w:rsid w:val="004B7152"/>
    <w:rsid w:val="004C2058"/>
    <w:rsid w:val="004C529C"/>
    <w:rsid w:val="004D0D32"/>
    <w:rsid w:val="004D24B3"/>
    <w:rsid w:val="004D45F0"/>
    <w:rsid w:val="004D57EA"/>
    <w:rsid w:val="004D5BF8"/>
    <w:rsid w:val="004D751D"/>
    <w:rsid w:val="004D7552"/>
    <w:rsid w:val="004D784A"/>
    <w:rsid w:val="004E7898"/>
    <w:rsid w:val="004F45E8"/>
    <w:rsid w:val="00502EBD"/>
    <w:rsid w:val="0050326A"/>
    <w:rsid w:val="00510051"/>
    <w:rsid w:val="005155BA"/>
    <w:rsid w:val="00522D3C"/>
    <w:rsid w:val="00527289"/>
    <w:rsid w:val="0053228E"/>
    <w:rsid w:val="0054108D"/>
    <w:rsid w:val="005427FF"/>
    <w:rsid w:val="00544420"/>
    <w:rsid w:val="00545335"/>
    <w:rsid w:val="00553EE8"/>
    <w:rsid w:val="005654AC"/>
    <w:rsid w:val="005655BD"/>
    <w:rsid w:val="00566757"/>
    <w:rsid w:val="00567DE7"/>
    <w:rsid w:val="005766B0"/>
    <w:rsid w:val="00576C77"/>
    <w:rsid w:val="0058073C"/>
    <w:rsid w:val="00582D51"/>
    <w:rsid w:val="005867A6"/>
    <w:rsid w:val="0058756D"/>
    <w:rsid w:val="00591140"/>
    <w:rsid w:val="005920FA"/>
    <w:rsid w:val="0059346E"/>
    <w:rsid w:val="00596E7D"/>
    <w:rsid w:val="0059754F"/>
    <w:rsid w:val="005A0EC3"/>
    <w:rsid w:val="005A22AF"/>
    <w:rsid w:val="005A454A"/>
    <w:rsid w:val="005A6D55"/>
    <w:rsid w:val="005B34E3"/>
    <w:rsid w:val="005B44F9"/>
    <w:rsid w:val="005C717E"/>
    <w:rsid w:val="005D18DB"/>
    <w:rsid w:val="005D345F"/>
    <w:rsid w:val="005D47BE"/>
    <w:rsid w:val="005D61FE"/>
    <w:rsid w:val="005D7AFD"/>
    <w:rsid w:val="005E34C0"/>
    <w:rsid w:val="005E4197"/>
    <w:rsid w:val="005E5FA6"/>
    <w:rsid w:val="005F50FE"/>
    <w:rsid w:val="0060547B"/>
    <w:rsid w:val="00605600"/>
    <w:rsid w:val="006130E9"/>
    <w:rsid w:val="00613855"/>
    <w:rsid w:val="00614590"/>
    <w:rsid w:val="006146EA"/>
    <w:rsid w:val="006219EA"/>
    <w:rsid w:val="0062216B"/>
    <w:rsid w:val="00632465"/>
    <w:rsid w:val="006325E1"/>
    <w:rsid w:val="006366E0"/>
    <w:rsid w:val="00636946"/>
    <w:rsid w:val="00640700"/>
    <w:rsid w:val="00640956"/>
    <w:rsid w:val="00641A45"/>
    <w:rsid w:val="00653C63"/>
    <w:rsid w:val="00654DDB"/>
    <w:rsid w:val="00663B8B"/>
    <w:rsid w:val="00667216"/>
    <w:rsid w:val="00671B2B"/>
    <w:rsid w:val="00674ADD"/>
    <w:rsid w:val="00675B1C"/>
    <w:rsid w:val="00682527"/>
    <w:rsid w:val="00682AC8"/>
    <w:rsid w:val="00692441"/>
    <w:rsid w:val="00692449"/>
    <w:rsid w:val="006930AB"/>
    <w:rsid w:val="006974AB"/>
    <w:rsid w:val="00697D38"/>
    <w:rsid w:val="006A2C1A"/>
    <w:rsid w:val="006A65C8"/>
    <w:rsid w:val="006A74C8"/>
    <w:rsid w:val="006B0C82"/>
    <w:rsid w:val="006B4ABF"/>
    <w:rsid w:val="006C19B5"/>
    <w:rsid w:val="006C289C"/>
    <w:rsid w:val="006C472E"/>
    <w:rsid w:val="006C5A8B"/>
    <w:rsid w:val="006C7D8D"/>
    <w:rsid w:val="006D0F0B"/>
    <w:rsid w:val="006D267F"/>
    <w:rsid w:val="006E19DF"/>
    <w:rsid w:val="006E1FEE"/>
    <w:rsid w:val="006E463A"/>
    <w:rsid w:val="006E4CD3"/>
    <w:rsid w:val="006F1E66"/>
    <w:rsid w:val="006F2EF3"/>
    <w:rsid w:val="006F70B7"/>
    <w:rsid w:val="006F7FA8"/>
    <w:rsid w:val="00700466"/>
    <w:rsid w:val="00705B73"/>
    <w:rsid w:val="00710824"/>
    <w:rsid w:val="00712133"/>
    <w:rsid w:val="007122E6"/>
    <w:rsid w:val="00712F68"/>
    <w:rsid w:val="00721A7B"/>
    <w:rsid w:val="00724B90"/>
    <w:rsid w:val="00724F46"/>
    <w:rsid w:val="00733A16"/>
    <w:rsid w:val="00737C22"/>
    <w:rsid w:val="007402EA"/>
    <w:rsid w:val="00742088"/>
    <w:rsid w:val="007422A6"/>
    <w:rsid w:val="00743AD8"/>
    <w:rsid w:val="00747007"/>
    <w:rsid w:val="00747F10"/>
    <w:rsid w:val="00750F88"/>
    <w:rsid w:val="0075433E"/>
    <w:rsid w:val="00754868"/>
    <w:rsid w:val="00757839"/>
    <w:rsid w:val="00757A36"/>
    <w:rsid w:val="0076318F"/>
    <w:rsid w:val="0076362E"/>
    <w:rsid w:val="0077170F"/>
    <w:rsid w:val="00771EC2"/>
    <w:rsid w:val="007760A3"/>
    <w:rsid w:val="0077667F"/>
    <w:rsid w:val="00784025"/>
    <w:rsid w:val="00785162"/>
    <w:rsid w:val="00791BEB"/>
    <w:rsid w:val="007941E6"/>
    <w:rsid w:val="00795AC4"/>
    <w:rsid w:val="007963DB"/>
    <w:rsid w:val="007A3003"/>
    <w:rsid w:val="007B23A6"/>
    <w:rsid w:val="007B33DF"/>
    <w:rsid w:val="007C395E"/>
    <w:rsid w:val="007C4CE0"/>
    <w:rsid w:val="007C6923"/>
    <w:rsid w:val="007C6C94"/>
    <w:rsid w:val="007D0468"/>
    <w:rsid w:val="007E1A22"/>
    <w:rsid w:val="007E2E99"/>
    <w:rsid w:val="007E5B89"/>
    <w:rsid w:val="007E78DD"/>
    <w:rsid w:val="007F0918"/>
    <w:rsid w:val="007F0DC0"/>
    <w:rsid w:val="007F72B1"/>
    <w:rsid w:val="00804141"/>
    <w:rsid w:val="00805724"/>
    <w:rsid w:val="0080684F"/>
    <w:rsid w:val="00810AB6"/>
    <w:rsid w:val="00811791"/>
    <w:rsid w:val="008122DC"/>
    <w:rsid w:val="00814362"/>
    <w:rsid w:val="0081572C"/>
    <w:rsid w:val="008173E2"/>
    <w:rsid w:val="008236EA"/>
    <w:rsid w:val="00834602"/>
    <w:rsid w:val="00835811"/>
    <w:rsid w:val="008414C2"/>
    <w:rsid w:val="00842C4A"/>
    <w:rsid w:val="00844DF9"/>
    <w:rsid w:val="00845199"/>
    <w:rsid w:val="00847899"/>
    <w:rsid w:val="00850F6E"/>
    <w:rsid w:val="008516B1"/>
    <w:rsid w:val="00856D5B"/>
    <w:rsid w:val="00861971"/>
    <w:rsid w:val="00865266"/>
    <w:rsid w:val="008712EA"/>
    <w:rsid w:val="008732B2"/>
    <w:rsid w:val="00874A46"/>
    <w:rsid w:val="00874C5A"/>
    <w:rsid w:val="008755A9"/>
    <w:rsid w:val="008823F6"/>
    <w:rsid w:val="008851AA"/>
    <w:rsid w:val="00886A8A"/>
    <w:rsid w:val="0088793A"/>
    <w:rsid w:val="00887955"/>
    <w:rsid w:val="00890B46"/>
    <w:rsid w:val="00895960"/>
    <w:rsid w:val="008A14BC"/>
    <w:rsid w:val="008A2FBF"/>
    <w:rsid w:val="008A3319"/>
    <w:rsid w:val="008A3353"/>
    <w:rsid w:val="008A7C5E"/>
    <w:rsid w:val="008B1606"/>
    <w:rsid w:val="008C0B22"/>
    <w:rsid w:val="008C1751"/>
    <w:rsid w:val="008C44F7"/>
    <w:rsid w:val="008C4671"/>
    <w:rsid w:val="008C694C"/>
    <w:rsid w:val="008C7187"/>
    <w:rsid w:val="008C733A"/>
    <w:rsid w:val="008D024F"/>
    <w:rsid w:val="008D12EF"/>
    <w:rsid w:val="008D3551"/>
    <w:rsid w:val="008D470B"/>
    <w:rsid w:val="008D4754"/>
    <w:rsid w:val="008D4AC5"/>
    <w:rsid w:val="008D7DB4"/>
    <w:rsid w:val="008E13BE"/>
    <w:rsid w:val="008E1A40"/>
    <w:rsid w:val="008E32A3"/>
    <w:rsid w:val="008E4AEB"/>
    <w:rsid w:val="008E7645"/>
    <w:rsid w:val="008F0A07"/>
    <w:rsid w:val="008F11DC"/>
    <w:rsid w:val="00903045"/>
    <w:rsid w:val="00912854"/>
    <w:rsid w:val="00913641"/>
    <w:rsid w:val="00915A99"/>
    <w:rsid w:val="00915F9F"/>
    <w:rsid w:val="00923492"/>
    <w:rsid w:val="00923931"/>
    <w:rsid w:val="00923EEB"/>
    <w:rsid w:val="00927C9B"/>
    <w:rsid w:val="009318D2"/>
    <w:rsid w:val="009358CA"/>
    <w:rsid w:val="00936790"/>
    <w:rsid w:val="00937FC9"/>
    <w:rsid w:val="00964B06"/>
    <w:rsid w:val="0096553E"/>
    <w:rsid w:val="009656C1"/>
    <w:rsid w:val="00965EC8"/>
    <w:rsid w:val="00974251"/>
    <w:rsid w:val="00977A3A"/>
    <w:rsid w:val="0098356E"/>
    <w:rsid w:val="00986C91"/>
    <w:rsid w:val="00990450"/>
    <w:rsid w:val="009908E1"/>
    <w:rsid w:val="00991235"/>
    <w:rsid w:val="00991481"/>
    <w:rsid w:val="00995434"/>
    <w:rsid w:val="00997630"/>
    <w:rsid w:val="009B3EDB"/>
    <w:rsid w:val="009C2163"/>
    <w:rsid w:val="009C5E72"/>
    <w:rsid w:val="009D7E1B"/>
    <w:rsid w:val="009E216F"/>
    <w:rsid w:val="009E2F7B"/>
    <w:rsid w:val="009E312A"/>
    <w:rsid w:val="009E3C77"/>
    <w:rsid w:val="009E3F79"/>
    <w:rsid w:val="009E571A"/>
    <w:rsid w:val="009E70A0"/>
    <w:rsid w:val="009E77B1"/>
    <w:rsid w:val="009F0310"/>
    <w:rsid w:val="009F23BF"/>
    <w:rsid w:val="009F6474"/>
    <w:rsid w:val="00A00AB5"/>
    <w:rsid w:val="00A0229D"/>
    <w:rsid w:val="00A06143"/>
    <w:rsid w:val="00A10694"/>
    <w:rsid w:val="00A10868"/>
    <w:rsid w:val="00A1587E"/>
    <w:rsid w:val="00A15F67"/>
    <w:rsid w:val="00A168E4"/>
    <w:rsid w:val="00A201AD"/>
    <w:rsid w:val="00A208D7"/>
    <w:rsid w:val="00A23A5E"/>
    <w:rsid w:val="00A24221"/>
    <w:rsid w:val="00A24420"/>
    <w:rsid w:val="00A25448"/>
    <w:rsid w:val="00A2627F"/>
    <w:rsid w:val="00A2640C"/>
    <w:rsid w:val="00A30D5E"/>
    <w:rsid w:val="00A33B4B"/>
    <w:rsid w:val="00A40B90"/>
    <w:rsid w:val="00A4413E"/>
    <w:rsid w:val="00A454B5"/>
    <w:rsid w:val="00A462C6"/>
    <w:rsid w:val="00A513EA"/>
    <w:rsid w:val="00A57E95"/>
    <w:rsid w:val="00A618E7"/>
    <w:rsid w:val="00A61FA7"/>
    <w:rsid w:val="00A66541"/>
    <w:rsid w:val="00A67DCD"/>
    <w:rsid w:val="00A7094E"/>
    <w:rsid w:val="00A80A3C"/>
    <w:rsid w:val="00A80A6E"/>
    <w:rsid w:val="00A81C1B"/>
    <w:rsid w:val="00A84796"/>
    <w:rsid w:val="00A84972"/>
    <w:rsid w:val="00A8531F"/>
    <w:rsid w:val="00A87AB4"/>
    <w:rsid w:val="00A91CEC"/>
    <w:rsid w:val="00A91D8C"/>
    <w:rsid w:val="00A93FB9"/>
    <w:rsid w:val="00A96373"/>
    <w:rsid w:val="00A968DF"/>
    <w:rsid w:val="00AA07BA"/>
    <w:rsid w:val="00AA081D"/>
    <w:rsid w:val="00AA1F75"/>
    <w:rsid w:val="00AB2E1B"/>
    <w:rsid w:val="00AB3263"/>
    <w:rsid w:val="00AC3579"/>
    <w:rsid w:val="00AC487C"/>
    <w:rsid w:val="00AC79F7"/>
    <w:rsid w:val="00AD0BDD"/>
    <w:rsid w:val="00AD4FC2"/>
    <w:rsid w:val="00AD585C"/>
    <w:rsid w:val="00AE6242"/>
    <w:rsid w:val="00AE6A55"/>
    <w:rsid w:val="00AF066F"/>
    <w:rsid w:val="00AF089B"/>
    <w:rsid w:val="00AF1052"/>
    <w:rsid w:val="00AF7C0C"/>
    <w:rsid w:val="00B0007E"/>
    <w:rsid w:val="00B00D62"/>
    <w:rsid w:val="00B01B99"/>
    <w:rsid w:val="00B01F90"/>
    <w:rsid w:val="00B0451F"/>
    <w:rsid w:val="00B0624D"/>
    <w:rsid w:val="00B10A3E"/>
    <w:rsid w:val="00B11466"/>
    <w:rsid w:val="00B1248B"/>
    <w:rsid w:val="00B12E0A"/>
    <w:rsid w:val="00B13161"/>
    <w:rsid w:val="00B14A56"/>
    <w:rsid w:val="00B17884"/>
    <w:rsid w:val="00B22217"/>
    <w:rsid w:val="00B24226"/>
    <w:rsid w:val="00B24750"/>
    <w:rsid w:val="00B2778D"/>
    <w:rsid w:val="00B33E95"/>
    <w:rsid w:val="00B370CF"/>
    <w:rsid w:val="00B41D7C"/>
    <w:rsid w:val="00B42C36"/>
    <w:rsid w:val="00B43C57"/>
    <w:rsid w:val="00B43CFA"/>
    <w:rsid w:val="00B453FF"/>
    <w:rsid w:val="00B45D82"/>
    <w:rsid w:val="00B505E4"/>
    <w:rsid w:val="00B51041"/>
    <w:rsid w:val="00B517D0"/>
    <w:rsid w:val="00B51C7C"/>
    <w:rsid w:val="00B615C7"/>
    <w:rsid w:val="00B6439C"/>
    <w:rsid w:val="00B64775"/>
    <w:rsid w:val="00B660D7"/>
    <w:rsid w:val="00B67F40"/>
    <w:rsid w:val="00B71F3C"/>
    <w:rsid w:val="00B73F3D"/>
    <w:rsid w:val="00B74475"/>
    <w:rsid w:val="00B75824"/>
    <w:rsid w:val="00B76197"/>
    <w:rsid w:val="00B80EFF"/>
    <w:rsid w:val="00B83C42"/>
    <w:rsid w:val="00B86EB2"/>
    <w:rsid w:val="00B94D62"/>
    <w:rsid w:val="00B976FF"/>
    <w:rsid w:val="00BA192D"/>
    <w:rsid w:val="00BA2F7C"/>
    <w:rsid w:val="00BA4449"/>
    <w:rsid w:val="00BB053B"/>
    <w:rsid w:val="00BB5AD5"/>
    <w:rsid w:val="00BB6341"/>
    <w:rsid w:val="00BC44AC"/>
    <w:rsid w:val="00BC7605"/>
    <w:rsid w:val="00BD66E8"/>
    <w:rsid w:val="00BE078C"/>
    <w:rsid w:val="00BE500F"/>
    <w:rsid w:val="00BE5060"/>
    <w:rsid w:val="00BE7257"/>
    <w:rsid w:val="00BF54CF"/>
    <w:rsid w:val="00BF5A35"/>
    <w:rsid w:val="00BF691B"/>
    <w:rsid w:val="00BF72A4"/>
    <w:rsid w:val="00C00162"/>
    <w:rsid w:val="00C00302"/>
    <w:rsid w:val="00C01DA4"/>
    <w:rsid w:val="00C02096"/>
    <w:rsid w:val="00C03F09"/>
    <w:rsid w:val="00C0768F"/>
    <w:rsid w:val="00C12920"/>
    <w:rsid w:val="00C13B4D"/>
    <w:rsid w:val="00C140A2"/>
    <w:rsid w:val="00C14F1B"/>
    <w:rsid w:val="00C21F48"/>
    <w:rsid w:val="00C22558"/>
    <w:rsid w:val="00C25A5D"/>
    <w:rsid w:val="00C3112A"/>
    <w:rsid w:val="00C31F7E"/>
    <w:rsid w:val="00C33081"/>
    <w:rsid w:val="00C33E13"/>
    <w:rsid w:val="00C3433B"/>
    <w:rsid w:val="00C36BA9"/>
    <w:rsid w:val="00C44086"/>
    <w:rsid w:val="00C45A71"/>
    <w:rsid w:val="00C50808"/>
    <w:rsid w:val="00C6473A"/>
    <w:rsid w:val="00C6625F"/>
    <w:rsid w:val="00C73616"/>
    <w:rsid w:val="00C82203"/>
    <w:rsid w:val="00C82335"/>
    <w:rsid w:val="00C86840"/>
    <w:rsid w:val="00C93BD6"/>
    <w:rsid w:val="00C94207"/>
    <w:rsid w:val="00C9457A"/>
    <w:rsid w:val="00CA6CB7"/>
    <w:rsid w:val="00CB2B65"/>
    <w:rsid w:val="00CB4360"/>
    <w:rsid w:val="00CB76BA"/>
    <w:rsid w:val="00CC04B0"/>
    <w:rsid w:val="00CC2CEE"/>
    <w:rsid w:val="00CC36EF"/>
    <w:rsid w:val="00CC3A60"/>
    <w:rsid w:val="00CC6FEC"/>
    <w:rsid w:val="00CC71D4"/>
    <w:rsid w:val="00CD46E6"/>
    <w:rsid w:val="00CD6874"/>
    <w:rsid w:val="00CE2A8B"/>
    <w:rsid w:val="00CE593B"/>
    <w:rsid w:val="00CE7833"/>
    <w:rsid w:val="00CE78CB"/>
    <w:rsid w:val="00CF2E7C"/>
    <w:rsid w:val="00D02440"/>
    <w:rsid w:val="00D03414"/>
    <w:rsid w:val="00D0764C"/>
    <w:rsid w:val="00D11850"/>
    <w:rsid w:val="00D13645"/>
    <w:rsid w:val="00D243E1"/>
    <w:rsid w:val="00D24CB6"/>
    <w:rsid w:val="00D253B0"/>
    <w:rsid w:val="00D34609"/>
    <w:rsid w:val="00D34EAF"/>
    <w:rsid w:val="00D3795A"/>
    <w:rsid w:val="00D40843"/>
    <w:rsid w:val="00D425B1"/>
    <w:rsid w:val="00D619A8"/>
    <w:rsid w:val="00D64194"/>
    <w:rsid w:val="00D65FEB"/>
    <w:rsid w:val="00D71F36"/>
    <w:rsid w:val="00D75376"/>
    <w:rsid w:val="00D81651"/>
    <w:rsid w:val="00D8459E"/>
    <w:rsid w:val="00D8526E"/>
    <w:rsid w:val="00D86E43"/>
    <w:rsid w:val="00D926A4"/>
    <w:rsid w:val="00D93A49"/>
    <w:rsid w:val="00D9565E"/>
    <w:rsid w:val="00DA6D5A"/>
    <w:rsid w:val="00DB1451"/>
    <w:rsid w:val="00DB45E8"/>
    <w:rsid w:val="00DB659A"/>
    <w:rsid w:val="00DC0360"/>
    <w:rsid w:val="00DC2167"/>
    <w:rsid w:val="00DC5709"/>
    <w:rsid w:val="00DC68C1"/>
    <w:rsid w:val="00DC6E2F"/>
    <w:rsid w:val="00DD1CF6"/>
    <w:rsid w:val="00DD4F7A"/>
    <w:rsid w:val="00DD6F21"/>
    <w:rsid w:val="00DE10BB"/>
    <w:rsid w:val="00DE35C4"/>
    <w:rsid w:val="00DE7936"/>
    <w:rsid w:val="00DF4C82"/>
    <w:rsid w:val="00DF62FB"/>
    <w:rsid w:val="00DF76F4"/>
    <w:rsid w:val="00E0255F"/>
    <w:rsid w:val="00E02788"/>
    <w:rsid w:val="00E0764B"/>
    <w:rsid w:val="00E125DC"/>
    <w:rsid w:val="00E1363C"/>
    <w:rsid w:val="00E146C1"/>
    <w:rsid w:val="00E20230"/>
    <w:rsid w:val="00E208FD"/>
    <w:rsid w:val="00E22120"/>
    <w:rsid w:val="00E22571"/>
    <w:rsid w:val="00E23919"/>
    <w:rsid w:val="00E24D15"/>
    <w:rsid w:val="00E2773A"/>
    <w:rsid w:val="00E32401"/>
    <w:rsid w:val="00E34D4A"/>
    <w:rsid w:val="00E41140"/>
    <w:rsid w:val="00E443A0"/>
    <w:rsid w:val="00E5216C"/>
    <w:rsid w:val="00E64008"/>
    <w:rsid w:val="00E66EBC"/>
    <w:rsid w:val="00E73E7D"/>
    <w:rsid w:val="00E75CAA"/>
    <w:rsid w:val="00E75F56"/>
    <w:rsid w:val="00E77B77"/>
    <w:rsid w:val="00E85EED"/>
    <w:rsid w:val="00E86537"/>
    <w:rsid w:val="00E947DA"/>
    <w:rsid w:val="00EA6491"/>
    <w:rsid w:val="00EA665F"/>
    <w:rsid w:val="00EA7EA0"/>
    <w:rsid w:val="00EB0893"/>
    <w:rsid w:val="00EB1309"/>
    <w:rsid w:val="00EB14A7"/>
    <w:rsid w:val="00EB2E86"/>
    <w:rsid w:val="00EC04E6"/>
    <w:rsid w:val="00EC7A3D"/>
    <w:rsid w:val="00ED0EF5"/>
    <w:rsid w:val="00ED30DB"/>
    <w:rsid w:val="00ED54BE"/>
    <w:rsid w:val="00ED57F8"/>
    <w:rsid w:val="00ED676B"/>
    <w:rsid w:val="00ED71AE"/>
    <w:rsid w:val="00EE049D"/>
    <w:rsid w:val="00EE1F8B"/>
    <w:rsid w:val="00EE31CA"/>
    <w:rsid w:val="00EE31D7"/>
    <w:rsid w:val="00EE4CB4"/>
    <w:rsid w:val="00EE6ABE"/>
    <w:rsid w:val="00EF07BD"/>
    <w:rsid w:val="00EF0B1A"/>
    <w:rsid w:val="00EF14E0"/>
    <w:rsid w:val="00EF263C"/>
    <w:rsid w:val="00EF2721"/>
    <w:rsid w:val="00EF48AC"/>
    <w:rsid w:val="00EF5C48"/>
    <w:rsid w:val="00EF6113"/>
    <w:rsid w:val="00EF6867"/>
    <w:rsid w:val="00F03CF4"/>
    <w:rsid w:val="00F0558D"/>
    <w:rsid w:val="00F06C1B"/>
    <w:rsid w:val="00F11462"/>
    <w:rsid w:val="00F11E00"/>
    <w:rsid w:val="00F12276"/>
    <w:rsid w:val="00F153B1"/>
    <w:rsid w:val="00F16EA4"/>
    <w:rsid w:val="00F22CB1"/>
    <w:rsid w:val="00F26400"/>
    <w:rsid w:val="00F278B8"/>
    <w:rsid w:val="00F30575"/>
    <w:rsid w:val="00F310C6"/>
    <w:rsid w:val="00F33F69"/>
    <w:rsid w:val="00F4008A"/>
    <w:rsid w:val="00F43AF6"/>
    <w:rsid w:val="00F46FAE"/>
    <w:rsid w:val="00F61625"/>
    <w:rsid w:val="00F70739"/>
    <w:rsid w:val="00F70909"/>
    <w:rsid w:val="00F75F81"/>
    <w:rsid w:val="00F7777D"/>
    <w:rsid w:val="00F87299"/>
    <w:rsid w:val="00F94389"/>
    <w:rsid w:val="00FA1110"/>
    <w:rsid w:val="00FA1A63"/>
    <w:rsid w:val="00FA2A57"/>
    <w:rsid w:val="00FB031F"/>
    <w:rsid w:val="00FB0477"/>
    <w:rsid w:val="00FB30A0"/>
    <w:rsid w:val="00FB38A5"/>
    <w:rsid w:val="00FB3CFB"/>
    <w:rsid w:val="00FB3DA5"/>
    <w:rsid w:val="00FB60DB"/>
    <w:rsid w:val="00FB7727"/>
    <w:rsid w:val="00FC486B"/>
    <w:rsid w:val="00FD28A1"/>
    <w:rsid w:val="00FD3A56"/>
    <w:rsid w:val="00FE2983"/>
    <w:rsid w:val="00FE34C2"/>
    <w:rsid w:val="00FE54CA"/>
    <w:rsid w:val="00FE745B"/>
    <w:rsid w:val="00FF0FCA"/>
    <w:rsid w:val="00FF48CD"/>
    <w:rsid w:val="00FF66C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90EC"/>
  <w15:chartTrackingRefBased/>
  <w15:docId w15:val="{EDBF6DD6-17A5-DB48-9DC9-2D70A81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FigureCaption">
    <w:name w:val="APA Figure Caption"/>
    <w:basedOn w:val="Normal"/>
    <w:qFormat/>
    <w:rsid w:val="00CB76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</w:pPr>
    <w:rPr>
      <w:rFonts w:ascii="Times New Roman" w:eastAsia="SimSun" w:hAnsi="Times New Roman"/>
    </w:rPr>
  </w:style>
  <w:style w:type="paragraph" w:customStyle="1" w:styleId="APAText">
    <w:name w:val="APA Text"/>
    <w:basedOn w:val="Normal"/>
    <w:qFormat/>
    <w:rsid w:val="00CB76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  <w:ind w:firstLine="720"/>
    </w:pPr>
    <w:rPr>
      <w:rFonts w:ascii="Times New Roman" w:eastAsia="SimSun" w:hAnsi="Times New Roman"/>
    </w:rPr>
  </w:style>
  <w:style w:type="paragraph" w:customStyle="1" w:styleId="APALevel2">
    <w:name w:val="APA Level 2"/>
    <w:basedOn w:val="Normal"/>
    <w:link w:val="APALevel2Char"/>
    <w:qFormat/>
    <w:rsid w:val="00FE34C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</w:pPr>
    <w:rPr>
      <w:rFonts w:ascii="Times New Roman" w:eastAsia="SimSun" w:hAnsi="Times New Roman"/>
      <w:b/>
    </w:rPr>
  </w:style>
  <w:style w:type="character" w:customStyle="1" w:styleId="APALevel2Char">
    <w:name w:val="APA Level 2 Char"/>
    <w:basedOn w:val="DefaultParagraphFont"/>
    <w:link w:val="APALevel2"/>
    <w:rsid w:val="00FE34C2"/>
    <w:rPr>
      <w:rFonts w:ascii="Times New Roman" w:eastAsia="SimSun" w:hAnsi="Times New Roman"/>
      <w:b/>
    </w:rPr>
  </w:style>
  <w:style w:type="character" w:styleId="Hyperlink">
    <w:name w:val="Hyperlink"/>
    <w:basedOn w:val="DefaultParagraphFont"/>
    <w:uiPriority w:val="99"/>
    <w:unhideWhenUsed/>
    <w:rsid w:val="009D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2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3"/>
  </w:style>
  <w:style w:type="character" w:styleId="PageNumber">
    <w:name w:val="page number"/>
    <w:basedOn w:val="DefaultParagraphFont"/>
    <w:uiPriority w:val="99"/>
    <w:semiHidden/>
    <w:unhideWhenUsed/>
    <w:rsid w:val="006E4CD3"/>
  </w:style>
  <w:style w:type="paragraph" w:styleId="Header">
    <w:name w:val="header"/>
    <w:basedOn w:val="Normal"/>
    <w:link w:val="HeaderChar"/>
    <w:uiPriority w:val="99"/>
    <w:unhideWhenUsed/>
    <w:rsid w:val="006E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3"/>
  </w:style>
  <w:style w:type="table" w:styleId="TableGrid">
    <w:name w:val="Table Grid"/>
    <w:basedOn w:val="TableNormal"/>
    <w:uiPriority w:val="39"/>
    <w:rsid w:val="008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3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6768q/?show=view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talklab.psy.gla.ac.uk/tvw/catpred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Xuehong He</dc:creator>
  <cp:keywords/>
  <dc:description/>
  <cp:lastModifiedBy>Jamie Magyar</cp:lastModifiedBy>
  <cp:revision>834</cp:revision>
  <dcterms:created xsi:type="dcterms:W3CDTF">2021-06-07T01:41:00Z</dcterms:created>
  <dcterms:modified xsi:type="dcterms:W3CDTF">2023-07-12T14:39:00Z</dcterms:modified>
</cp:coreProperties>
</file>