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9F24D" w14:textId="77777777" w:rsidR="00180B39" w:rsidRDefault="00180B39" w:rsidP="00707884">
      <w:pPr>
        <w:jc w:val="center"/>
        <w:rPr>
          <w:rFonts w:ascii="Times New Roman" w:hAnsi="Times New Roman" w:cs="Times New Roman"/>
          <w:b/>
          <w:bCs/>
          <w:sz w:val="24"/>
          <w:szCs w:val="24"/>
        </w:rPr>
      </w:pPr>
      <w:r>
        <w:rPr>
          <w:rFonts w:ascii="Times New Roman" w:hAnsi="Times New Roman" w:cs="Times New Roman"/>
          <w:b/>
          <w:bCs/>
          <w:sz w:val="24"/>
          <w:szCs w:val="24"/>
        </w:rPr>
        <w:t>Supplementary Materials</w:t>
      </w:r>
    </w:p>
    <w:p w14:paraId="0EAC5F2D" w14:textId="636BEC02" w:rsidR="00707884" w:rsidRPr="00707884" w:rsidRDefault="00707884" w:rsidP="00707884">
      <w:pPr>
        <w:jc w:val="center"/>
        <w:rPr>
          <w:rFonts w:ascii="Times New Roman" w:hAnsi="Times New Roman" w:cs="Times New Roman"/>
          <w:b/>
          <w:bCs/>
          <w:sz w:val="24"/>
          <w:szCs w:val="24"/>
        </w:rPr>
      </w:pPr>
      <w:r w:rsidRPr="00707884">
        <w:rPr>
          <w:rFonts w:ascii="Times New Roman" w:hAnsi="Times New Roman" w:cs="Times New Roman"/>
          <w:b/>
          <w:bCs/>
          <w:sz w:val="24"/>
          <w:szCs w:val="24"/>
        </w:rPr>
        <w:t>Appendix S1</w:t>
      </w:r>
    </w:p>
    <w:p w14:paraId="05CBF1AE" w14:textId="78DA5810" w:rsidR="00707884" w:rsidRDefault="00707884" w:rsidP="00707884">
      <w:pPr>
        <w:spacing w:after="0" w:line="480" w:lineRule="auto"/>
        <w:ind w:firstLine="720"/>
        <w:rPr>
          <w:rFonts w:ascii="Times New Roman" w:hAnsi="Times New Roman" w:cs="Times New Roman"/>
          <w:sz w:val="24"/>
          <w:szCs w:val="24"/>
          <w:lang w:eastAsia="ko-KR"/>
        </w:rPr>
      </w:pPr>
      <w:r w:rsidRPr="6EAA4970">
        <w:rPr>
          <w:rFonts w:ascii="Times New Roman" w:hAnsi="Times New Roman" w:cs="Times New Roman"/>
          <w:sz w:val="24"/>
          <w:szCs w:val="24"/>
        </w:rPr>
        <w:t xml:space="preserve">The present study’s HL learners’ performance on Solon et al.’s (2019) 36-item Spanish EIT were examined using the same procedure described above for the 30-item EIT. </w:t>
      </w:r>
      <w:r w:rsidRPr="6EAA4970">
        <w:rPr>
          <w:rFonts w:ascii="Times New Roman" w:hAnsi="Times New Roman" w:cs="Times New Roman"/>
          <w:sz w:val="24"/>
          <w:szCs w:val="24"/>
          <w:lang w:eastAsia="ko-KR"/>
        </w:rPr>
        <w:t>Similar to the results for the 30-item EIT, results from Rasch modeling with the 36-item EIT demonstrated generally good fit, with 83% of the items (</w:t>
      </w:r>
      <w:r w:rsidRPr="6EAA4970">
        <w:rPr>
          <w:rFonts w:ascii="Times New Roman" w:hAnsi="Times New Roman" w:cs="Times New Roman"/>
          <w:i/>
          <w:iCs/>
          <w:sz w:val="24"/>
          <w:szCs w:val="24"/>
          <w:lang w:eastAsia="ko-KR"/>
        </w:rPr>
        <w:t xml:space="preserve">k </w:t>
      </w:r>
      <w:r w:rsidRPr="6EAA4970">
        <w:rPr>
          <w:rFonts w:ascii="Times New Roman" w:hAnsi="Times New Roman" w:cs="Times New Roman"/>
          <w:sz w:val="24"/>
          <w:szCs w:val="24"/>
          <w:lang w:eastAsia="ko-KR"/>
        </w:rPr>
        <w:t xml:space="preserve">= 30/36) falling within the 0.5 to 1.5 infit and outfit MNSQ range of fit indices. Six items fell outside the acceptable threshold and thus are considered misfitting (see Table </w:t>
      </w:r>
      <w:r w:rsidR="0057575C">
        <w:rPr>
          <w:rFonts w:ascii="Times New Roman" w:hAnsi="Times New Roman" w:cs="Times New Roman"/>
          <w:sz w:val="24"/>
          <w:szCs w:val="24"/>
          <w:lang w:eastAsia="ko-KR"/>
        </w:rPr>
        <w:t>S</w:t>
      </w:r>
      <w:r w:rsidRPr="6EAA4970">
        <w:rPr>
          <w:rFonts w:ascii="Times New Roman" w:hAnsi="Times New Roman" w:cs="Times New Roman"/>
          <w:sz w:val="24"/>
          <w:szCs w:val="24"/>
          <w:lang w:eastAsia="ko-KR"/>
        </w:rPr>
        <w:t xml:space="preserve">1): Five items (Items 1, 4, 18, 30, 35) displayed MNSQ statistics higher than 1.5, indicating that they underfitted the model; one item (Item 10) displayed MNSQ statistics below 0.5, suggesting that it overfitted the model. Five of the six misfitting items (Items 1, 4, 10, 18, and 30) were also misfitting on the 30-item EIT, and one new item (Item 35) was also found to be misfitting. This finding suggests that most, but not all, of the six more challenging items added by Solon et al. (2019) are functioning appropriately for HL learners.  </w:t>
      </w:r>
    </w:p>
    <w:p w14:paraId="7C0359C1" w14:textId="4B5D6B0E" w:rsidR="00707884" w:rsidRDefault="00707884" w:rsidP="00707884">
      <w:pPr>
        <w:spacing w:after="0"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 xml:space="preserve">Table </w:t>
      </w:r>
      <w:r w:rsidR="00CB4D5F">
        <w:rPr>
          <w:rFonts w:ascii="Times New Roman" w:hAnsi="Times New Roman" w:cs="Times New Roman"/>
          <w:sz w:val="24"/>
          <w:szCs w:val="24"/>
          <w:lang w:eastAsia="ko-KR"/>
        </w:rPr>
        <w:t>S</w:t>
      </w:r>
      <w:r w:rsidRPr="6EAA4970">
        <w:rPr>
          <w:rFonts w:ascii="Times New Roman" w:hAnsi="Times New Roman" w:cs="Times New Roman"/>
          <w:sz w:val="24"/>
          <w:szCs w:val="24"/>
          <w:lang w:eastAsia="ko-KR"/>
        </w:rPr>
        <w:t>1</w:t>
      </w:r>
    </w:p>
    <w:p w14:paraId="27972E23" w14:textId="77777777" w:rsidR="00707884" w:rsidRDefault="00707884" w:rsidP="00707884">
      <w:pPr>
        <w:spacing w:after="0" w:line="480" w:lineRule="auto"/>
        <w:rPr>
          <w:rFonts w:ascii="Times New Roman" w:eastAsiaTheme="minorEastAsia" w:hAnsi="Times New Roman" w:cs="Times New Roman"/>
          <w:sz w:val="24"/>
          <w:szCs w:val="24"/>
          <w:lang w:eastAsia="ko-KR"/>
        </w:rPr>
      </w:pPr>
      <w:r w:rsidRPr="6EAA4970">
        <w:rPr>
          <w:rFonts w:ascii="Times New Roman" w:hAnsi="Times New Roman" w:cs="Times New Roman"/>
          <w:sz w:val="24"/>
          <w:szCs w:val="24"/>
          <w:lang w:eastAsia="ko-KR"/>
        </w:rPr>
        <w:t>Rasch fit statistics for the 36-item EIT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1336"/>
      </w:tblGrid>
      <w:tr w:rsidR="00707884" w14:paraId="0B53AC19" w14:textId="77777777" w:rsidTr="00723A39">
        <w:tc>
          <w:tcPr>
            <w:tcW w:w="1335" w:type="dxa"/>
            <w:tcBorders>
              <w:top w:val="single" w:sz="4" w:space="0" w:color="auto"/>
            </w:tcBorders>
          </w:tcPr>
          <w:p w14:paraId="6DD1B347" w14:textId="77777777" w:rsidR="00707884" w:rsidRDefault="00707884" w:rsidP="00723A39">
            <w:pPr>
              <w:spacing w:line="480" w:lineRule="auto"/>
              <w:rPr>
                <w:rFonts w:ascii="Times New Roman" w:hAnsi="Times New Roman" w:cs="Times New Roman"/>
                <w:sz w:val="24"/>
                <w:szCs w:val="24"/>
                <w:lang w:eastAsia="ko-KR"/>
              </w:rPr>
            </w:pPr>
          </w:p>
        </w:tc>
        <w:tc>
          <w:tcPr>
            <w:tcW w:w="2671" w:type="dxa"/>
            <w:gridSpan w:val="2"/>
            <w:tcBorders>
              <w:top w:val="single" w:sz="4" w:space="0" w:color="auto"/>
              <w:bottom w:val="single" w:sz="4" w:space="0" w:color="auto"/>
            </w:tcBorders>
          </w:tcPr>
          <w:p w14:paraId="20D79E56"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Measure</w:t>
            </w:r>
          </w:p>
        </w:tc>
        <w:tc>
          <w:tcPr>
            <w:tcW w:w="2672" w:type="dxa"/>
            <w:gridSpan w:val="2"/>
            <w:tcBorders>
              <w:top w:val="single" w:sz="4" w:space="0" w:color="auto"/>
              <w:bottom w:val="single" w:sz="4" w:space="0" w:color="auto"/>
            </w:tcBorders>
          </w:tcPr>
          <w:p w14:paraId="0AE20051"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Infit</w:t>
            </w:r>
          </w:p>
        </w:tc>
        <w:tc>
          <w:tcPr>
            <w:tcW w:w="2672" w:type="dxa"/>
            <w:gridSpan w:val="2"/>
            <w:tcBorders>
              <w:top w:val="single" w:sz="4" w:space="0" w:color="auto"/>
              <w:bottom w:val="single" w:sz="4" w:space="0" w:color="auto"/>
            </w:tcBorders>
          </w:tcPr>
          <w:p w14:paraId="1B32EA4F"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Outfit</w:t>
            </w:r>
          </w:p>
        </w:tc>
      </w:tr>
      <w:tr w:rsidR="00707884" w14:paraId="48639ACD" w14:textId="77777777" w:rsidTr="00723A39">
        <w:tc>
          <w:tcPr>
            <w:tcW w:w="1335" w:type="dxa"/>
            <w:tcBorders>
              <w:bottom w:val="single" w:sz="4" w:space="0" w:color="auto"/>
            </w:tcBorders>
          </w:tcPr>
          <w:p w14:paraId="23FDF4EE" w14:textId="77777777" w:rsidR="00707884" w:rsidRDefault="00707884" w:rsidP="00723A39">
            <w:pPr>
              <w:spacing w:line="480" w:lineRule="auto"/>
              <w:rPr>
                <w:rFonts w:ascii="Times New Roman" w:hAnsi="Times New Roman" w:cs="Times New Roman"/>
                <w:sz w:val="24"/>
                <w:szCs w:val="24"/>
                <w:lang w:eastAsia="ko-KR"/>
              </w:rPr>
            </w:pPr>
          </w:p>
        </w:tc>
        <w:tc>
          <w:tcPr>
            <w:tcW w:w="1335" w:type="dxa"/>
            <w:tcBorders>
              <w:top w:val="single" w:sz="4" w:space="0" w:color="auto"/>
              <w:bottom w:val="single" w:sz="4" w:space="0" w:color="auto"/>
            </w:tcBorders>
          </w:tcPr>
          <w:p w14:paraId="60AA0AA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Mean</w:t>
            </w:r>
          </w:p>
        </w:tc>
        <w:tc>
          <w:tcPr>
            <w:tcW w:w="1336" w:type="dxa"/>
            <w:tcBorders>
              <w:top w:val="single" w:sz="4" w:space="0" w:color="auto"/>
              <w:bottom w:val="single" w:sz="4" w:space="0" w:color="auto"/>
            </w:tcBorders>
          </w:tcPr>
          <w:p w14:paraId="766696DB" w14:textId="77777777" w:rsidR="00707884" w:rsidRDefault="00707884" w:rsidP="00723A39">
            <w:pPr>
              <w:spacing w:line="480" w:lineRule="auto"/>
              <w:rPr>
                <w:rFonts w:ascii="Times New Roman" w:hAnsi="Times New Roman" w:cs="Times New Roman"/>
                <w:i/>
                <w:iCs/>
                <w:sz w:val="24"/>
                <w:szCs w:val="24"/>
                <w:lang w:eastAsia="ko-KR"/>
              </w:rPr>
            </w:pPr>
            <w:r w:rsidRPr="6EAA4970">
              <w:rPr>
                <w:rFonts w:ascii="Times New Roman" w:hAnsi="Times New Roman" w:cs="Times New Roman"/>
                <w:i/>
                <w:iCs/>
                <w:sz w:val="24"/>
                <w:szCs w:val="24"/>
                <w:lang w:eastAsia="ko-KR"/>
              </w:rPr>
              <w:t>SE</w:t>
            </w:r>
          </w:p>
        </w:tc>
        <w:tc>
          <w:tcPr>
            <w:tcW w:w="1336" w:type="dxa"/>
            <w:tcBorders>
              <w:top w:val="single" w:sz="4" w:space="0" w:color="auto"/>
              <w:bottom w:val="single" w:sz="4" w:space="0" w:color="auto"/>
            </w:tcBorders>
          </w:tcPr>
          <w:p w14:paraId="58B63DA1"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MNSQ</w:t>
            </w:r>
          </w:p>
        </w:tc>
        <w:tc>
          <w:tcPr>
            <w:tcW w:w="1336" w:type="dxa"/>
            <w:tcBorders>
              <w:top w:val="single" w:sz="4" w:space="0" w:color="auto"/>
              <w:bottom w:val="single" w:sz="4" w:space="0" w:color="auto"/>
            </w:tcBorders>
          </w:tcPr>
          <w:p w14:paraId="62671CE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ZSTD</w:t>
            </w:r>
          </w:p>
        </w:tc>
        <w:tc>
          <w:tcPr>
            <w:tcW w:w="1336" w:type="dxa"/>
            <w:tcBorders>
              <w:top w:val="single" w:sz="4" w:space="0" w:color="auto"/>
              <w:bottom w:val="single" w:sz="4" w:space="0" w:color="auto"/>
            </w:tcBorders>
          </w:tcPr>
          <w:p w14:paraId="28CBEA5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MNSQ</w:t>
            </w:r>
          </w:p>
        </w:tc>
        <w:tc>
          <w:tcPr>
            <w:tcW w:w="1336" w:type="dxa"/>
            <w:tcBorders>
              <w:top w:val="single" w:sz="4" w:space="0" w:color="auto"/>
              <w:bottom w:val="single" w:sz="4" w:space="0" w:color="auto"/>
            </w:tcBorders>
          </w:tcPr>
          <w:p w14:paraId="31E8BB3B"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ZSTD</w:t>
            </w:r>
          </w:p>
        </w:tc>
      </w:tr>
      <w:tr w:rsidR="00707884" w14:paraId="43C61935" w14:textId="77777777" w:rsidTr="00723A39">
        <w:tc>
          <w:tcPr>
            <w:tcW w:w="1335" w:type="dxa"/>
            <w:tcBorders>
              <w:top w:val="single" w:sz="4" w:space="0" w:color="auto"/>
            </w:tcBorders>
          </w:tcPr>
          <w:p w14:paraId="3036988B"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1</w:t>
            </w:r>
          </w:p>
        </w:tc>
        <w:tc>
          <w:tcPr>
            <w:tcW w:w="1335" w:type="dxa"/>
            <w:tcBorders>
              <w:top w:val="single" w:sz="4" w:space="0" w:color="auto"/>
            </w:tcBorders>
          </w:tcPr>
          <w:p w14:paraId="3986DFD1"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-2.66</w:t>
            </w:r>
          </w:p>
        </w:tc>
        <w:tc>
          <w:tcPr>
            <w:tcW w:w="1336" w:type="dxa"/>
            <w:tcBorders>
              <w:top w:val="single" w:sz="4" w:space="0" w:color="auto"/>
            </w:tcBorders>
          </w:tcPr>
          <w:p w14:paraId="06452E2B"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.28</w:t>
            </w:r>
          </w:p>
        </w:tc>
        <w:tc>
          <w:tcPr>
            <w:tcW w:w="1336" w:type="dxa"/>
            <w:tcBorders>
              <w:top w:val="single" w:sz="4" w:space="0" w:color="auto"/>
            </w:tcBorders>
          </w:tcPr>
          <w:p w14:paraId="2708E7E9"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1.36</w:t>
            </w:r>
          </w:p>
        </w:tc>
        <w:tc>
          <w:tcPr>
            <w:tcW w:w="1336" w:type="dxa"/>
            <w:tcBorders>
              <w:top w:val="single" w:sz="4" w:space="0" w:color="auto"/>
            </w:tcBorders>
          </w:tcPr>
          <w:p w14:paraId="1BB5A9A4"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1.20</w:t>
            </w:r>
          </w:p>
        </w:tc>
        <w:tc>
          <w:tcPr>
            <w:tcW w:w="1336" w:type="dxa"/>
            <w:tcBorders>
              <w:top w:val="single" w:sz="4" w:space="0" w:color="auto"/>
            </w:tcBorders>
          </w:tcPr>
          <w:p w14:paraId="2339C3CF" w14:textId="77777777" w:rsidR="00707884" w:rsidRDefault="00707884" w:rsidP="00723A39">
            <w:pPr>
              <w:spacing w:line="480" w:lineRule="auto"/>
              <w:rPr>
                <w:rFonts w:ascii="Times New Roman" w:hAnsi="Times New Roman" w:cs="Times New Roman"/>
                <w:b/>
                <w:bCs/>
                <w:sz w:val="24"/>
                <w:szCs w:val="24"/>
                <w:lang w:eastAsia="ko-KR"/>
              </w:rPr>
            </w:pPr>
            <w:r w:rsidRPr="6EAA4970">
              <w:rPr>
                <w:rFonts w:ascii="Times New Roman" w:hAnsi="Times New Roman" w:cs="Times New Roman"/>
                <w:b/>
                <w:bCs/>
                <w:sz w:val="24"/>
                <w:szCs w:val="24"/>
                <w:lang w:eastAsia="ko-KR"/>
              </w:rPr>
              <w:t>2.57</w:t>
            </w:r>
          </w:p>
        </w:tc>
        <w:tc>
          <w:tcPr>
            <w:tcW w:w="1336" w:type="dxa"/>
            <w:tcBorders>
              <w:top w:val="single" w:sz="4" w:space="0" w:color="auto"/>
            </w:tcBorders>
          </w:tcPr>
          <w:p w14:paraId="7A199DC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1.66</w:t>
            </w:r>
          </w:p>
        </w:tc>
      </w:tr>
      <w:tr w:rsidR="00707884" w14:paraId="46E7216A" w14:textId="77777777" w:rsidTr="00723A39">
        <w:tc>
          <w:tcPr>
            <w:tcW w:w="1335" w:type="dxa"/>
          </w:tcPr>
          <w:p w14:paraId="21C1D84D"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2</w:t>
            </w:r>
          </w:p>
        </w:tc>
        <w:tc>
          <w:tcPr>
            <w:tcW w:w="1335" w:type="dxa"/>
          </w:tcPr>
          <w:p w14:paraId="2493D7D8"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-4.13</w:t>
            </w:r>
          </w:p>
        </w:tc>
        <w:tc>
          <w:tcPr>
            <w:tcW w:w="1336" w:type="dxa"/>
          </w:tcPr>
          <w:p w14:paraId="56CC3316"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.35</w:t>
            </w:r>
          </w:p>
        </w:tc>
        <w:tc>
          <w:tcPr>
            <w:tcW w:w="1336" w:type="dxa"/>
          </w:tcPr>
          <w:p w14:paraId="72D0C6FA"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.91</w:t>
            </w:r>
          </w:p>
        </w:tc>
        <w:tc>
          <w:tcPr>
            <w:tcW w:w="1336" w:type="dxa"/>
          </w:tcPr>
          <w:p w14:paraId="4E6E6BEA"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-.16</w:t>
            </w:r>
          </w:p>
        </w:tc>
        <w:tc>
          <w:tcPr>
            <w:tcW w:w="1336" w:type="dxa"/>
          </w:tcPr>
          <w:p w14:paraId="7D2EDD06"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1.14</w:t>
            </w:r>
          </w:p>
        </w:tc>
        <w:tc>
          <w:tcPr>
            <w:tcW w:w="1336" w:type="dxa"/>
          </w:tcPr>
          <w:p w14:paraId="09E23A66"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.50</w:t>
            </w:r>
          </w:p>
        </w:tc>
      </w:tr>
      <w:tr w:rsidR="00707884" w14:paraId="7A57DD01" w14:textId="77777777" w:rsidTr="00723A39">
        <w:tc>
          <w:tcPr>
            <w:tcW w:w="1335" w:type="dxa"/>
          </w:tcPr>
          <w:p w14:paraId="2BF9A87D"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3</w:t>
            </w:r>
          </w:p>
        </w:tc>
        <w:tc>
          <w:tcPr>
            <w:tcW w:w="1335" w:type="dxa"/>
          </w:tcPr>
          <w:p w14:paraId="23C19A1B"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-1.89</w:t>
            </w:r>
          </w:p>
        </w:tc>
        <w:tc>
          <w:tcPr>
            <w:tcW w:w="1336" w:type="dxa"/>
          </w:tcPr>
          <w:p w14:paraId="5541B75A"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.25</w:t>
            </w:r>
          </w:p>
        </w:tc>
        <w:tc>
          <w:tcPr>
            <w:tcW w:w="1336" w:type="dxa"/>
          </w:tcPr>
          <w:p w14:paraId="5523E4B7"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1.09</w:t>
            </w:r>
          </w:p>
        </w:tc>
        <w:tc>
          <w:tcPr>
            <w:tcW w:w="1336" w:type="dxa"/>
          </w:tcPr>
          <w:p w14:paraId="5D0A2555"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.45</w:t>
            </w:r>
          </w:p>
        </w:tc>
        <w:tc>
          <w:tcPr>
            <w:tcW w:w="1336" w:type="dxa"/>
          </w:tcPr>
          <w:p w14:paraId="69471A73"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1.10</w:t>
            </w:r>
          </w:p>
        </w:tc>
        <w:tc>
          <w:tcPr>
            <w:tcW w:w="1336" w:type="dxa"/>
          </w:tcPr>
          <w:p w14:paraId="67CE8F2F"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.36</w:t>
            </w:r>
          </w:p>
        </w:tc>
      </w:tr>
      <w:tr w:rsidR="00707884" w14:paraId="52A78926" w14:textId="77777777" w:rsidTr="00723A39">
        <w:tc>
          <w:tcPr>
            <w:tcW w:w="1335" w:type="dxa"/>
          </w:tcPr>
          <w:p w14:paraId="17C674E3"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4</w:t>
            </w:r>
          </w:p>
        </w:tc>
        <w:tc>
          <w:tcPr>
            <w:tcW w:w="1335" w:type="dxa"/>
          </w:tcPr>
          <w:p w14:paraId="337EF651"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-3.09</w:t>
            </w:r>
          </w:p>
        </w:tc>
        <w:tc>
          <w:tcPr>
            <w:tcW w:w="1336" w:type="dxa"/>
          </w:tcPr>
          <w:p w14:paraId="28BC50B4"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.30</w:t>
            </w:r>
          </w:p>
        </w:tc>
        <w:tc>
          <w:tcPr>
            <w:tcW w:w="1336" w:type="dxa"/>
          </w:tcPr>
          <w:p w14:paraId="5B70C39C" w14:textId="77777777" w:rsidR="00707884" w:rsidRDefault="00707884" w:rsidP="00723A39">
            <w:pPr>
              <w:spacing w:line="480" w:lineRule="auto"/>
              <w:rPr>
                <w:rFonts w:ascii="Times New Roman" w:hAnsi="Times New Roman" w:cs="Times New Roman"/>
                <w:b/>
                <w:bCs/>
                <w:sz w:val="24"/>
                <w:szCs w:val="24"/>
                <w:lang w:eastAsia="ko-KR"/>
              </w:rPr>
            </w:pPr>
            <w:r w:rsidRPr="6EAA4970">
              <w:rPr>
                <w:rFonts w:ascii="Times New Roman" w:hAnsi="Times New Roman" w:cs="Times New Roman"/>
                <w:b/>
                <w:bCs/>
                <w:sz w:val="24"/>
                <w:szCs w:val="24"/>
                <w:lang w:eastAsia="ko-KR"/>
              </w:rPr>
              <w:t>1.97</w:t>
            </w:r>
          </w:p>
        </w:tc>
        <w:tc>
          <w:tcPr>
            <w:tcW w:w="1336" w:type="dxa"/>
          </w:tcPr>
          <w:p w14:paraId="100D16AF"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2.59</w:t>
            </w:r>
          </w:p>
        </w:tc>
        <w:tc>
          <w:tcPr>
            <w:tcW w:w="1336" w:type="dxa"/>
          </w:tcPr>
          <w:p w14:paraId="612BF756"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1.39</w:t>
            </w:r>
          </w:p>
        </w:tc>
        <w:tc>
          <w:tcPr>
            <w:tcW w:w="1336" w:type="dxa"/>
          </w:tcPr>
          <w:p w14:paraId="6EBC8E2F"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.69</w:t>
            </w:r>
          </w:p>
        </w:tc>
      </w:tr>
      <w:tr w:rsidR="00707884" w14:paraId="2CFF6A85" w14:textId="77777777" w:rsidTr="00723A39">
        <w:tc>
          <w:tcPr>
            <w:tcW w:w="1335" w:type="dxa"/>
          </w:tcPr>
          <w:p w14:paraId="00455C3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5</w:t>
            </w:r>
          </w:p>
        </w:tc>
        <w:tc>
          <w:tcPr>
            <w:tcW w:w="1335" w:type="dxa"/>
          </w:tcPr>
          <w:p w14:paraId="7FEE47B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-1.05</w:t>
            </w:r>
          </w:p>
        </w:tc>
        <w:tc>
          <w:tcPr>
            <w:tcW w:w="1336" w:type="dxa"/>
          </w:tcPr>
          <w:p w14:paraId="73416296"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.21</w:t>
            </w:r>
          </w:p>
        </w:tc>
        <w:tc>
          <w:tcPr>
            <w:tcW w:w="1336" w:type="dxa"/>
          </w:tcPr>
          <w:p w14:paraId="2E700483"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1.07</w:t>
            </w:r>
          </w:p>
        </w:tc>
        <w:tc>
          <w:tcPr>
            <w:tcW w:w="1336" w:type="dxa"/>
          </w:tcPr>
          <w:p w14:paraId="1A69DE59"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.41</w:t>
            </w:r>
          </w:p>
        </w:tc>
        <w:tc>
          <w:tcPr>
            <w:tcW w:w="1336" w:type="dxa"/>
          </w:tcPr>
          <w:p w14:paraId="6A83BE1E"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.94</w:t>
            </w:r>
          </w:p>
        </w:tc>
        <w:tc>
          <w:tcPr>
            <w:tcW w:w="1336" w:type="dxa"/>
          </w:tcPr>
          <w:p w14:paraId="5B21712B"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-.02</w:t>
            </w:r>
          </w:p>
        </w:tc>
      </w:tr>
      <w:tr w:rsidR="00707884" w14:paraId="27BF4BEA" w14:textId="77777777" w:rsidTr="00723A39">
        <w:tc>
          <w:tcPr>
            <w:tcW w:w="1335" w:type="dxa"/>
          </w:tcPr>
          <w:p w14:paraId="5DA6395F"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lastRenderedPageBreak/>
              <w:t>Item 6</w:t>
            </w:r>
          </w:p>
        </w:tc>
        <w:tc>
          <w:tcPr>
            <w:tcW w:w="1335" w:type="dxa"/>
          </w:tcPr>
          <w:p w14:paraId="4CF3CF2C"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-.66</w:t>
            </w:r>
          </w:p>
        </w:tc>
        <w:tc>
          <w:tcPr>
            <w:tcW w:w="1336" w:type="dxa"/>
          </w:tcPr>
          <w:p w14:paraId="405FA6C6"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.20</w:t>
            </w:r>
          </w:p>
        </w:tc>
        <w:tc>
          <w:tcPr>
            <w:tcW w:w="1336" w:type="dxa"/>
          </w:tcPr>
          <w:p w14:paraId="308DC0F7"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1.06</w:t>
            </w:r>
          </w:p>
        </w:tc>
        <w:tc>
          <w:tcPr>
            <w:tcW w:w="1336" w:type="dxa"/>
          </w:tcPr>
          <w:p w14:paraId="49307EB3"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.37</w:t>
            </w:r>
          </w:p>
        </w:tc>
        <w:tc>
          <w:tcPr>
            <w:tcW w:w="1336" w:type="dxa"/>
          </w:tcPr>
          <w:p w14:paraId="647970FE"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.83</w:t>
            </w:r>
          </w:p>
        </w:tc>
        <w:tc>
          <w:tcPr>
            <w:tcW w:w="1336" w:type="dxa"/>
          </w:tcPr>
          <w:p w14:paraId="21F0A38E"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-.43</w:t>
            </w:r>
          </w:p>
        </w:tc>
      </w:tr>
      <w:tr w:rsidR="00707884" w14:paraId="07021E33" w14:textId="77777777" w:rsidTr="00723A39">
        <w:tc>
          <w:tcPr>
            <w:tcW w:w="1335" w:type="dxa"/>
          </w:tcPr>
          <w:p w14:paraId="70D014DD"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7</w:t>
            </w:r>
          </w:p>
        </w:tc>
        <w:tc>
          <w:tcPr>
            <w:tcW w:w="1335" w:type="dxa"/>
          </w:tcPr>
          <w:p w14:paraId="79BD5FB6"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-.22</w:t>
            </w:r>
          </w:p>
        </w:tc>
        <w:tc>
          <w:tcPr>
            <w:tcW w:w="1336" w:type="dxa"/>
          </w:tcPr>
          <w:p w14:paraId="710DCC04"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.20</w:t>
            </w:r>
          </w:p>
        </w:tc>
        <w:tc>
          <w:tcPr>
            <w:tcW w:w="1336" w:type="dxa"/>
          </w:tcPr>
          <w:p w14:paraId="39589BE1"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.99</w:t>
            </w:r>
          </w:p>
        </w:tc>
        <w:tc>
          <w:tcPr>
            <w:tcW w:w="1336" w:type="dxa"/>
          </w:tcPr>
          <w:p w14:paraId="1760EC45"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.00</w:t>
            </w:r>
          </w:p>
        </w:tc>
        <w:tc>
          <w:tcPr>
            <w:tcW w:w="1336" w:type="dxa"/>
          </w:tcPr>
          <w:p w14:paraId="7C54CB4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.82</w:t>
            </w:r>
          </w:p>
        </w:tc>
        <w:tc>
          <w:tcPr>
            <w:tcW w:w="1336" w:type="dxa"/>
          </w:tcPr>
          <w:p w14:paraId="5C06AC05"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.83</w:t>
            </w:r>
          </w:p>
        </w:tc>
      </w:tr>
      <w:tr w:rsidR="00707884" w14:paraId="7CFD4608" w14:textId="77777777" w:rsidTr="00723A39">
        <w:tc>
          <w:tcPr>
            <w:tcW w:w="1335" w:type="dxa"/>
          </w:tcPr>
          <w:p w14:paraId="774D50F5"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8</w:t>
            </w:r>
          </w:p>
        </w:tc>
        <w:tc>
          <w:tcPr>
            <w:tcW w:w="1335" w:type="dxa"/>
          </w:tcPr>
          <w:p w14:paraId="6C27BD5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-.18</w:t>
            </w:r>
          </w:p>
        </w:tc>
        <w:tc>
          <w:tcPr>
            <w:tcW w:w="1336" w:type="dxa"/>
          </w:tcPr>
          <w:p w14:paraId="4B969F1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.19</w:t>
            </w:r>
          </w:p>
        </w:tc>
        <w:tc>
          <w:tcPr>
            <w:tcW w:w="1336" w:type="dxa"/>
          </w:tcPr>
          <w:p w14:paraId="6C615CDD"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1.23</w:t>
            </w:r>
          </w:p>
        </w:tc>
        <w:tc>
          <w:tcPr>
            <w:tcW w:w="1336" w:type="dxa"/>
          </w:tcPr>
          <w:p w14:paraId="6E3476A1"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1.20</w:t>
            </w:r>
          </w:p>
        </w:tc>
        <w:tc>
          <w:tcPr>
            <w:tcW w:w="1336" w:type="dxa"/>
          </w:tcPr>
          <w:p w14:paraId="6DB7F18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1.20</w:t>
            </w:r>
          </w:p>
        </w:tc>
        <w:tc>
          <w:tcPr>
            <w:tcW w:w="1336" w:type="dxa"/>
          </w:tcPr>
          <w:p w14:paraId="44B8B4CF"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.76</w:t>
            </w:r>
          </w:p>
        </w:tc>
      </w:tr>
      <w:tr w:rsidR="00707884" w14:paraId="0309DCF1" w14:textId="77777777" w:rsidTr="00723A39">
        <w:tc>
          <w:tcPr>
            <w:tcW w:w="1335" w:type="dxa"/>
          </w:tcPr>
          <w:p w14:paraId="1B74A32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9</w:t>
            </w:r>
          </w:p>
        </w:tc>
        <w:tc>
          <w:tcPr>
            <w:tcW w:w="1335" w:type="dxa"/>
          </w:tcPr>
          <w:p w14:paraId="64A31D8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-1.50</w:t>
            </w:r>
          </w:p>
        </w:tc>
        <w:tc>
          <w:tcPr>
            <w:tcW w:w="1336" w:type="dxa"/>
          </w:tcPr>
          <w:p w14:paraId="60AFA2A5"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.23</w:t>
            </w:r>
          </w:p>
        </w:tc>
        <w:tc>
          <w:tcPr>
            <w:tcW w:w="1336" w:type="dxa"/>
          </w:tcPr>
          <w:p w14:paraId="4CFF8A67"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1.16</w:t>
            </w:r>
          </w:p>
        </w:tc>
        <w:tc>
          <w:tcPr>
            <w:tcW w:w="1336" w:type="dxa"/>
          </w:tcPr>
          <w:p w14:paraId="026D71EE"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.74</w:t>
            </w:r>
          </w:p>
        </w:tc>
        <w:tc>
          <w:tcPr>
            <w:tcW w:w="1336" w:type="dxa"/>
          </w:tcPr>
          <w:p w14:paraId="3BB86924"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1.07</w:t>
            </w:r>
          </w:p>
        </w:tc>
        <w:tc>
          <w:tcPr>
            <w:tcW w:w="1336" w:type="dxa"/>
          </w:tcPr>
          <w:p w14:paraId="2CA64DF8"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.30</w:t>
            </w:r>
          </w:p>
        </w:tc>
      </w:tr>
      <w:tr w:rsidR="00707884" w14:paraId="54826F56" w14:textId="77777777" w:rsidTr="00723A39">
        <w:tc>
          <w:tcPr>
            <w:tcW w:w="1335" w:type="dxa"/>
          </w:tcPr>
          <w:p w14:paraId="2C6DC5B8"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10</w:t>
            </w:r>
          </w:p>
        </w:tc>
        <w:tc>
          <w:tcPr>
            <w:tcW w:w="1335" w:type="dxa"/>
          </w:tcPr>
          <w:p w14:paraId="0A46F838"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-1.05</w:t>
            </w:r>
          </w:p>
        </w:tc>
        <w:tc>
          <w:tcPr>
            <w:tcW w:w="1336" w:type="dxa"/>
          </w:tcPr>
          <w:p w14:paraId="5FAD34B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.21</w:t>
            </w:r>
          </w:p>
        </w:tc>
        <w:tc>
          <w:tcPr>
            <w:tcW w:w="1336" w:type="dxa"/>
          </w:tcPr>
          <w:p w14:paraId="12CB348F" w14:textId="77777777" w:rsidR="00707884" w:rsidRDefault="00707884" w:rsidP="00723A39">
            <w:pPr>
              <w:spacing w:line="480" w:lineRule="auto"/>
              <w:rPr>
                <w:rFonts w:ascii="Times New Roman" w:hAnsi="Times New Roman" w:cs="Times New Roman"/>
                <w:b/>
                <w:bCs/>
                <w:sz w:val="24"/>
                <w:szCs w:val="24"/>
                <w:lang w:eastAsia="ko-KR"/>
              </w:rPr>
            </w:pPr>
            <w:r w:rsidRPr="6EAA4970">
              <w:rPr>
                <w:rFonts w:ascii="Times New Roman" w:hAnsi="Times New Roman" w:cs="Times New Roman"/>
                <w:b/>
                <w:bCs/>
                <w:sz w:val="24"/>
                <w:szCs w:val="24"/>
                <w:lang w:eastAsia="ko-KR"/>
              </w:rPr>
              <w:t>.49</w:t>
            </w:r>
          </w:p>
        </w:tc>
        <w:tc>
          <w:tcPr>
            <w:tcW w:w="1336" w:type="dxa"/>
          </w:tcPr>
          <w:p w14:paraId="18AC05A7"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-3.06</w:t>
            </w:r>
          </w:p>
        </w:tc>
        <w:tc>
          <w:tcPr>
            <w:tcW w:w="1336" w:type="dxa"/>
          </w:tcPr>
          <w:p w14:paraId="1A6197E2" w14:textId="77777777" w:rsidR="00707884" w:rsidRDefault="00707884" w:rsidP="00723A39">
            <w:pPr>
              <w:spacing w:line="480" w:lineRule="auto"/>
              <w:rPr>
                <w:rFonts w:ascii="Times New Roman" w:hAnsi="Times New Roman" w:cs="Times New Roman"/>
                <w:b/>
                <w:bCs/>
                <w:sz w:val="24"/>
                <w:szCs w:val="24"/>
                <w:lang w:eastAsia="ko-KR"/>
              </w:rPr>
            </w:pPr>
            <w:r w:rsidRPr="6EAA4970">
              <w:rPr>
                <w:rFonts w:ascii="Times New Roman" w:hAnsi="Times New Roman" w:cs="Times New Roman"/>
                <w:b/>
                <w:bCs/>
                <w:sz w:val="24"/>
                <w:szCs w:val="24"/>
                <w:lang w:eastAsia="ko-KR"/>
              </w:rPr>
              <w:t>.36</w:t>
            </w:r>
          </w:p>
        </w:tc>
        <w:tc>
          <w:tcPr>
            <w:tcW w:w="1336" w:type="dxa"/>
          </w:tcPr>
          <w:p w14:paraId="2D0C8621"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-2.02</w:t>
            </w:r>
          </w:p>
        </w:tc>
      </w:tr>
      <w:tr w:rsidR="00707884" w14:paraId="658C3F6D" w14:textId="77777777" w:rsidTr="00723A39">
        <w:tc>
          <w:tcPr>
            <w:tcW w:w="1335" w:type="dxa"/>
          </w:tcPr>
          <w:p w14:paraId="2AF61DCB"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11</w:t>
            </w:r>
          </w:p>
        </w:tc>
        <w:tc>
          <w:tcPr>
            <w:tcW w:w="1335" w:type="dxa"/>
          </w:tcPr>
          <w:p w14:paraId="3EE1CFA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.43</w:t>
            </w:r>
          </w:p>
        </w:tc>
        <w:tc>
          <w:tcPr>
            <w:tcW w:w="1336" w:type="dxa"/>
          </w:tcPr>
          <w:p w14:paraId="77E7605A"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.19</w:t>
            </w:r>
          </w:p>
        </w:tc>
        <w:tc>
          <w:tcPr>
            <w:tcW w:w="1336" w:type="dxa"/>
          </w:tcPr>
          <w:p w14:paraId="0268491F"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.96</w:t>
            </w:r>
          </w:p>
        </w:tc>
        <w:tc>
          <w:tcPr>
            <w:tcW w:w="1336" w:type="dxa"/>
          </w:tcPr>
          <w:p w14:paraId="75C9D771"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-.17</w:t>
            </w:r>
          </w:p>
        </w:tc>
        <w:tc>
          <w:tcPr>
            <w:tcW w:w="1336" w:type="dxa"/>
          </w:tcPr>
          <w:p w14:paraId="5B5AF83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.89</w:t>
            </w:r>
          </w:p>
        </w:tc>
        <w:tc>
          <w:tcPr>
            <w:tcW w:w="1336" w:type="dxa"/>
          </w:tcPr>
          <w:p w14:paraId="4BF08788"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-.43</w:t>
            </w:r>
          </w:p>
        </w:tc>
      </w:tr>
      <w:tr w:rsidR="00707884" w14:paraId="78AFD455" w14:textId="77777777" w:rsidTr="00723A39">
        <w:tc>
          <w:tcPr>
            <w:tcW w:w="1335" w:type="dxa"/>
          </w:tcPr>
          <w:p w14:paraId="506A1C54"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12</w:t>
            </w:r>
          </w:p>
        </w:tc>
        <w:tc>
          <w:tcPr>
            <w:tcW w:w="1335" w:type="dxa"/>
          </w:tcPr>
          <w:p w14:paraId="11CD934B"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.08</w:t>
            </w:r>
          </w:p>
        </w:tc>
        <w:tc>
          <w:tcPr>
            <w:tcW w:w="1336" w:type="dxa"/>
          </w:tcPr>
          <w:p w14:paraId="1698506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.19</w:t>
            </w:r>
          </w:p>
        </w:tc>
        <w:tc>
          <w:tcPr>
            <w:tcW w:w="1336" w:type="dxa"/>
          </w:tcPr>
          <w:p w14:paraId="6C50728D"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1.02</w:t>
            </w:r>
          </w:p>
        </w:tc>
        <w:tc>
          <w:tcPr>
            <w:tcW w:w="1336" w:type="dxa"/>
          </w:tcPr>
          <w:p w14:paraId="654778D7"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.19</w:t>
            </w:r>
          </w:p>
        </w:tc>
        <w:tc>
          <w:tcPr>
            <w:tcW w:w="1336" w:type="dxa"/>
          </w:tcPr>
          <w:p w14:paraId="01F3C66C"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.85</w:t>
            </w:r>
          </w:p>
        </w:tc>
        <w:tc>
          <w:tcPr>
            <w:tcW w:w="1336" w:type="dxa"/>
          </w:tcPr>
          <w:p w14:paraId="000FC97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-.54</w:t>
            </w:r>
          </w:p>
        </w:tc>
      </w:tr>
      <w:tr w:rsidR="00707884" w14:paraId="2B602F3D" w14:textId="77777777" w:rsidTr="00723A39">
        <w:tc>
          <w:tcPr>
            <w:tcW w:w="1335" w:type="dxa"/>
          </w:tcPr>
          <w:p w14:paraId="0C71C161"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13</w:t>
            </w:r>
          </w:p>
        </w:tc>
        <w:tc>
          <w:tcPr>
            <w:tcW w:w="1335" w:type="dxa"/>
          </w:tcPr>
          <w:p w14:paraId="03145C91"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.22</w:t>
            </w:r>
          </w:p>
        </w:tc>
        <w:tc>
          <w:tcPr>
            <w:tcW w:w="1336" w:type="dxa"/>
          </w:tcPr>
          <w:p w14:paraId="3F2FCE3D"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.19</w:t>
            </w:r>
          </w:p>
        </w:tc>
        <w:tc>
          <w:tcPr>
            <w:tcW w:w="1336" w:type="dxa"/>
          </w:tcPr>
          <w:p w14:paraId="2807D068"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.79</w:t>
            </w:r>
          </w:p>
        </w:tc>
        <w:tc>
          <w:tcPr>
            <w:tcW w:w="1336" w:type="dxa"/>
          </w:tcPr>
          <w:p w14:paraId="4ED2F2E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-1.15</w:t>
            </w:r>
          </w:p>
        </w:tc>
        <w:tc>
          <w:tcPr>
            <w:tcW w:w="1336" w:type="dxa"/>
          </w:tcPr>
          <w:p w14:paraId="0DBC9E6C"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1.32</w:t>
            </w:r>
          </w:p>
        </w:tc>
        <w:tc>
          <w:tcPr>
            <w:tcW w:w="1336" w:type="dxa"/>
          </w:tcPr>
          <w:p w14:paraId="1816524E"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1.26</w:t>
            </w:r>
          </w:p>
        </w:tc>
      </w:tr>
      <w:tr w:rsidR="00707884" w14:paraId="48642265" w14:textId="77777777" w:rsidTr="00723A39">
        <w:tc>
          <w:tcPr>
            <w:tcW w:w="1335" w:type="dxa"/>
          </w:tcPr>
          <w:p w14:paraId="2400F3C7"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14</w:t>
            </w:r>
          </w:p>
        </w:tc>
        <w:tc>
          <w:tcPr>
            <w:tcW w:w="1335" w:type="dxa"/>
          </w:tcPr>
          <w:p w14:paraId="5394F11C"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.67</w:t>
            </w:r>
          </w:p>
        </w:tc>
        <w:tc>
          <w:tcPr>
            <w:tcW w:w="1336" w:type="dxa"/>
          </w:tcPr>
          <w:p w14:paraId="13F29485"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.18</w:t>
            </w:r>
          </w:p>
        </w:tc>
        <w:tc>
          <w:tcPr>
            <w:tcW w:w="1336" w:type="dxa"/>
          </w:tcPr>
          <w:p w14:paraId="5C386185"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.98</w:t>
            </w:r>
          </w:p>
        </w:tc>
        <w:tc>
          <w:tcPr>
            <w:tcW w:w="1336" w:type="dxa"/>
          </w:tcPr>
          <w:p w14:paraId="7A0215C9"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-.08</w:t>
            </w:r>
          </w:p>
        </w:tc>
        <w:tc>
          <w:tcPr>
            <w:tcW w:w="1336" w:type="dxa"/>
          </w:tcPr>
          <w:p w14:paraId="3D0AC47E"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.99</w:t>
            </w:r>
          </w:p>
        </w:tc>
        <w:tc>
          <w:tcPr>
            <w:tcW w:w="1336" w:type="dxa"/>
          </w:tcPr>
          <w:p w14:paraId="6120F501"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.02</w:t>
            </w:r>
          </w:p>
        </w:tc>
      </w:tr>
      <w:tr w:rsidR="00707884" w14:paraId="35C90E91" w14:textId="77777777" w:rsidTr="00723A39">
        <w:tc>
          <w:tcPr>
            <w:tcW w:w="1335" w:type="dxa"/>
          </w:tcPr>
          <w:p w14:paraId="44886045"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15</w:t>
            </w:r>
          </w:p>
        </w:tc>
        <w:tc>
          <w:tcPr>
            <w:tcW w:w="1335" w:type="dxa"/>
          </w:tcPr>
          <w:p w14:paraId="3EE22044"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-1.10</w:t>
            </w:r>
          </w:p>
        </w:tc>
        <w:tc>
          <w:tcPr>
            <w:tcW w:w="1336" w:type="dxa"/>
          </w:tcPr>
          <w:p w14:paraId="03FCAB7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.22</w:t>
            </w:r>
          </w:p>
        </w:tc>
        <w:tc>
          <w:tcPr>
            <w:tcW w:w="1336" w:type="dxa"/>
          </w:tcPr>
          <w:p w14:paraId="0F49E69F"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.90</w:t>
            </w:r>
          </w:p>
        </w:tc>
        <w:tc>
          <w:tcPr>
            <w:tcW w:w="1336" w:type="dxa"/>
          </w:tcPr>
          <w:p w14:paraId="212109B3"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-.45</w:t>
            </w:r>
          </w:p>
        </w:tc>
        <w:tc>
          <w:tcPr>
            <w:tcW w:w="1336" w:type="dxa"/>
          </w:tcPr>
          <w:p w14:paraId="0B7DEAC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.69</w:t>
            </w:r>
          </w:p>
        </w:tc>
        <w:tc>
          <w:tcPr>
            <w:tcW w:w="1336" w:type="dxa"/>
          </w:tcPr>
          <w:p w14:paraId="78A38F9A"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-.69</w:t>
            </w:r>
          </w:p>
        </w:tc>
      </w:tr>
      <w:tr w:rsidR="00707884" w14:paraId="088F110C" w14:textId="77777777" w:rsidTr="00723A39">
        <w:tc>
          <w:tcPr>
            <w:tcW w:w="1335" w:type="dxa"/>
          </w:tcPr>
          <w:p w14:paraId="7D40A1D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16</w:t>
            </w:r>
          </w:p>
        </w:tc>
        <w:tc>
          <w:tcPr>
            <w:tcW w:w="1335" w:type="dxa"/>
          </w:tcPr>
          <w:p w14:paraId="338CEAA1"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-.11</w:t>
            </w:r>
          </w:p>
        </w:tc>
        <w:tc>
          <w:tcPr>
            <w:tcW w:w="1336" w:type="dxa"/>
          </w:tcPr>
          <w:p w14:paraId="4011E759"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.19</w:t>
            </w:r>
          </w:p>
        </w:tc>
        <w:tc>
          <w:tcPr>
            <w:tcW w:w="1336" w:type="dxa"/>
          </w:tcPr>
          <w:p w14:paraId="09E51867"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.80</w:t>
            </w:r>
          </w:p>
        </w:tc>
        <w:tc>
          <w:tcPr>
            <w:tcW w:w="1336" w:type="dxa"/>
          </w:tcPr>
          <w:p w14:paraId="34E5DD71"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-1.01</w:t>
            </w:r>
          </w:p>
        </w:tc>
        <w:tc>
          <w:tcPr>
            <w:tcW w:w="1336" w:type="dxa"/>
          </w:tcPr>
          <w:p w14:paraId="716D1077"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.81</w:t>
            </w:r>
          </w:p>
        </w:tc>
        <w:tc>
          <w:tcPr>
            <w:tcW w:w="1336" w:type="dxa"/>
          </w:tcPr>
          <w:p w14:paraId="001D8BF6"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-.68</w:t>
            </w:r>
          </w:p>
        </w:tc>
      </w:tr>
      <w:tr w:rsidR="00707884" w14:paraId="02B5C791" w14:textId="77777777" w:rsidTr="00723A39">
        <w:tc>
          <w:tcPr>
            <w:tcW w:w="1335" w:type="dxa"/>
          </w:tcPr>
          <w:p w14:paraId="738DA11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17</w:t>
            </w:r>
          </w:p>
        </w:tc>
        <w:tc>
          <w:tcPr>
            <w:tcW w:w="1335" w:type="dxa"/>
          </w:tcPr>
          <w:p w14:paraId="1B692219"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.26</w:t>
            </w:r>
          </w:p>
        </w:tc>
        <w:tc>
          <w:tcPr>
            <w:tcW w:w="1336" w:type="dxa"/>
          </w:tcPr>
          <w:p w14:paraId="2B4DD94C"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.19</w:t>
            </w:r>
          </w:p>
        </w:tc>
        <w:tc>
          <w:tcPr>
            <w:tcW w:w="1336" w:type="dxa"/>
          </w:tcPr>
          <w:p w14:paraId="649605A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1.02</w:t>
            </w:r>
          </w:p>
        </w:tc>
        <w:tc>
          <w:tcPr>
            <w:tcW w:w="1336" w:type="dxa"/>
          </w:tcPr>
          <w:p w14:paraId="6A630D9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.16</w:t>
            </w:r>
          </w:p>
        </w:tc>
        <w:tc>
          <w:tcPr>
            <w:tcW w:w="1336" w:type="dxa"/>
          </w:tcPr>
          <w:p w14:paraId="750C34DC"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1.11</w:t>
            </w:r>
          </w:p>
        </w:tc>
        <w:tc>
          <w:tcPr>
            <w:tcW w:w="1336" w:type="dxa"/>
          </w:tcPr>
          <w:p w14:paraId="7054DD2C"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.53</w:t>
            </w:r>
          </w:p>
        </w:tc>
      </w:tr>
      <w:tr w:rsidR="00707884" w14:paraId="43B4CDF4" w14:textId="77777777" w:rsidTr="00723A39">
        <w:tc>
          <w:tcPr>
            <w:tcW w:w="1335" w:type="dxa"/>
          </w:tcPr>
          <w:p w14:paraId="12B5AC6B"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18</w:t>
            </w:r>
          </w:p>
        </w:tc>
        <w:tc>
          <w:tcPr>
            <w:tcW w:w="1335" w:type="dxa"/>
          </w:tcPr>
          <w:p w14:paraId="5EA434D3"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.00</w:t>
            </w:r>
          </w:p>
        </w:tc>
        <w:tc>
          <w:tcPr>
            <w:tcW w:w="1336" w:type="dxa"/>
          </w:tcPr>
          <w:p w14:paraId="5C8B7D15"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.19</w:t>
            </w:r>
          </w:p>
        </w:tc>
        <w:tc>
          <w:tcPr>
            <w:tcW w:w="1336" w:type="dxa"/>
          </w:tcPr>
          <w:p w14:paraId="6E4A873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1.03</w:t>
            </w:r>
          </w:p>
        </w:tc>
        <w:tc>
          <w:tcPr>
            <w:tcW w:w="1336" w:type="dxa"/>
          </w:tcPr>
          <w:p w14:paraId="3C31203E"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.22</w:t>
            </w:r>
          </w:p>
        </w:tc>
        <w:tc>
          <w:tcPr>
            <w:tcW w:w="1336" w:type="dxa"/>
          </w:tcPr>
          <w:p w14:paraId="43AEC244" w14:textId="77777777" w:rsidR="00707884" w:rsidRDefault="00707884" w:rsidP="00723A39">
            <w:pPr>
              <w:spacing w:line="480" w:lineRule="auto"/>
              <w:rPr>
                <w:rFonts w:ascii="Times New Roman" w:hAnsi="Times New Roman" w:cs="Times New Roman"/>
                <w:b/>
                <w:bCs/>
                <w:sz w:val="24"/>
                <w:szCs w:val="24"/>
                <w:lang w:eastAsia="ko-KR"/>
              </w:rPr>
            </w:pPr>
            <w:r w:rsidRPr="6EAA4970">
              <w:rPr>
                <w:rFonts w:ascii="Times New Roman" w:hAnsi="Times New Roman" w:cs="Times New Roman"/>
                <w:b/>
                <w:bCs/>
                <w:sz w:val="24"/>
                <w:szCs w:val="24"/>
                <w:lang w:eastAsia="ko-KR"/>
              </w:rPr>
              <w:t>2.30</w:t>
            </w:r>
          </w:p>
        </w:tc>
        <w:tc>
          <w:tcPr>
            <w:tcW w:w="1336" w:type="dxa"/>
          </w:tcPr>
          <w:p w14:paraId="225F7915"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3.76</w:t>
            </w:r>
          </w:p>
        </w:tc>
      </w:tr>
      <w:tr w:rsidR="00707884" w14:paraId="361EE254" w14:textId="77777777" w:rsidTr="00723A39">
        <w:tc>
          <w:tcPr>
            <w:tcW w:w="1335" w:type="dxa"/>
          </w:tcPr>
          <w:p w14:paraId="0A4DF3BE"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19</w:t>
            </w:r>
          </w:p>
        </w:tc>
        <w:tc>
          <w:tcPr>
            <w:tcW w:w="1335" w:type="dxa"/>
          </w:tcPr>
          <w:p w14:paraId="6B8C7B4A"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1.37</w:t>
            </w:r>
          </w:p>
        </w:tc>
        <w:tc>
          <w:tcPr>
            <w:tcW w:w="1336" w:type="dxa"/>
          </w:tcPr>
          <w:p w14:paraId="0762B9BA"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.18</w:t>
            </w:r>
          </w:p>
        </w:tc>
        <w:tc>
          <w:tcPr>
            <w:tcW w:w="1336" w:type="dxa"/>
          </w:tcPr>
          <w:p w14:paraId="717BC126"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1.04</w:t>
            </w:r>
          </w:p>
        </w:tc>
        <w:tc>
          <w:tcPr>
            <w:tcW w:w="1336" w:type="dxa"/>
          </w:tcPr>
          <w:p w14:paraId="33ADD1EE"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.28</w:t>
            </w:r>
          </w:p>
        </w:tc>
        <w:tc>
          <w:tcPr>
            <w:tcW w:w="1336" w:type="dxa"/>
          </w:tcPr>
          <w:p w14:paraId="2E5B6C8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1.01</w:t>
            </w:r>
          </w:p>
        </w:tc>
        <w:tc>
          <w:tcPr>
            <w:tcW w:w="1336" w:type="dxa"/>
          </w:tcPr>
          <w:p w14:paraId="045E70ED"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.13</w:t>
            </w:r>
          </w:p>
        </w:tc>
      </w:tr>
      <w:tr w:rsidR="00707884" w14:paraId="30929A07" w14:textId="77777777" w:rsidTr="00723A39">
        <w:tc>
          <w:tcPr>
            <w:tcW w:w="1335" w:type="dxa"/>
          </w:tcPr>
          <w:p w14:paraId="59DD8D2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20</w:t>
            </w:r>
          </w:p>
        </w:tc>
        <w:tc>
          <w:tcPr>
            <w:tcW w:w="1335" w:type="dxa"/>
          </w:tcPr>
          <w:p w14:paraId="237BF1F3"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.11</w:t>
            </w:r>
          </w:p>
        </w:tc>
        <w:tc>
          <w:tcPr>
            <w:tcW w:w="1336" w:type="dxa"/>
          </w:tcPr>
          <w:p w14:paraId="64FDAB47"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.19</w:t>
            </w:r>
          </w:p>
        </w:tc>
        <w:tc>
          <w:tcPr>
            <w:tcW w:w="1336" w:type="dxa"/>
          </w:tcPr>
          <w:p w14:paraId="72A09EE1"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.69</w:t>
            </w:r>
          </w:p>
        </w:tc>
        <w:tc>
          <w:tcPr>
            <w:tcW w:w="1336" w:type="dxa"/>
          </w:tcPr>
          <w:p w14:paraId="16FC00A5"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-1.81</w:t>
            </w:r>
          </w:p>
        </w:tc>
        <w:tc>
          <w:tcPr>
            <w:tcW w:w="1336" w:type="dxa"/>
          </w:tcPr>
          <w:p w14:paraId="5CB18ACA"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.83</w:t>
            </w:r>
          </w:p>
        </w:tc>
        <w:tc>
          <w:tcPr>
            <w:tcW w:w="1336" w:type="dxa"/>
          </w:tcPr>
          <w:p w14:paraId="222640D9"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-.61</w:t>
            </w:r>
          </w:p>
        </w:tc>
      </w:tr>
      <w:tr w:rsidR="00707884" w14:paraId="2896C2D8" w14:textId="77777777" w:rsidTr="00723A39">
        <w:tc>
          <w:tcPr>
            <w:tcW w:w="1335" w:type="dxa"/>
          </w:tcPr>
          <w:p w14:paraId="032BC62E"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21</w:t>
            </w:r>
          </w:p>
        </w:tc>
        <w:tc>
          <w:tcPr>
            <w:tcW w:w="1335" w:type="dxa"/>
          </w:tcPr>
          <w:p w14:paraId="415E78B3"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.94</w:t>
            </w:r>
          </w:p>
        </w:tc>
        <w:tc>
          <w:tcPr>
            <w:tcW w:w="1336" w:type="dxa"/>
          </w:tcPr>
          <w:p w14:paraId="60494864"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.18</w:t>
            </w:r>
          </w:p>
        </w:tc>
        <w:tc>
          <w:tcPr>
            <w:tcW w:w="1336" w:type="dxa"/>
          </w:tcPr>
          <w:p w14:paraId="766AFB3E"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1.28</w:t>
            </w:r>
          </w:p>
        </w:tc>
        <w:tc>
          <w:tcPr>
            <w:tcW w:w="1336" w:type="dxa"/>
          </w:tcPr>
          <w:p w14:paraId="01356E57"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1.52</w:t>
            </w:r>
          </w:p>
        </w:tc>
        <w:tc>
          <w:tcPr>
            <w:tcW w:w="1336" w:type="dxa"/>
          </w:tcPr>
          <w:p w14:paraId="79D6B9F9"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1.17</w:t>
            </w:r>
          </w:p>
        </w:tc>
        <w:tc>
          <w:tcPr>
            <w:tcW w:w="1336" w:type="dxa"/>
          </w:tcPr>
          <w:p w14:paraId="3DA97268"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.86</w:t>
            </w:r>
          </w:p>
        </w:tc>
      </w:tr>
      <w:tr w:rsidR="00707884" w14:paraId="393722FE" w14:textId="77777777" w:rsidTr="00723A39">
        <w:tc>
          <w:tcPr>
            <w:tcW w:w="1335" w:type="dxa"/>
          </w:tcPr>
          <w:p w14:paraId="3ABDA1C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22</w:t>
            </w:r>
          </w:p>
        </w:tc>
        <w:tc>
          <w:tcPr>
            <w:tcW w:w="1335" w:type="dxa"/>
          </w:tcPr>
          <w:p w14:paraId="17F30EF4"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.29</w:t>
            </w:r>
          </w:p>
        </w:tc>
        <w:tc>
          <w:tcPr>
            <w:tcW w:w="1336" w:type="dxa"/>
          </w:tcPr>
          <w:p w14:paraId="6291761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.19</w:t>
            </w:r>
          </w:p>
        </w:tc>
        <w:tc>
          <w:tcPr>
            <w:tcW w:w="1336" w:type="dxa"/>
          </w:tcPr>
          <w:p w14:paraId="016B3256"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.99</w:t>
            </w:r>
          </w:p>
        </w:tc>
        <w:tc>
          <w:tcPr>
            <w:tcW w:w="1336" w:type="dxa"/>
          </w:tcPr>
          <w:p w14:paraId="0876BDA6"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-.02</w:t>
            </w:r>
          </w:p>
        </w:tc>
        <w:tc>
          <w:tcPr>
            <w:tcW w:w="1336" w:type="dxa"/>
          </w:tcPr>
          <w:p w14:paraId="4E5649D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.98</w:t>
            </w:r>
          </w:p>
        </w:tc>
        <w:tc>
          <w:tcPr>
            <w:tcW w:w="1336" w:type="dxa"/>
          </w:tcPr>
          <w:p w14:paraId="5F5ACB53"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-.01</w:t>
            </w:r>
          </w:p>
        </w:tc>
      </w:tr>
      <w:tr w:rsidR="00707884" w14:paraId="41773803" w14:textId="77777777" w:rsidTr="00723A39">
        <w:tc>
          <w:tcPr>
            <w:tcW w:w="1335" w:type="dxa"/>
          </w:tcPr>
          <w:p w14:paraId="13463D1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23</w:t>
            </w:r>
          </w:p>
        </w:tc>
        <w:tc>
          <w:tcPr>
            <w:tcW w:w="1335" w:type="dxa"/>
          </w:tcPr>
          <w:p w14:paraId="08A1AA5E"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.00</w:t>
            </w:r>
          </w:p>
        </w:tc>
        <w:tc>
          <w:tcPr>
            <w:tcW w:w="1336" w:type="dxa"/>
          </w:tcPr>
          <w:p w14:paraId="3D118EEC"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.19</w:t>
            </w:r>
          </w:p>
        </w:tc>
        <w:tc>
          <w:tcPr>
            <w:tcW w:w="1336" w:type="dxa"/>
          </w:tcPr>
          <w:p w14:paraId="65A4C51B"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1.00</w:t>
            </w:r>
          </w:p>
        </w:tc>
        <w:tc>
          <w:tcPr>
            <w:tcW w:w="1336" w:type="dxa"/>
          </w:tcPr>
          <w:p w14:paraId="7D2A80AF"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.05</w:t>
            </w:r>
          </w:p>
        </w:tc>
        <w:tc>
          <w:tcPr>
            <w:tcW w:w="1336" w:type="dxa"/>
          </w:tcPr>
          <w:p w14:paraId="6297BEA5"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.86</w:t>
            </w:r>
          </w:p>
        </w:tc>
        <w:tc>
          <w:tcPr>
            <w:tcW w:w="1336" w:type="dxa"/>
          </w:tcPr>
          <w:p w14:paraId="7279B08E"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-.46</w:t>
            </w:r>
          </w:p>
        </w:tc>
      </w:tr>
      <w:tr w:rsidR="00707884" w14:paraId="59CDBF98" w14:textId="77777777" w:rsidTr="00723A39">
        <w:tc>
          <w:tcPr>
            <w:tcW w:w="1335" w:type="dxa"/>
          </w:tcPr>
          <w:p w14:paraId="15ACB1D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24</w:t>
            </w:r>
          </w:p>
        </w:tc>
        <w:tc>
          <w:tcPr>
            <w:tcW w:w="1335" w:type="dxa"/>
          </w:tcPr>
          <w:p w14:paraId="1D2E79E4"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1.27</w:t>
            </w:r>
          </w:p>
        </w:tc>
        <w:tc>
          <w:tcPr>
            <w:tcW w:w="1336" w:type="dxa"/>
          </w:tcPr>
          <w:p w14:paraId="1B06E6F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.18</w:t>
            </w:r>
          </w:p>
        </w:tc>
        <w:tc>
          <w:tcPr>
            <w:tcW w:w="1336" w:type="dxa"/>
          </w:tcPr>
          <w:p w14:paraId="72D6471F"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.96</w:t>
            </w:r>
          </w:p>
        </w:tc>
        <w:tc>
          <w:tcPr>
            <w:tcW w:w="1336" w:type="dxa"/>
          </w:tcPr>
          <w:p w14:paraId="21736A79"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-.93</w:t>
            </w:r>
          </w:p>
        </w:tc>
        <w:tc>
          <w:tcPr>
            <w:tcW w:w="1336" w:type="dxa"/>
          </w:tcPr>
          <w:p w14:paraId="63C8615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.87</w:t>
            </w:r>
          </w:p>
        </w:tc>
        <w:tc>
          <w:tcPr>
            <w:tcW w:w="1336" w:type="dxa"/>
          </w:tcPr>
          <w:p w14:paraId="194A7DED"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-.60</w:t>
            </w:r>
          </w:p>
        </w:tc>
      </w:tr>
      <w:tr w:rsidR="00707884" w14:paraId="6E2F692C" w14:textId="77777777" w:rsidTr="00723A39">
        <w:tc>
          <w:tcPr>
            <w:tcW w:w="1335" w:type="dxa"/>
          </w:tcPr>
          <w:p w14:paraId="453C0389"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25</w:t>
            </w:r>
          </w:p>
        </w:tc>
        <w:tc>
          <w:tcPr>
            <w:tcW w:w="1335" w:type="dxa"/>
          </w:tcPr>
          <w:p w14:paraId="2A606607"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.52</w:t>
            </w:r>
          </w:p>
        </w:tc>
        <w:tc>
          <w:tcPr>
            <w:tcW w:w="1336" w:type="dxa"/>
          </w:tcPr>
          <w:p w14:paraId="4F36EA6A"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.20</w:t>
            </w:r>
          </w:p>
        </w:tc>
        <w:tc>
          <w:tcPr>
            <w:tcW w:w="1336" w:type="dxa"/>
          </w:tcPr>
          <w:p w14:paraId="08CBD67A"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.90</w:t>
            </w:r>
          </w:p>
        </w:tc>
        <w:tc>
          <w:tcPr>
            <w:tcW w:w="1336" w:type="dxa"/>
          </w:tcPr>
          <w:p w14:paraId="0EEFC45D"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-.21</w:t>
            </w:r>
          </w:p>
        </w:tc>
        <w:tc>
          <w:tcPr>
            <w:tcW w:w="1336" w:type="dxa"/>
          </w:tcPr>
          <w:p w14:paraId="1F4CE68C"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.98</w:t>
            </w:r>
          </w:p>
        </w:tc>
        <w:tc>
          <w:tcPr>
            <w:tcW w:w="1336" w:type="dxa"/>
          </w:tcPr>
          <w:p w14:paraId="64355CA1"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-.02</w:t>
            </w:r>
          </w:p>
        </w:tc>
      </w:tr>
      <w:tr w:rsidR="00707884" w14:paraId="152F1B93" w14:textId="77777777" w:rsidTr="00723A39">
        <w:tc>
          <w:tcPr>
            <w:tcW w:w="1335" w:type="dxa"/>
          </w:tcPr>
          <w:p w14:paraId="2BE2B146"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26</w:t>
            </w:r>
          </w:p>
        </w:tc>
        <w:tc>
          <w:tcPr>
            <w:tcW w:w="1335" w:type="dxa"/>
          </w:tcPr>
          <w:p w14:paraId="32B7A0AC"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1.07</w:t>
            </w:r>
          </w:p>
        </w:tc>
        <w:tc>
          <w:tcPr>
            <w:tcW w:w="1336" w:type="dxa"/>
          </w:tcPr>
          <w:p w14:paraId="499BC2F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.18</w:t>
            </w:r>
          </w:p>
        </w:tc>
        <w:tc>
          <w:tcPr>
            <w:tcW w:w="1336" w:type="dxa"/>
          </w:tcPr>
          <w:p w14:paraId="77929D4B"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.75</w:t>
            </w:r>
          </w:p>
        </w:tc>
        <w:tc>
          <w:tcPr>
            <w:tcW w:w="1336" w:type="dxa"/>
          </w:tcPr>
          <w:p w14:paraId="4EA94F37"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-1.51</w:t>
            </w:r>
          </w:p>
        </w:tc>
        <w:tc>
          <w:tcPr>
            <w:tcW w:w="1336" w:type="dxa"/>
          </w:tcPr>
          <w:p w14:paraId="5050CC51"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.83</w:t>
            </w:r>
          </w:p>
        </w:tc>
        <w:tc>
          <w:tcPr>
            <w:tcW w:w="1336" w:type="dxa"/>
          </w:tcPr>
          <w:p w14:paraId="46BB296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-.87</w:t>
            </w:r>
          </w:p>
        </w:tc>
      </w:tr>
      <w:tr w:rsidR="00707884" w14:paraId="18FEC53F" w14:textId="77777777" w:rsidTr="00723A39">
        <w:tc>
          <w:tcPr>
            <w:tcW w:w="1335" w:type="dxa"/>
          </w:tcPr>
          <w:p w14:paraId="4B4185C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27</w:t>
            </w:r>
          </w:p>
        </w:tc>
        <w:tc>
          <w:tcPr>
            <w:tcW w:w="1335" w:type="dxa"/>
          </w:tcPr>
          <w:p w14:paraId="2BB53586"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-.42</w:t>
            </w:r>
          </w:p>
        </w:tc>
        <w:tc>
          <w:tcPr>
            <w:tcW w:w="1336" w:type="dxa"/>
          </w:tcPr>
          <w:p w14:paraId="61D32B8C"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.20</w:t>
            </w:r>
          </w:p>
        </w:tc>
        <w:tc>
          <w:tcPr>
            <w:tcW w:w="1336" w:type="dxa"/>
          </w:tcPr>
          <w:p w14:paraId="7D3A79D7"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.87</w:t>
            </w:r>
          </w:p>
        </w:tc>
        <w:tc>
          <w:tcPr>
            <w:tcW w:w="1336" w:type="dxa"/>
          </w:tcPr>
          <w:p w14:paraId="47612118"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-.62</w:t>
            </w:r>
          </w:p>
        </w:tc>
        <w:tc>
          <w:tcPr>
            <w:tcW w:w="1336" w:type="dxa"/>
          </w:tcPr>
          <w:p w14:paraId="743F7673"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.88</w:t>
            </w:r>
          </w:p>
        </w:tc>
        <w:tc>
          <w:tcPr>
            <w:tcW w:w="1336" w:type="dxa"/>
          </w:tcPr>
          <w:p w14:paraId="41B006B9"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-.50</w:t>
            </w:r>
          </w:p>
        </w:tc>
      </w:tr>
      <w:tr w:rsidR="00707884" w14:paraId="7B642079" w14:textId="77777777" w:rsidTr="00723A39">
        <w:tc>
          <w:tcPr>
            <w:tcW w:w="1335" w:type="dxa"/>
          </w:tcPr>
          <w:p w14:paraId="00E1B3CB"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28</w:t>
            </w:r>
          </w:p>
        </w:tc>
        <w:tc>
          <w:tcPr>
            <w:tcW w:w="1335" w:type="dxa"/>
          </w:tcPr>
          <w:p w14:paraId="6DBB252C"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.43</w:t>
            </w:r>
          </w:p>
        </w:tc>
        <w:tc>
          <w:tcPr>
            <w:tcW w:w="1336" w:type="dxa"/>
          </w:tcPr>
          <w:p w14:paraId="3F8DEC31"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.19</w:t>
            </w:r>
          </w:p>
        </w:tc>
        <w:tc>
          <w:tcPr>
            <w:tcW w:w="1336" w:type="dxa"/>
          </w:tcPr>
          <w:p w14:paraId="42AAE5B3"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.76</w:t>
            </w:r>
          </w:p>
        </w:tc>
        <w:tc>
          <w:tcPr>
            <w:tcW w:w="1336" w:type="dxa"/>
          </w:tcPr>
          <w:p w14:paraId="313ACBF6"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-1.38</w:t>
            </w:r>
          </w:p>
        </w:tc>
        <w:tc>
          <w:tcPr>
            <w:tcW w:w="1336" w:type="dxa"/>
          </w:tcPr>
          <w:p w14:paraId="37AF5E3B"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.64</w:t>
            </w:r>
          </w:p>
        </w:tc>
        <w:tc>
          <w:tcPr>
            <w:tcW w:w="1336" w:type="dxa"/>
          </w:tcPr>
          <w:p w14:paraId="5DBECA4F"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-1.74</w:t>
            </w:r>
          </w:p>
        </w:tc>
      </w:tr>
      <w:tr w:rsidR="00707884" w14:paraId="5317D39C" w14:textId="77777777" w:rsidTr="00723A39">
        <w:tc>
          <w:tcPr>
            <w:tcW w:w="1335" w:type="dxa"/>
          </w:tcPr>
          <w:p w14:paraId="4B3EB1C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lastRenderedPageBreak/>
              <w:t>Item 29</w:t>
            </w:r>
          </w:p>
        </w:tc>
        <w:tc>
          <w:tcPr>
            <w:tcW w:w="1335" w:type="dxa"/>
          </w:tcPr>
          <w:p w14:paraId="3F35ECE4"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.40</w:t>
            </w:r>
          </w:p>
        </w:tc>
        <w:tc>
          <w:tcPr>
            <w:tcW w:w="1336" w:type="dxa"/>
          </w:tcPr>
          <w:p w14:paraId="12CDAE03"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.19</w:t>
            </w:r>
          </w:p>
        </w:tc>
        <w:tc>
          <w:tcPr>
            <w:tcW w:w="1336" w:type="dxa"/>
          </w:tcPr>
          <w:p w14:paraId="779971FE"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.69</w:t>
            </w:r>
          </w:p>
        </w:tc>
        <w:tc>
          <w:tcPr>
            <w:tcW w:w="1336" w:type="dxa"/>
          </w:tcPr>
          <w:p w14:paraId="54B7135C"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-1.86</w:t>
            </w:r>
          </w:p>
        </w:tc>
        <w:tc>
          <w:tcPr>
            <w:tcW w:w="1336" w:type="dxa"/>
          </w:tcPr>
          <w:p w14:paraId="0E6E9474"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.67</w:t>
            </w:r>
          </w:p>
        </w:tc>
        <w:tc>
          <w:tcPr>
            <w:tcW w:w="1336" w:type="dxa"/>
          </w:tcPr>
          <w:p w14:paraId="4341EC6C"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-1.54</w:t>
            </w:r>
          </w:p>
        </w:tc>
      </w:tr>
      <w:tr w:rsidR="00707884" w14:paraId="06FEAE5F" w14:textId="77777777" w:rsidTr="00723A39">
        <w:tc>
          <w:tcPr>
            <w:tcW w:w="1335" w:type="dxa"/>
          </w:tcPr>
          <w:p w14:paraId="541DE27C"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30</w:t>
            </w:r>
          </w:p>
        </w:tc>
        <w:tc>
          <w:tcPr>
            <w:tcW w:w="1335" w:type="dxa"/>
          </w:tcPr>
          <w:p w14:paraId="19868E95"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-1.01</w:t>
            </w:r>
          </w:p>
        </w:tc>
        <w:tc>
          <w:tcPr>
            <w:tcW w:w="1336" w:type="dxa"/>
          </w:tcPr>
          <w:p w14:paraId="5A18B44F"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.21</w:t>
            </w:r>
          </w:p>
        </w:tc>
        <w:tc>
          <w:tcPr>
            <w:tcW w:w="1336" w:type="dxa"/>
          </w:tcPr>
          <w:p w14:paraId="00CA0DCD"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1.29</w:t>
            </w:r>
          </w:p>
        </w:tc>
        <w:tc>
          <w:tcPr>
            <w:tcW w:w="1336" w:type="dxa"/>
          </w:tcPr>
          <w:p w14:paraId="62800F71"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1.39</w:t>
            </w:r>
          </w:p>
        </w:tc>
        <w:tc>
          <w:tcPr>
            <w:tcW w:w="1336" w:type="dxa"/>
          </w:tcPr>
          <w:p w14:paraId="65DD5511" w14:textId="77777777" w:rsidR="00707884" w:rsidRDefault="00707884" w:rsidP="00723A39">
            <w:pPr>
              <w:spacing w:line="480" w:lineRule="auto"/>
              <w:rPr>
                <w:rFonts w:ascii="Times New Roman" w:hAnsi="Times New Roman" w:cs="Times New Roman"/>
                <w:b/>
                <w:bCs/>
                <w:sz w:val="24"/>
                <w:szCs w:val="24"/>
                <w:lang w:eastAsia="ko-KR"/>
              </w:rPr>
            </w:pPr>
            <w:r w:rsidRPr="6EAA4970">
              <w:rPr>
                <w:rFonts w:ascii="Times New Roman" w:hAnsi="Times New Roman" w:cs="Times New Roman"/>
                <w:b/>
                <w:bCs/>
                <w:sz w:val="24"/>
                <w:szCs w:val="24"/>
                <w:lang w:eastAsia="ko-KR"/>
              </w:rPr>
              <w:t>1.75</w:t>
            </w:r>
          </w:p>
        </w:tc>
        <w:tc>
          <w:tcPr>
            <w:tcW w:w="1336" w:type="dxa"/>
          </w:tcPr>
          <w:p w14:paraId="77154B8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1.68</w:t>
            </w:r>
          </w:p>
        </w:tc>
      </w:tr>
      <w:tr w:rsidR="00707884" w14:paraId="38482DD0" w14:textId="77777777" w:rsidTr="00723A39">
        <w:tc>
          <w:tcPr>
            <w:tcW w:w="1335" w:type="dxa"/>
          </w:tcPr>
          <w:p w14:paraId="7374149A"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31</w:t>
            </w:r>
          </w:p>
        </w:tc>
        <w:tc>
          <w:tcPr>
            <w:tcW w:w="1335" w:type="dxa"/>
          </w:tcPr>
          <w:p w14:paraId="47474A96"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.91</w:t>
            </w:r>
          </w:p>
        </w:tc>
        <w:tc>
          <w:tcPr>
            <w:tcW w:w="1336" w:type="dxa"/>
          </w:tcPr>
          <w:p w14:paraId="1505330A"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.18</w:t>
            </w:r>
          </w:p>
        </w:tc>
        <w:tc>
          <w:tcPr>
            <w:tcW w:w="1336" w:type="dxa"/>
          </w:tcPr>
          <w:p w14:paraId="0383B23F"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.58</w:t>
            </w:r>
          </w:p>
        </w:tc>
        <w:tc>
          <w:tcPr>
            <w:tcW w:w="1336" w:type="dxa"/>
          </w:tcPr>
          <w:p w14:paraId="6E59C36C"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-2.84</w:t>
            </w:r>
          </w:p>
        </w:tc>
        <w:tc>
          <w:tcPr>
            <w:tcW w:w="1336" w:type="dxa"/>
          </w:tcPr>
          <w:p w14:paraId="04AAEA58"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.53</w:t>
            </w:r>
          </w:p>
        </w:tc>
        <w:tc>
          <w:tcPr>
            <w:tcW w:w="1336" w:type="dxa"/>
          </w:tcPr>
          <w:p w14:paraId="2BECD8DC"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-2.79</w:t>
            </w:r>
          </w:p>
        </w:tc>
      </w:tr>
      <w:tr w:rsidR="00707884" w14:paraId="142DDD79" w14:textId="77777777" w:rsidTr="00723A39">
        <w:tc>
          <w:tcPr>
            <w:tcW w:w="1335" w:type="dxa"/>
          </w:tcPr>
          <w:p w14:paraId="44125FC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32</w:t>
            </w:r>
          </w:p>
        </w:tc>
        <w:tc>
          <w:tcPr>
            <w:tcW w:w="1335" w:type="dxa"/>
          </w:tcPr>
          <w:p w14:paraId="0FF024C4"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1.50</w:t>
            </w:r>
          </w:p>
        </w:tc>
        <w:tc>
          <w:tcPr>
            <w:tcW w:w="1336" w:type="dxa"/>
          </w:tcPr>
          <w:p w14:paraId="0ABF28C8"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.18</w:t>
            </w:r>
          </w:p>
        </w:tc>
        <w:tc>
          <w:tcPr>
            <w:tcW w:w="1336" w:type="dxa"/>
          </w:tcPr>
          <w:p w14:paraId="628C2F43"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.97</w:t>
            </w:r>
          </w:p>
        </w:tc>
        <w:tc>
          <w:tcPr>
            <w:tcW w:w="1336" w:type="dxa"/>
          </w:tcPr>
          <w:p w14:paraId="36FDF66E"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-.14</w:t>
            </w:r>
          </w:p>
        </w:tc>
        <w:tc>
          <w:tcPr>
            <w:tcW w:w="1336" w:type="dxa"/>
          </w:tcPr>
          <w:p w14:paraId="47E3B2AD"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.95</w:t>
            </w:r>
          </w:p>
        </w:tc>
        <w:tc>
          <w:tcPr>
            <w:tcW w:w="1336" w:type="dxa"/>
          </w:tcPr>
          <w:p w14:paraId="054A7317"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-.21</w:t>
            </w:r>
          </w:p>
        </w:tc>
      </w:tr>
      <w:tr w:rsidR="00707884" w14:paraId="7D6969D3" w14:textId="77777777" w:rsidTr="00723A39">
        <w:tc>
          <w:tcPr>
            <w:tcW w:w="1335" w:type="dxa"/>
          </w:tcPr>
          <w:p w14:paraId="3E96339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33</w:t>
            </w:r>
          </w:p>
        </w:tc>
        <w:tc>
          <w:tcPr>
            <w:tcW w:w="1335" w:type="dxa"/>
          </w:tcPr>
          <w:p w14:paraId="2344F587"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1.44</w:t>
            </w:r>
          </w:p>
        </w:tc>
        <w:tc>
          <w:tcPr>
            <w:tcW w:w="1336" w:type="dxa"/>
          </w:tcPr>
          <w:p w14:paraId="278C0A3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.18</w:t>
            </w:r>
          </w:p>
        </w:tc>
        <w:tc>
          <w:tcPr>
            <w:tcW w:w="1336" w:type="dxa"/>
          </w:tcPr>
          <w:p w14:paraId="426FE4F3"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.70</w:t>
            </w:r>
          </w:p>
        </w:tc>
        <w:tc>
          <w:tcPr>
            <w:tcW w:w="1336" w:type="dxa"/>
          </w:tcPr>
          <w:p w14:paraId="59AF0E6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-1.91</w:t>
            </w:r>
          </w:p>
        </w:tc>
        <w:tc>
          <w:tcPr>
            <w:tcW w:w="1336" w:type="dxa"/>
          </w:tcPr>
          <w:p w14:paraId="2BC7596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.66</w:t>
            </w:r>
          </w:p>
        </w:tc>
        <w:tc>
          <w:tcPr>
            <w:tcW w:w="1336" w:type="dxa"/>
          </w:tcPr>
          <w:p w14:paraId="19BCDCA5"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-1.97</w:t>
            </w:r>
          </w:p>
        </w:tc>
      </w:tr>
      <w:tr w:rsidR="00707884" w14:paraId="6B0B7260" w14:textId="77777777" w:rsidTr="00723A39">
        <w:tc>
          <w:tcPr>
            <w:tcW w:w="1335" w:type="dxa"/>
          </w:tcPr>
          <w:p w14:paraId="500DB338"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34</w:t>
            </w:r>
          </w:p>
        </w:tc>
        <w:tc>
          <w:tcPr>
            <w:tcW w:w="1335" w:type="dxa"/>
          </w:tcPr>
          <w:p w14:paraId="38A15704"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2.96</w:t>
            </w:r>
          </w:p>
        </w:tc>
        <w:tc>
          <w:tcPr>
            <w:tcW w:w="1336" w:type="dxa"/>
          </w:tcPr>
          <w:p w14:paraId="20940EF8"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.20</w:t>
            </w:r>
          </w:p>
        </w:tc>
        <w:tc>
          <w:tcPr>
            <w:tcW w:w="1336" w:type="dxa"/>
          </w:tcPr>
          <w:p w14:paraId="6B0F03C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1.37</w:t>
            </w:r>
          </w:p>
        </w:tc>
        <w:tc>
          <w:tcPr>
            <w:tcW w:w="1336" w:type="dxa"/>
          </w:tcPr>
          <w:p w14:paraId="3A0FDDC7"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1.80</w:t>
            </w:r>
          </w:p>
        </w:tc>
        <w:tc>
          <w:tcPr>
            <w:tcW w:w="1336" w:type="dxa"/>
          </w:tcPr>
          <w:p w14:paraId="0DBBED0B"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1.34</w:t>
            </w:r>
          </w:p>
        </w:tc>
        <w:tc>
          <w:tcPr>
            <w:tcW w:w="1336" w:type="dxa"/>
          </w:tcPr>
          <w:p w14:paraId="7D8178FD"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1.43</w:t>
            </w:r>
          </w:p>
        </w:tc>
      </w:tr>
      <w:tr w:rsidR="00707884" w14:paraId="7F14FC31" w14:textId="77777777" w:rsidTr="00723A39">
        <w:tc>
          <w:tcPr>
            <w:tcW w:w="1335" w:type="dxa"/>
          </w:tcPr>
          <w:p w14:paraId="312FBF71"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35</w:t>
            </w:r>
          </w:p>
        </w:tc>
        <w:tc>
          <w:tcPr>
            <w:tcW w:w="1335" w:type="dxa"/>
          </w:tcPr>
          <w:p w14:paraId="0FD0218E"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1.84</w:t>
            </w:r>
          </w:p>
        </w:tc>
        <w:tc>
          <w:tcPr>
            <w:tcW w:w="1336" w:type="dxa"/>
          </w:tcPr>
          <w:p w14:paraId="3EA3ED59"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.18</w:t>
            </w:r>
          </w:p>
        </w:tc>
        <w:tc>
          <w:tcPr>
            <w:tcW w:w="1336" w:type="dxa"/>
          </w:tcPr>
          <w:p w14:paraId="31D541FB"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1.38</w:t>
            </w:r>
          </w:p>
        </w:tc>
        <w:tc>
          <w:tcPr>
            <w:tcW w:w="1336" w:type="dxa"/>
          </w:tcPr>
          <w:p w14:paraId="5D50FB12"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1.95</w:t>
            </w:r>
          </w:p>
        </w:tc>
        <w:tc>
          <w:tcPr>
            <w:tcW w:w="1336" w:type="dxa"/>
          </w:tcPr>
          <w:p w14:paraId="06BCC6EC" w14:textId="77777777" w:rsidR="00707884" w:rsidRDefault="00707884" w:rsidP="00723A39">
            <w:pPr>
              <w:spacing w:line="480" w:lineRule="auto"/>
              <w:rPr>
                <w:rFonts w:ascii="Times New Roman" w:hAnsi="Times New Roman" w:cs="Times New Roman"/>
                <w:b/>
                <w:bCs/>
                <w:sz w:val="24"/>
                <w:szCs w:val="24"/>
                <w:lang w:eastAsia="ko-KR"/>
              </w:rPr>
            </w:pPr>
            <w:r w:rsidRPr="6EAA4970">
              <w:rPr>
                <w:rFonts w:ascii="Times New Roman" w:hAnsi="Times New Roman" w:cs="Times New Roman"/>
                <w:b/>
                <w:bCs/>
                <w:sz w:val="24"/>
                <w:szCs w:val="24"/>
                <w:lang w:eastAsia="ko-KR"/>
              </w:rPr>
              <w:t>1.63</w:t>
            </w:r>
          </w:p>
        </w:tc>
        <w:tc>
          <w:tcPr>
            <w:tcW w:w="1336" w:type="dxa"/>
          </w:tcPr>
          <w:p w14:paraId="1327F5FF"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2.85</w:t>
            </w:r>
          </w:p>
        </w:tc>
      </w:tr>
      <w:tr w:rsidR="00707884" w14:paraId="698E43E0" w14:textId="77777777" w:rsidTr="00723A39">
        <w:tc>
          <w:tcPr>
            <w:tcW w:w="1335" w:type="dxa"/>
            <w:tcBorders>
              <w:bottom w:val="single" w:sz="4" w:space="0" w:color="auto"/>
            </w:tcBorders>
          </w:tcPr>
          <w:p w14:paraId="631BEBB8"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Item 36</w:t>
            </w:r>
          </w:p>
        </w:tc>
        <w:tc>
          <w:tcPr>
            <w:tcW w:w="1335" w:type="dxa"/>
            <w:tcBorders>
              <w:bottom w:val="single" w:sz="4" w:space="0" w:color="auto"/>
            </w:tcBorders>
          </w:tcPr>
          <w:p w14:paraId="412EDEDD"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2.40</w:t>
            </w:r>
          </w:p>
        </w:tc>
        <w:tc>
          <w:tcPr>
            <w:tcW w:w="1336" w:type="dxa"/>
            <w:tcBorders>
              <w:bottom w:val="single" w:sz="4" w:space="0" w:color="auto"/>
            </w:tcBorders>
          </w:tcPr>
          <w:p w14:paraId="3E28A924"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.19</w:t>
            </w:r>
          </w:p>
        </w:tc>
        <w:tc>
          <w:tcPr>
            <w:tcW w:w="1336" w:type="dxa"/>
            <w:tcBorders>
              <w:bottom w:val="single" w:sz="4" w:space="0" w:color="auto"/>
            </w:tcBorders>
          </w:tcPr>
          <w:p w14:paraId="38ED9049"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.90</w:t>
            </w:r>
          </w:p>
        </w:tc>
        <w:tc>
          <w:tcPr>
            <w:tcW w:w="1336" w:type="dxa"/>
            <w:tcBorders>
              <w:bottom w:val="single" w:sz="4" w:space="0" w:color="auto"/>
            </w:tcBorders>
          </w:tcPr>
          <w:p w14:paraId="0CC521EE"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-.48</w:t>
            </w:r>
          </w:p>
        </w:tc>
        <w:tc>
          <w:tcPr>
            <w:tcW w:w="1336" w:type="dxa"/>
            <w:tcBorders>
              <w:bottom w:val="single" w:sz="4" w:space="0" w:color="auto"/>
            </w:tcBorders>
          </w:tcPr>
          <w:p w14:paraId="01B36009"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.91</w:t>
            </w:r>
          </w:p>
        </w:tc>
        <w:tc>
          <w:tcPr>
            <w:tcW w:w="1336" w:type="dxa"/>
            <w:tcBorders>
              <w:bottom w:val="single" w:sz="4" w:space="0" w:color="auto"/>
            </w:tcBorders>
          </w:tcPr>
          <w:p w14:paraId="5977F210" w14:textId="77777777" w:rsidR="00707884" w:rsidRDefault="00707884" w:rsidP="00723A39">
            <w:pPr>
              <w:spacing w:line="480" w:lineRule="auto"/>
              <w:rPr>
                <w:rFonts w:ascii="Times New Roman" w:hAnsi="Times New Roman" w:cs="Times New Roman"/>
                <w:sz w:val="24"/>
                <w:szCs w:val="24"/>
                <w:lang w:eastAsia="ko-KR"/>
              </w:rPr>
            </w:pPr>
            <w:r w:rsidRPr="6EAA4970">
              <w:rPr>
                <w:rFonts w:ascii="Times New Roman" w:hAnsi="Times New Roman" w:cs="Times New Roman"/>
                <w:sz w:val="24"/>
                <w:szCs w:val="24"/>
                <w:lang w:eastAsia="ko-KR"/>
              </w:rPr>
              <w:t>-.37</w:t>
            </w:r>
          </w:p>
        </w:tc>
      </w:tr>
    </w:tbl>
    <w:p w14:paraId="11CEE715" w14:textId="22D0AC87" w:rsidR="00707884" w:rsidRDefault="00707884" w:rsidP="00707884">
      <w:pPr>
        <w:spacing w:after="0" w:line="480" w:lineRule="auto"/>
        <w:ind w:firstLine="720"/>
        <w:rPr>
          <w:rFonts w:ascii="Times New Roman" w:eastAsiaTheme="minorEastAsia" w:hAnsi="Times New Roman" w:cs="Times New Roman"/>
          <w:sz w:val="24"/>
          <w:szCs w:val="24"/>
          <w:lang w:eastAsia="ko-KR"/>
        </w:rPr>
      </w:pPr>
      <w:r w:rsidRPr="6EAA4970">
        <w:rPr>
          <w:rFonts w:ascii="Times New Roman" w:eastAsiaTheme="minorEastAsia" w:hAnsi="Times New Roman" w:cs="Times New Roman"/>
          <w:sz w:val="24"/>
          <w:szCs w:val="24"/>
          <w:lang w:eastAsia="ko-KR"/>
        </w:rPr>
        <w:t xml:space="preserve">An item-person analysis, presented in the Wright map in Figure </w:t>
      </w:r>
      <w:r w:rsidR="00CB4D5F">
        <w:rPr>
          <w:rFonts w:ascii="Times New Roman" w:eastAsiaTheme="minorEastAsia" w:hAnsi="Times New Roman" w:cs="Times New Roman"/>
          <w:sz w:val="24"/>
          <w:szCs w:val="24"/>
          <w:lang w:eastAsia="ko-KR"/>
        </w:rPr>
        <w:t>S</w:t>
      </w:r>
      <w:r w:rsidRPr="6EAA4970">
        <w:rPr>
          <w:rFonts w:ascii="Times New Roman" w:eastAsiaTheme="minorEastAsia" w:hAnsi="Times New Roman" w:cs="Times New Roman"/>
          <w:sz w:val="24"/>
          <w:szCs w:val="24"/>
          <w:lang w:eastAsia="ko-KR"/>
        </w:rPr>
        <w:t>1, revealed that the HL learners’ ability covered a range of 9.49 logits, and item difficulty covered a range of 7.09 logits. These findings suggest that the range of item difficulty for the 36-item EIT still did not map adequately with person ability, although they were better matched for the 36-item EIT than for the 30-item EIT. The person ability mean (1.62) was above item mean difficulty (0.00), indicating, again, that the test was easy for many HL learners despite the six additional items added to the test, although the difference in means was smaller than with the 30-item EIT.</w:t>
      </w:r>
    </w:p>
    <w:p w14:paraId="4983CA06" w14:textId="77777777" w:rsidR="00707884" w:rsidRDefault="00707884" w:rsidP="00707884">
      <w:pPr>
        <w:spacing w:after="0" w:line="480" w:lineRule="auto"/>
        <w:rPr>
          <w:rFonts w:ascii="Times New Roman" w:eastAsiaTheme="minorEastAsia" w:hAnsi="Times New Roman" w:cs="Times New Roman"/>
          <w:sz w:val="24"/>
          <w:szCs w:val="24"/>
          <w:lang w:eastAsia="ko-KR"/>
        </w:rPr>
      </w:pPr>
      <w:r>
        <w:rPr>
          <w:noProof/>
        </w:rPr>
        <w:lastRenderedPageBreak/>
        <w:drawing>
          <wp:inline distT="0" distB="0" distL="0" distR="0" wp14:anchorId="778EC876" wp14:editId="3BAD4217">
            <wp:extent cx="3057525" cy="4572000"/>
            <wp:effectExtent l="0" t="0" r="0" b="0"/>
            <wp:docPr id="825550720" name="Picture 12051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11552"/>
                    <pic:cNvPicPr/>
                  </pic:nvPicPr>
                  <pic:blipFill>
                    <a:blip r:embed="rId4">
                      <a:extLst>
                        <a:ext uri="{28A0092B-C50C-407E-A947-70E740481C1C}">
                          <a14:useLocalDpi xmlns:a14="http://schemas.microsoft.com/office/drawing/2010/main" val="0"/>
                        </a:ext>
                      </a:extLst>
                    </a:blip>
                    <a:stretch>
                      <a:fillRect/>
                    </a:stretch>
                  </pic:blipFill>
                  <pic:spPr>
                    <a:xfrm>
                      <a:off x="0" y="0"/>
                      <a:ext cx="3057525" cy="4572000"/>
                    </a:xfrm>
                    <a:prstGeom prst="rect">
                      <a:avLst/>
                    </a:prstGeom>
                  </pic:spPr>
                </pic:pic>
              </a:graphicData>
            </a:graphic>
          </wp:inline>
        </w:drawing>
      </w:r>
    </w:p>
    <w:p w14:paraId="5FEA2743" w14:textId="152F601C" w:rsidR="00707884" w:rsidRDefault="00707884" w:rsidP="00707884">
      <w:pPr>
        <w:spacing w:after="0" w:line="480" w:lineRule="auto"/>
        <w:rPr>
          <w:rFonts w:ascii="Times New Roman" w:eastAsiaTheme="minorEastAsia" w:hAnsi="Times New Roman" w:cs="Times New Roman"/>
          <w:sz w:val="24"/>
          <w:szCs w:val="24"/>
          <w:lang w:eastAsia="ko-KR"/>
        </w:rPr>
      </w:pPr>
      <w:r w:rsidRPr="6EAA4970">
        <w:rPr>
          <w:rFonts w:ascii="Times New Roman" w:eastAsiaTheme="minorEastAsia" w:hAnsi="Times New Roman" w:cs="Times New Roman"/>
          <w:sz w:val="24"/>
          <w:szCs w:val="24"/>
          <w:lang w:eastAsia="ko-KR"/>
        </w:rPr>
        <w:t xml:space="preserve">Figure </w:t>
      </w:r>
      <w:r w:rsidR="00CB4D5F">
        <w:rPr>
          <w:rFonts w:ascii="Times New Roman" w:eastAsiaTheme="minorEastAsia" w:hAnsi="Times New Roman" w:cs="Times New Roman"/>
          <w:sz w:val="24"/>
          <w:szCs w:val="24"/>
          <w:lang w:eastAsia="ko-KR"/>
        </w:rPr>
        <w:t>S</w:t>
      </w:r>
      <w:r>
        <w:rPr>
          <w:rFonts w:ascii="Times New Roman" w:eastAsiaTheme="minorEastAsia" w:hAnsi="Times New Roman" w:cs="Times New Roman"/>
          <w:sz w:val="24"/>
          <w:szCs w:val="24"/>
          <w:lang w:eastAsia="ko-KR"/>
        </w:rPr>
        <w:t>1</w:t>
      </w:r>
      <w:r w:rsidRPr="6EAA4970">
        <w:rPr>
          <w:rFonts w:ascii="Times New Roman" w:eastAsiaTheme="minorEastAsia" w:hAnsi="Times New Roman" w:cs="Times New Roman"/>
          <w:sz w:val="24"/>
          <w:szCs w:val="24"/>
          <w:lang w:eastAsia="ko-KR"/>
        </w:rPr>
        <w:t>. Wright map of person ability and item difficulty (</w:t>
      </w:r>
      <w:r w:rsidRPr="6EAA4970">
        <w:rPr>
          <w:rFonts w:ascii="Times New Roman" w:eastAsiaTheme="minorEastAsia" w:hAnsi="Times New Roman" w:cs="Times New Roman"/>
          <w:i/>
          <w:iCs/>
          <w:sz w:val="24"/>
          <w:szCs w:val="24"/>
          <w:lang w:eastAsia="ko-KR"/>
        </w:rPr>
        <w:t>N</w:t>
      </w:r>
      <w:r w:rsidRPr="6EAA4970">
        <w:rPr>
          <w:rFonts w:ascii="Times New Roman" w:eastAsiaTheme="minorEastAsia" w:hAnsi="Times New Roman" w:cs="Times New Roman"/>
          <w:sz w:val="24"/>
          <w:szCs w:val="24"/>
          <w:lang w:eastAsia="ko-KR"/>
        </w:rPr>
        <w:t xml:space="preserve"> = 63)</w:t>
      </w:r>
    </w:p>
    <w:p w14:paraId="34F12270" w14:textId="77777777" w:rsidR="00707884" w:rsidRDefault="00707884" w:rsidP="00707884">
      <w:pPr>
        <w:spacing w:after="0" w:line="480" w:lineRule="auto"/>
        <w:ind w:firstLine="720"/>
        <w:rPr>
          <w:rFonts w:ascii="Times New Roman" w:eastAsiaTheme="minorEastAsia" w:hAnsi="Times New Roman" w:cs="Times New Roman"/>
          <w:sz w:val="24"/>
          <w:szCs w:val="24"/>
          <w:lang w:eastAsia="ko-KR"/>
        </w:rPr>
      </w:pPr>
      <w:r w:rsidRPr="6EAA4970">
        <w:rPr>
          <w:rFonts w:ascii="Times New Roman" w:eastAsiaTheme="minorEastAsia" w:hAnsi="Times New Roman" w:cs="Times New Roman"/>
          <w:sz w:val="24"/>
          <w:szCs w:val="24"/>
          <w:lang w:eastAsia="ko-KR"/>
        </w:rPr>
        <w:t>As with the 30-item EIT, the 36-item version</w:t>
      </w:r>
      <w:r w:rsidRPr="6EAA4970">
        <w:rPr>
          <w:rFonts w:ascii="Times New Roman" w:eastAsiaTheme="minorEastAsia" w:hAnsi="Times New Roman" w:cs="Times New Roman"/>
          <w:b/>
          <w:bCs/>
          <w:i/>
          <w:iCs/>
          <w:sz w:val="24"/>
          <w:szCs w:val="24"/>
          <w:lang w:eastAsia="ko-KR"/>
        </w:rPr>
        <w:t xml:space="preserve"> </w:t>
      </w:r>
      <w:r w:rsidRPr="6EAA4970">
        <w:rPr>
          <w:rFonts w:ascii="Times New Roman" w:eastAsiaTheme="minorEastAsia" w:hAnsi="Times New Roman" w:cs="Times New Roman"/>
          <w:sz w:val="24"/>
          <w:szCs w:val="24"/>
          <w:lang w:eastAsia="ko-KR"/>
        </w:rPr>
        <w:t xml:space="preserve">demonstrated excellent reliability. Both the item and person reliability coefficients were 0.98, meaning that only 2% of the variability in item and person measures was attributable to error. Item and person separation indices were 6.45 and 6.83, respectively, suggesting that the EIT consistently discriminated approximately seven statistically distinct strata of performance in persons and six difficulty levels in items. These findings suggest that the 36-item EIT better discriminates across persons and items as compared to the 30-item EIT. </w:t>
      </w:r>
    </w:p>
    <w:p w14:paraId="21C2E826" w14:textId="2D734D53" w:rsidR="00707884" w:rsidRDefault="00707884" w:rsidP="00707884">
      <w:pPr>
        <w:spacing w:after="0" w:line="480" w:lineRule="auto"/>
        <w:ind w:firstLine="720"/>
        <w:rPr>
          <w:rFonts w:ascii="Times New Roman" w:eastAsiaTheme="minorEastAsia" w:hAnsi="Times New Roman" w:cs="Times New Roman"/>
          <w:sz w:val="24"/>
          <w:szCs w:val="24"/>
          <w:lang w:eastAsia="ko-KR"/>
        </w:rPr>
      </w:pPr>
      <w:r w:rsidRPr="6EAA4970">
        <w:rPr>
          <w:rFonts w:ascii="Times New Roman" w:eastAsiaTheme="minorEastAsia" w:hAnsi="Times New Roman" w:cs="Times New Roman"/>
          <w:sz w:val="24"/>
          <w:szCs w:val="24"/>
          <w:lang w:eastAsia="ko-KR"/>
        </w:rPr>
        <w:t xml:space="preserve">Finally, a DIF analysis of these six additional items (see Table </w:t>
      </w:r>
      <w:r w:rsidR="00CB4D5F">
        <w:rPr>
          <w:rFonts w:ascii="Times New Roman" w:eastAsiaTheme="minorEastAsia" w:hAnsi="Times New Roman" w:cs="Times New Roman"/>
          <w:sz w:val="24"/>
          <w:szCs w:val="24"/>
          <w:lang w:eastAsia="ko-KR"/>
        </w:rPr>
        <w:t>S</w:t>
      </w:r>
      <w:r>
        <w:rPr>
          <w:rFonts w:ascii="Times New Roman" w:eastAsiaTheme="minorEastAsia" w:hAnsi="Times New Roman" w:cs="Times New Roman"/>
          <w:sz w:val="24"/>
          <w:szCs w:val="24"/>
          <w:lang w:eastAsia="ko-KR"/>
        </w:rPr>
        <w:t>2</w:t>
      </w:r>
      <w:r w:rsidRPr="6EAA4970">
        <w:rPr>
          <w:rFonts w:ascii="Times New Roman" w:eastAsiaTheme="minorEastAsia" w:hAnsi="Times New Roman" w:cs="Times New Roman"/>
          <w:sz w:val="24"/>
          <w:szCs w:val="24"/>
          <w:lang w:eastAsia="ko-KR"/>
        </w:rPr>
        <w:t xml:space="preserve">) revealed that five of the six new items functioned similarly for the present study’s HL learners as for Solon et al.’s </w:t>
      </w:r>
      <w:r w:rsidRPr="6EAA4970">
        <w:rPr>
          <w:rFonts w:ascii="Times New Roman" w:eastAsiaTheme="minorEastAsia" w:hAnsi="Times New Roman" w:cs="Times New Roman"/>
          <w:sz w:val="24"/>
          <w:szCs w:val="24"/>
          <w:lang w:eastAsia="ko-KR"/>
        </w:rPr>
        <w:lastRenderedPageBreak/>
        <w:t>(2019) L2 learners. Item 31, however, favored HL learners. Similar to items previously described to favor HL learners, this item (</w:t>
      </w:r>
      <w:r w:rsidRPr="6EAA4970">
        <w:rPr>
          <w:rFonts w:ascii="Times New Roman" w:eastAsiaTheme="minorEastAsia" w:hAnsi="Times New Roman" w:cs="Times New Roman"/>
          <w:i/>
          <w:iCs/>
          <w:sz w:val="24"/>
          <w:szCs w:val="24"/>
          <w:lang w:eastAsia="ko-KR"/>
        </w:rPr>
        <w:t xml:space="preserve">Son </w:t>
      </w:r>
      <w:proofErr w:type="spellStart"/>
      <w:r w:rsidRPr="6EAA4970">
        <w:rPr>
          <w:rFonts w:ascii="Times New Roman" w:eastAsiaTheme="minorEastAsia" w:hAnsi="Times New Roman" w:cs="Times New Roman"/>
          <w:i/>
          <w:iCs/>
          <w:sz w:val="24"/>
          <w:szCs w:val="24"/>
          <w:lang w:eastAsia="ko-KR"/>
        </w:rPr>
        <w:t>ellas</w:t>
      </w:r>
      <w:proofErr w:type="spellEnd"/>
      <w:r w:rsidRPr="6EAA4970">
        <w:rPr>
          <w:rFonts w:ascii="Times New Roman" w:eastAsiaTheme="minorEastAsia" w:hAnsi="Times New Roman" w:cs="Times New Roman"/>
          <w:i/>
          <w:iCs/>
          <w:sz w:val="24"/>
          <w:szCs w:val="24"/>
          <w:lang w:eastAsia="ko-KR"/>
        </w:rPr>
        <w:t xml:space="preserve"> las que </w:t>
      </w:r>
      <w:proofErr w:type="spellStart"/>
      <w:r w:rsidRPr="6EAA4970">
        <w:rPr>
          <w:rFonts w:ascii="Times New Roman" w:eastAsiaTheme="minorEastAsia" w:hAnsi="Times New Roman" w:cs="Times New Roman"/>
          <w:i/>
          <w:iCs/>
          <w:sz w:val="24"/>
          <w:szCs w:val="24"/>
          <w:lang w:eastAsia="ko-KR"/>
        </w:rPr>
        <w:t>acaban</w:t>
      </w:r>
      <w:proofErr w:type="spellEnd"/>
      <w:r w:rsidRPr="6EAA4970">
        <w:rPr>
          <w:rFonts w:ascii="Times New Roman" w:eastAsiaTheme="minorEastAsia" w:hAnsi="Times New Roman" w:cs="Times New Roman"/>
          <w:i/>
          <w:iCs/>
          <w:sz w:val="24"/>
          <w:szCs w:val="24"/>
          <w:lang w:eastAsia="ko-KR"/>
        </w:rPr>
        <w:t xml:space="preserve"> de </w:t>
      </w:r>
      <w:proofErr w:type="spellStart"/>
      <w:r w:rsidRPr="6EAA4970">
        <w:rPr>
          <w:rFonts w:ascii="Times New Roman" w:eastAsiaTheme="minorEastAsia" w:hAnsi="Times New Roman" w:cs="Times New Roman"/>
          <w:i/>
          <w:iCs/>
          <w:sz w:val="24"/>
          <w:szCs w:val="24"/>
          <w:lang w:eastAsia="ko-KR"/>
        </w:rPr>
        <w:t>decorar</w:t>
      </w:r>
      <w:proofErr w:type="spellEnd"/>
      <w:r w:rsidRPr="6EAA4970">
        <w:rPr>
          <w:rFonts w:ascii="Times New Roman" w:eastAsiaTheme="minorEastAsia" w:hAnsi="Times New Roman" w:cs="Times New Roman"/>
          <w:i/>
          <w:iCs/>
          <w:sz w:val="24"/>
          <w:szCs w:val="24"/>
          <w:lang w:eastAsia="ko-KR"/>
        </w:rPr>
        <w:t xml:space="preserve"> la </w:t>
      </w:r>
      <w:proofErr w:type="spellStart"/>
      <w:r w:rsidRPr="6EAA4970">
        <w:rPr>
          <w:rFonts w:ascii="Times New Roman" w:eastAsiaTheme="minorEastAsia" w:hAnsi="Times New Roman" w:cs="Times New Roman"/>
          <w:i/>
          <w:iCs/>
          <w:sz w:val="24"/>
          <w:szCs w:val="24"/>
          <w:lang w:eastAsia="ko-KR"/>
        </w:rPr>
        <w:t>sala</w:t>
      </w:r>
      <w:proofErr w:type="spellEnd"/>
      <w:r w:rsidRPr="6EAA4970">
        <w:rPr>
          <w:rFonts w:ascii="Times New Roman" w:eastAsiaTheme="minorEastAsia" w:hAnsi="Times New Roman" w:cs="Times New Roman"/>
          <w:i/>
          <w:iCs/>
          <w:sz w:val="24"/>
          <w:szCs w:val="24"/>
          <w:lang w:eastAsia="ko-KR"/>
        </w:rPr>
        <w:t xml:space="preserve"> de </w:t>
      </w:r>
      <w:proofErr w:type="spellStart"/>
      <w:r w:rsidRPr="6EAA4970">
        <w:rPr>
          <w:rFonts w:ascii="Times New Roman" w:eastAsiaTheme="minorEastAsia" w:hAnsi="Times New Roman" w:cs="Times New Roman"/>
          <w:i/>
          <w:iCs/>
          <w:sz w:val="24"/>
          <w:szCs w:val="24"/>
          <w:lang w:eastAsia="ko-KR"/>
        </w:rPr>
        <w:t>espera</w:t>
      </w:r>
      <w:proofErr w:type="spellEnd"/>
      <w:r w:rsidRPr="6EAA4970">
        <w:rPr>
          <w:rFonts w:ascii="Times New Roman" w:eastAsiaTheme="minorEastAsia" w:hAnsi="Times New Roman" w:cs="Times New Roman"/>
          <w:sz w:val="24"/>
          <w:szCs w:val="24"/>
          <w:lang w:eastAsia="ko-KR"/>
        </w:rPr>
        <w:t xml:space="preserve"> “They [fem.] are the ones who just finished decorating the waiting room”) likewise includes non-canonical word order, pronominal reduplication, and lexical items (e.g., </w:t>
      </w:r>
      <w:proofErr w:type="spellStart"/>
      <w:r w:rsidRPr="6EAA4970">
        <w:rPr>
          <w:rFonts w:ascii="Times New Roman" w:eastAsiaTheme="minorEastAsia" w:hAnsi="Times New Roman" w:cs="Times New Roman"/>
          <w:i/>
          <w:iCs/>
          <w:sz w:val="24"/>
          <w:szCs w:val="24"/>
          <w:lang w:eastAsia="ko-KR"/>
        </w:rPr>
        <w:t>sala</w:t>
      </w:r>
      <w:proofErr w:type="spellEnd"/>
      <w:r w:rsidRPr="6EAA4970">
        <w:rPr>
          <w:rFonts w:ascii="Times New Roman" w:eastAsiaTheme="minorEastAsia" w:hAnsi="Times New Roman" w:cs="Times New Roman"/>
          <w:i/>
          <w:iCs/>
          <w:sz w:val="24"/>
          <w:szCs w:val="24"/>
          <w:lang w:eastAsia="ko-KR"/>
        </w:rPr>
        <w:t xml:space="preserve"> de </w:t>
      </w:r>
      <w:proofErr w:type="spellStart"/>
      <w:r w:rsidRPr="6EAA4970">
        <w:rPr>
          <w:rFonts w:ascii="Times New Roman" w:eastAsiaTheme="minorEastAsia" w:hAnsi="Times New Roman" w:cs="Times New Roman"/>
          <w:i/>
          <w:iCs/>
          <w:sz w:val="24"/>
          <w:szCs w:val="24"/>
          <w:lang w:eastAsia="ko-KR"/>
        </w:rPr>
        <w:t>espera</w:t>
      </w:r>
      <w:proofErr w:type="spellEnd"/>
      <w:r w:rsidRPr="6EAA4970">
        <w:rPr>
          <w:rFonts w:ascii="Times New Roman" w:eastAsiaTheme="minorEastAsia" w:hAnsi="Times New Roman" w:cs="Times New Roman"/>
          <w:sz w:val="24"/>
          <w:szCs w:val="24"/>
          <w:lang w:eastAsia="ko-KR"/>
        </w:rPr>
        <w:t xml:space="preserve"> “waiting room”) that seemed more problematic for L2 learners than for HL learners. Thus, as with Solon et al.’s (2019) advanced L2 learner sample, the 36-item EIT appears to present some benefits for HL proficiency assessment, at least with a sample that includes high ability HL learners.</w:t>
      </w:r>
    </w:p>
    <w:p w14:paraId="4D50BBE4" w14:textId="7431B79E" w:rsidR="00707884" w:rsidRDefault="00707884" w:rsidP="00707884">
      <w:pPr>
        <w:spacing w:after="0" w:line="480" w:lineRule="auto"/>
        <w:rPr>
          <w:rFonts w:ascii="Times New Roman" w:eastAsiaTheme="minorEastAsia" w:hAnsi="Times New Roman" w:cs="Times New Roman"/>
          <w:sz w:val="24"/>
          <w:szCs w:val="24"/>
          <w:lang w:eastAsia="ko-KR"/>
        </w:rPr>
      </w:pPr>
      <w:r w:rsidRPr="1D61E2BE">
        <w:rPr>
          <w:rFonts w:ascii="Times New Roman" w:eastAsiaTheme="minorEastAsia" w:hAnsi="Times New Roman" w:cs="Times New Roman"/>
          <w:sz w:val="24"/>
          <w:szCs w:val="24"/>
          <w:lang w:eastAsia="ko-KR"/>
        </w:rPr>
        <w:t xml:space="preserve">Table </w:t>
      </w:r>
      <w:r w:rsidR="00CB4D5F">
        <w:rPr>
          <w:rFonts w:ascii="Times New Roman" w:eastAsiaTheme="minorEastAsia" w:hAnsi="Times New Roman" w:cs="Times New Roman"/>
          <w:sz w:val="24"/>
          <w:szCs w:val="24"/>
          <w:lang w:eastAsia="ko-KR"/>
        </w:rPr>
        <w:t>S</w:t>
      </w:r>
      <w:r>
        <w:rPr>
          <w:rFonts w:ascii="Times New Roman" w:eastAsiaTheme="minorEastAsia" w:hAnsi="Times New Roman" w:cs="Times New Roman"/>
          <w:sz w:val="24"/>
          <w:szCs w:val="24"/>
          <w:lang w:eastAsia="ko-KR"/>
        </w:rPr>
        <w:t>2</w:t>
      </w:r>
      <w:r w:rsidRPr="1D61E2BE">
        <w:rPr>
          <w:rFonts w:ascii="Times New Roman" w:eastAsiaTheme="minorEastAsia" w:hAnsi="Times New Roman" w:cs="Times New Roman"/>
          <w:sz w:val="24"/>
          <w:szCs w:val="24"/>
          <w:lang w:eastAsia="ko-KR"/>
        </w:rPr>
        <w:t xml:space="preserve">. </w:t>
      </w:r>
    </w:p>
    <w:p w14:paraId="2D44FB9C" w14:textId="77777777" w:rsidR="00707884" w:rsidRPr="003F1D05" w:rsidRDefault="00707884" w:rsidP="00707884">
      <w:pPr>
        <w:spacing w:after="0" w:line="480" w:lineRule="auto"/>
        <w:rPr>
          <w:rFonts w:ascii="Times New Roman" w:eastAsiaTheme="minorEastAsia" w:hAnsi="Times New Roman" w:cs="Times New Roman"/>
          <w:sz w:val="24"/>
          <w:szCs w:val="24"/>
          <w:lang w:eastAsia="ko-KR"/>
        </w:rPr>
      </w:pPr>
      <w:r w:rsidRPr="1D61E2BE">
        <w:rPr>
          <w:rFonts w:ascii="Times New Roman" w:eastAsiaTheme="minorEastAsia" w:hAnsi="Times New Roman" w:cs="Times New Roman"/>
          <w:sz w:val="24"/>
          <w:szCs w:val="24"/>
          <w:lang w:eastAsia="ko-KR"/>
        </w:rPr>
        <w:t xml:space="preserve">DIF analysis of </w:t>
      </w:r>
      <w:r>
        <w:rPr>
          <w:rFonts w:ascii="Times New Roman" w:eastAsiaTheme="minorEastAsia" w:hAnsi="Times New Roman" w:cs="Times New Roman"/>
          <w:sz w:val="24"/>
          <w:szCs w:val="24"/>
          <w:lang w:eastAsia="ko-KR"/>
        </w:rPr>
        <w:t>six</w:t>
      </w:r>
      <w:r w:rsidRPr="1D61E2BE">
        <w:rPr>
          <w:rFonts w:ascii="Times New Roman" w:eastAsiaTheme="minorEastAsia" w:hAnsi="Times New Roman" w:cs="Times New Roman"/>
          <w:sz w:val="24"/>
          <w:szCs w:val="24"/>
          <w:lang w:eastAsia="ko-KR"/>
        </w:rPr>
        <w:t xml:space="preserve"> additional EIT items for HL learners and L2 learners (</w:t>
      </w:r>
      <w:r w:rsidRPr="1D61E2BE">
        <w:rPr>
          <w:rFonts w:ascii="Times New Roman" w:eastAsiaTheme="minorEastAsia" w:hAnsi="Times New Roman" w:cs="Times New Roman"/>
          <w:i/>
          <w:iCs/>
          <w:sz w:val="24"/>
          <w:szCs w:val="24"/>
          <w:lang w:eastAsia="ko-KR"/>
        </w:rPr>
        <w:t xml:space="preserve">N </w:t>
      </w:r>
      <w:r w:rsidRPr="1D61E2BE">
        <w:rPr>
          <w:rFonts w:ascii="Times New Roman" w:eastAsiaTheme="minorEastAsia" w:hAnsi="Times New Roman" w:cs="Times New Roman"/>
          <w:sz w:val="24"/>
          <w:szCs w:val="24"/>
          <w:lang w:eastAsia="ko-KR"/>
        </w:rPr>
        <w:t>= 151)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963"/>
        <w:gridCol w:w="710"/>
        <w:gridCol w:w="924"/>
        <w:gridCol w:w="950"/>
        <w:gridCol w:w="710"/>
        <w:gridCol w:w="924"/>
        <w:gridCol w:w="1467"/>
        <w:gridCol w:w="964"/>
        <w:gridCol w:w="576"/>
        <w:gridCol w:w="516"/>
      </w:tblGrid>
      <w:tr w:rsidR="00707884" w:rsidRPr="003F1D05" w14:paraId="1EF9A23A" w14:textId="77777777" w:rsidTr="00723A39">
        <w:tc>
          <w:tcPr>
            <w:tcW w:w="348" w:type="pct"/>
            <w:tcBorders>
              <w:top w:val="single" w:sz="4" w:space="0" w:color="auto"/>
              <w:bottom w:val="single" w:sz="4" w:space="0" w:color="auto"/>
            </w:tcBorders>
          </w:tcPr>
          <w:p w14:paraId="4A756B16"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Item</w:t>
            </w:r>
          </w:p>
        </w:tc>
        <w:tc>
          <w:tcPr>
            <w:tcW w:w="515" w:type="pct"/>
            <w:tcBorders>
              <w:top w:val="single" w:sz="4" w:space="0" w:color="auto"/>
              <w:bottom w:val="single" w:sz="4" w:space="0" w:color="auto"/>
            </w:tcBorders>
          </w:tcPr>
          <w:p w14:paraId="1599F58C"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Class A</w:t>
            </w:r>
          </w:p>
        </w:tc>
        <w:tc>
          <w:tcPr>
            <w:tcW w:w="380" w:type="pct"/>
            <w:tcBorders>
              <w:top w:val="single" w:sz="4" w:space="0" w:color="auto"/>
              <w:bottom w:val="single" w:sz="4" w:space="0" w:color="auto"/>
            </w:tcBorders>
          </w:tcPr>
          <w:p w14:paraId="4E6DCB6F"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DIF</w:t>
            </w:r>
          </w:p>
        </w:tc>
        <w:tc>
          <w:tcPr>
            <w:tcW w:w="494" w:type="pct"/>
            <w:tcBorders>
              <w:top w:val="single" w:sz="4" w:space="0" w:color="auto"/>
              <w:bottom w:val="single" w:sz="4" w:space="0" w:color="auto"/>
            </w:tcBorders>
          </w:tcPr>
          <w:p w14:paraId="6522376A"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 xml:space="preserve">DIF </w:t>
            </w:r>
            <w:r w:rsidRPr="003F1D05">
              <w:rPr>
                <w:rFonts w:ascii="Times New Roman" w:eastAsiaTheme="minorEastAsia" w:hAnsi="Times New Roman" w:cs="Times New Roman"/>
                <w:i/>
                <w:sz w:val="24"/>
                <w:szCs w:val="24"/>
                <w:lang w:eastAsia="ko-KR"/>
              </w:rPr>
              <w:t>SE</w:t>
            </w:r>
          </w:p>
        </w:tc>
        <w:tc>
          <w:tcPr>
            <w:tcW w:w="508" w:type="pct"/>
            <w:tcBorders>
              <w:top w:val="single" w:sz="4" w:space="0" w:color="auto"/>
              <w:bottom w:val="single" w:sz="4" w:space="0" w:color="auto"/>
            </w:tcBorders>
          </w:tcPr>
          <w:p w14:paraId="6CB4D265"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Class B</w:t>
            </w:r>
          </w:p>
        </w:tc>
        <w:tc>
          <w:tcPr>
            <w:tcW w:w="380" w:type="pct"/>
            <w:tcBorders>
              <w:top w:val="single" w:sz="4" w:space="0" w:color="auto"/>
              <w:bottom w:val="single" w:sz="4" w:space="0" w:color="auto"/>
            </w:tcBorders>
          </w:tcPr>
          <w:p w14:paraId="6FF85451"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DIF</w:t>
            </w:r>
          </w:p>
        </w:tc>
        <w:tc>
          <w:tcPr>
            <w:tcW w:w="494" w:type="pct"/>
            <w:tcBorders>
              <w:top w:val="single" w:sz="4" w:space="0" w:color="auto"/>
              <w:bottom w:val="single" w:sz="4" w:space="0" w:color="auto"/>
            </w:tcBorders>
          </w:tcPr>
          <w:p w14:paraId="24C7895C"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 xml:space="preserve">DIF </w:t>
            </w:r>
            <w:r w:rsidRPr="003F1D05">
              <w:rPr>
                <w:rFonts w:ascii="Times New Roman" w:eastAsiaTheme="minorEastAsia" w:hAnsi="Times New Roman" w:cs="Times New Roman"/>
                <w:i/>
                <w:sz w:val="24"/>
                <w:szCs w:val="24"/>
                <w:lang w:eastAsia="ko-KR"/>
              </w:rPr>
              <w:t>SE</w:t>
            </w:r>
          </w:p>
        </w:tc>
        <w:tc>
          <w:tcPr>
            <w:tcW w:w="784" w:type="pct"/>
            <w:tcBorders>
              <w:top w:val="single" w:sz="4" w:space="0" w:color="auto"/>
              <w:bottom w:val="single" w:sz="4" w:space="0" w:color="auto"/>
            </w:tcBorders>
          </w:tcPr>
          <w:p w14:paraId="15ED517C"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DIF Contrast</w:t>
            </w:r>
          </w:p>
        </w:tc>
        <w:tc>
          <w:tcPr>
            <w:tcW w:w="515" w:type="pct"/>
            <w:tcBorders>
              <w:top w:val="single" w:sz="4" w:space="0" w:color="auto"/>
              <w:bottom w:val="single" w:sz="4" w:space="0" w:color="auto"/>
            </w:tcBorders>
          </w:tcPr>
          <w:p w14:paraId="4C5BCB54" w14:textId="77777777" w:rsidR="00707884" w:rsidRPr="003F1D05" w:rsidRDefault="00707884" w:rsidP="00723A39">
            <w:pPr>
              <w:spacing w:line="480" w:lineRule="auto"/>
              <w:rPr>
                <w:rFonts w:ascii="Times New Roman" w:eastAsiaTheme="minorEastAsia" w:hAnsi="Times New Roman" w:cs="Times New Roman"/>
                <w:i/>
                <w:sz w:val="24"/>
                <w:szCs w:val="24"/>
                <w:lang w:eastAsia="ko-KR"/>
              </w:rPr>
            </w:pPr>
            <w:r w:rsidRPr="003F1D05">
              <w:rPr>
                <w:rFonts w:ascii="Times New Roman" w:eastAsiaTheme="minorEastAsia" w:hAnsi="Times New Roman" w:cs="Times New Roman"/>
                <w:sz w:val="24"/>
                <w:szCs w:val="24"/>
                <w:lang w:eastAsia="ko-KR"/>
              </w:rPr>
              <w:t xml:space="preserve">Welch </w:t>
            </w:r>
            <w:r w:rsidRPr="003F1D05">
              <w:rPr>
                <w:rFonts w:ascii="Times New Roman" w:eastAsiaTheme="minorEastAsia" w:hAnsi="Times New Roman" w:cs="Times New Roman"/>
                <w:i/>
                <w:sz w:val="24"/>
                <w:szCs w:val="24"/>
                <w:lang w:eastAsia="ko-KR"/>
              </w:rPr>
              <w:t>t</w:t>
            </w:r>
          </w:p>
        </w:tc>
        <w:tc>
          <w:tcPr>
            <w:tcW w:w="306" w:type="pct"/>
            <w:tcBorders>
              <w:top w:val="single" w:sz="4" w:space="0" w:color="auto"/>
              <w:bottom w:val="single" w:sz="4" w:space="0" w:color="auto"/>
            </w:tcBorders>
          </w:tcPr>
          <w:p w14:paraId="789421B7"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i/>
                <w:sz w:val="24"/>
                <w:szCs w:val="24"/>
                <w:lang w:eastAsia="ko-KR"/>
              </w:rPr>
              <w:t>df</w:t>
            </w:r>
          </w:p>
        </w:tc>
        <w:tc>
          <w:tcPr>
            <w:tcW w:w="274" w:type="pct"/>
            <w:tcBorders>
              <w:top w:val="single" w:sz="4" w:space="0" w:color="auto"/>
              <w:bottom w:val="single" w:sz="4" w:space="0" w:color="auto"/>
            </w:tcBorders>
          </w:tcPr>
          <w:p w14:paraId="65DE5F44" w14:textId="77777777" w:rsidR="00707884" w:rsidRPr="003F1D05" w:rsidRDefault="00707884" w:rsidP="00723A39">
            <w:pPr>
              <w:spacing w:line="480" w:lineRule="auto"/>
              <w:rPr>
                <w:rFonts w:ascii="Times New Roman" w:eastAsiaTheme="minorEastAsia" w:hAnsi="Times New Roman" w:cs="Times New Roman"/>
                <w:i/>
                <w:sz w:val="24"/>
                <w:szCs w:val="24"/>
                <w:lang w:eastAsia="ko-KR"/>
              </w:rPr>
            </w:pPr>
            <w:r w:rsidRPr="003F1D05">
              <w:rPr>
                <w:rFonts w:ascii="Times New Roman" w:eastAsiaTheme="minorEastAsia" w:hAnsi="Times New Roman" w:cs="Times New Roman"/>
                <w:i/>
                <w:sz w:val="24"/>
                <w:szCs w:val="24"/>
                <w:lang w:eastAsia="ko-KR"/>
              </w:rPr>
              <w:t>p</w:t>
            </w:r>
          </w:p>
        </w:tc>
      </w:tr>
      <w:tr w:rsidR="00707884" w:rsidRPr="003F1D05" w14:paraId="27BB6AA0" w14:textId="77777777" w:rsidTr="00723A39">
        <w:tc>
          <w:tcPr>
            <w:tcW w:w="348" w:type="pct"/>
            <w:tcBorders>
              <w:top w:val="single" w:sz="4" w:space="0" w:color="auto"/>
            </w:tcBorders>
          </w:tcPr>
          <w:p w14:paraId="69D13B79"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31</w:t>
            </w:r>
          </w:p>
        </w:tc>
        <w:tc>
          <w:tcPr>
            <w:tcW w:w="515" w:type="pct"/>
            <w:tcBorders>
              <w:top w:val="single" w:sz="4" w:space="0" w:color="auto"/>
            </w:tcBorders>
          </w:tcPr>
          <w:p w14:paraId="1AE377D6"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HL</w:t>
            </w:r>
          </w:p>
        </w:tc>
        <w:tc>
          <w:tcPr>
            <w:tcW w:w="380" w:type="pct"/>
            <w:tcBorders>
              <w:top w:val="single" w:sz="4" w:space="0" w:color="auto"/>
            </w:tcBorders>
          </w:tcPr>
          <w:p w14:paraId="23790F48"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.82</w:t>
            </w:r>
          </w:p>
        </w:tc>
        <w:tc>
          <w:tcPr>
            <w:tcW w:w="494" w:type="pct"/>
            <w:tcBorders>
              <w:top w:val="single" w:sz="4" w:space="0" w:color="auto"/>
            </w:tcBorders>
          </w:tcPr>
          <w:p w14:paraId="764BFC05"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.17</w:t>
            </w:r>
          </w:p>
        </w:tc>
        <w:tc>
          <w:tcPr>
            <w:tcW w:w="508" w:type="pct"/>
            <w:tcBorders>
              <w:top w:val="single" w:sz="4" w:space="0" w:color="auto"/>
            </w:tcBorders>
          </w:tcPr>
          <w:p w14:paraId="5C1034DD"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L2</w:t>
            </w:r>
          </w:p>
        </w:tc>
        <w:tc>
          <w:tcPr>
            <w:tcW w:w="380" w:type="pct"/>
            <w:tcBorders>
              <w:top w:val="single" w:sz="4" w:space="0" w:color="auto"/>
            </w:tcBorders>
          </w:tcPr>
          <w:p w14:paraId="74C8F599"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1D61E2BE">
              <w:rPr>
                <w:rFonts w:ascii="Times New Roman" w:eastAsiaTheme="minorEastAsia" w:hAnsi="Times New Roman" w:cs="Times New Roman"/>
                <w:sz w:val="24"/>
                <w:szCs w:val="24"/>
                <w:lang w:eastAsia="ko-KR"/>
              </w:rPr>
              <w:t>1.64</w:t>
            </w:r>
          </w:p>
        </w:tc>
        <w:tc>
          <w:tcPr>
            <w:tcW w:w="494" w:type="pct"/>
            <w:tcBorders>
              <w:top w:val="single" w:sz="4" w:space="0" w:color="auto"/>
            </w:tcBorders>
          </w:tcPr>
          <w:p w14:paraId="5C82DD53"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.16</w:t>
            </w:r>
          </w:p>
        </w:tc>
        <w:tc>
          <w:tcPr>
            <w:tcW w:w="784" w:type="pct"/>
            <w:tcBorders>
              <w:top w:val="single" w:sz="4" w:space="0" w:color="auto"/>
            </w:tcBorders>
          </w:tcPr>
          <w:p w14:paraId="2371A4FA" w14:textId="77777777" w:rsidR="00707884" w:rsidRPr="00EA7731" w:rsidRDefault="00707884" w:rsidP="00723A39">
            <w:pPr>
              <w:spacing w:line="480" w:lineRule="auto"/>
              <w:rPr>
                <w:rFonts w:ascii="Times New Roman" w:eastAsiaTheme="minorEastAsia" w:hAnsi="Times New Roman" w:cs="Times New Roman"/>
                <w:b/>
                <w:bCs/>
                <w:sz w:val="24"/>
                <w:szCs w:val="24"/>
                <w:lang w:eastAsia="ko-KR"/>
              </w:rPr>
            </w:pPr>
            <w:r w:rsidRPr="00EA7731">
              <w:rPr>
                <w:rFonts w:ascii="Times New Roman" w:eastAsiaTheme="minorEastAsia" w:hAnsi="Times New Roman" w:cs="Times New Roman" w:hint="eastAsia"/>
                <w:b/>
                <w:bCs/>
                <w:sz w:val="24"/>
                <w:szCs w:val="24"/>
                <w:lang w:eastAsia="ko-KR"/>
              </w:rPr>
              <w:t>-.82</w:t>
            </w:r>
          </w:p>
        </w:tc>
        <w:tc>
          <w:tcPr>
            <w:tcW w:w="515" w:type="pct"/>
            <w:tcBorders>
              <w:top w:val="single" w:sz="4" w:space="0" w:color="auto"/>
            </w:tcBorders>
          </w:tcPr>
          <w:p w14:paraId="59D2CCE8"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-3.53</w:t>
            </w:r>
          </w:p>
        </w:tc>
        <w:tc>
          <w:tcPr>
            <w:tcW w:w="306" w:type="pct"/>
            <w:tcBorders>
              <w:top w:val="single" w:sz="4" w:space="0" w:color="auto"/>
            </w:tcBorders>
          </w:tcPr>
          <w:p w14:paraId="070BC211"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139</w:t>
            </w:r>
          </w:p>
        </w:tc>
        <w:tc>
          <w:tcPr>
            <w:tcW w:w="274" w:type="pct"/>
            <w:tcBorders>
              <w:top w:val="single" w:sz="4" w:space="0" w:color="auto"/>
            </w:tcBorders>
          </w:tcPr>
          <w:p w14:paraId="6920BB39"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.0</w:t>
            </w:r>
            <w:r w:rsidRPr="003F1D05">
              <w:rPr>
                <w:rFonts w:ascii="Times New Roman" w:eastAsiaTheme="minorEastAsia" w:hAnsi="Times New Roman" w:cs="Times New Roman"/>
                <w:sz w:val="24"/>
                <w:szCs w:val="24"/>
                <w:lang w:eastAsia="ko-KR"/>
              </w:rPr>
              <w:t>0</w:t>
            </w:r>
          </w:p>
        </w:tc>
      </w:tr>
      <w:tr w:rsidR="00707884" w:rsidRPr="003F1D05" w14:paraId="2D8EB0CA" w14:textId="77777777" w:rsidTr="00723A39">
        <w:tc>
          <w:tcPr>
            <w:tcW w:w="348" w:type="pct"/>
          </w:tcPr>
          <w:p w14:paraId="5BF64BB3"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32</w:t>
            </w:r>
          </w:p>
        </w:tc>
        <w:tc>
          <w:tcPr>
            <w:tcW w:w="515" w:type="pct"/>
          </w:tcPr>
          <w:p w14:paraId="12C2E81F"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HL</w:t>
            </w:r>
          </w:p>
        </w:tc>
        <w:tc>
          <w:tcPr>
            <w:tcW w:w="380" w:type="pct"/>
          </w:tcPr>
          <w:p w14:paraId="5A4FBBC9"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1.35</w:t>
            </w:r>
          </w:p>
        </w:tc>
        <w:tc>
          <w:tcPr>
            <w:tcW w:w="494" w:type="pct"/>
          </w:tcPr>
          <w:p w14:paraId="3FE3F5A5"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.17</w:t>
            </w:r>
          </w:p>
        </w:tc>
        <w:tc>
          <w:tcPr>
            <w:tcW w:w="508" w:type="pct"/>
          </w:tcPr>
          <w:p w14:paraId="27539CCD"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L2</w:t>
            </w:r>
          </w:p>
        </w:tc>
        <w:tc>
          <w:tcPr>
            <w:tcW w:w="380" w:type="pct"/>
          </w:tcPr>
          <w:p w14:paraId="4DB3207D"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1.21</w:t>
            </w:r>
          </w:p>
        </w:tc>
        <w:tc>
          <w:tcPr>
            <w:tcW w:w="494" w:type="pct"/>
          </w:tcPr>
          <w:p w14:paraId="6BF24834"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.15</w:t>
            </w:r>
          </w:p>
        </w:tc>
        <w:tc>
          <w:tcPr>
            <w:tcW w:w="784" w:type="pct"/>
          </w:tcPr>
          <w:p w14:paraId="48C8E934" w14:textId="77777777" w:rsidR="00707884" w:rsidRPr="003F1D05" w:rsidRDefault="00707884" w:rsidP="00723A39">
            <w:pPr>
              <w:spacing w:line="480" w:lineRule="auto"/>
              <w:rPr>
                <w:rFonts w:ascii="Times New Roman" w:eastAsiaTheme="minorEastAsia" w:hAnsi="Times New Roman" w:cs="Times New Roman"/>
                <w:color w:val="000000" w:themeColor="text1"/>
                <w:sz w:val="24"/>
                <w:szCs w:val="24"/>
                <w:lang w:eastAsia="ko-KR"/>
              </w:rPr>
            </w:pPr>
            <w:r w:rsidRPr="003F1D05">
              <w:rPr>
                <w:rFonts w:ascii="Times New Roman" w:eastAsiaTheme="minorEastAsia" w:hAnsi="Times New Roman" w:cs="Times New Roman" w:hint="eastAsia"/>
                <w:color w:val="000000" w:themeColor="text1"/>
                <w:sz w:val="24"/>
                <w:szCs w:val="24"/>
                <w:lang w:eastAsia="ko-KR"/>
              </w:rPr>
              <w:t>.14</w:t>
            </w:r>
          </w:p>
        </w:tc>
        <w:tc>
          <w:tcPr>
            <w:tcW w:w="515" w:type="pct"/>
          </w:tcPr>
          <w:p w14:paraId="5EA74289"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.62</w:t>
            </w:r>
          </w:p>
        </w:tc>
        <w:tc>
          <w:tcPr>
            <w:tcW w:w="306" w:type="pct"/>
          </w:tcPr>
          <w:p w14:paraId="51B06905"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138</w:t>
            </w:r>
          </w:p>
        </w:tc>
        <w:tc>
          <w:tcPr>
            <w:tcW w:w="274" w:type="pct"/>
          </w:tcPr>
          <w:p w14:paraId="77B9CA31"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.54</w:t>
            </w:r>
          </w:p>
        </w:tc>
      </w:tr>
      <w:tr w:rsidR="00707884" w:rsidRPr="003F1D05" w14:paraId="2AAB531E" w14:textId="77777777" w:rsidTr="00723A39">
        <w:tc>
          <w:tcPr>
            <w:tcW w:w="348" w:type="pct"/>
          </w:tcPr>
          <w:p w14:paraId="5620F9F1"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33</w:t>
            </w:r>
          </w:p>
        </w:tc>
        <w:tc>
          <w:tcPr>
            <w:tcW w:w="515" w:type="pct"/>
          </w:tcPr>
          <w:p w14:paraId="4A21741B"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HL</w:t>
            </w:r>
          </w:p>
        </w:tc>
        <w:tc>
          <w:tcPr>
            <w:tcW w:w="380" w:type="pct"/>
          </w:tcPr>
          <w:p w14:paraId="00701CAF"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1.29</w:t>
            </w:r>
          </w:p>
        </w:tc>
        <w:tc>
          <w:tcPr>
            <w:tcW w:w="494" w:type="pct"/>
          </w:tcPr>
          <w:p w14:paraId="68091620"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.17</w:t>
            </w:r>
          </w:p>
        </w:tc>
        <w:tc>
          <w:tcPr>
            <w:tcW w:w="508" w:type="pct"/>
          </w:tcPr>
          <w:p w14:paraId="3FA2BE71"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L2</w:t>
            </w:r>
          </w:p>
        </w:tc>
        <w:tc>
          <w:tcPr>
            <w:tcW w:w="380" w:type="pct"/>
          </w:tcPr>
          <w:p w14:paraId="6170BACF"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1.64</w:t>
            </w:r>
          </w:p>
        </w:tc>
        <w:tc>
          <w:tcPr>
            <w:tcW w:w="494" w:type="pct"/>
          </w:tcPr>
          <w:p w14:paraId="3CBB7529"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.16</w:t>
            </w:r>
          </w:p>
        </w:tc>
        <w:tc>
          <w:tcPr>
            <w:tcW w:w="784" w:type="pct"/>
          </w:tcPr>
          <w:p w14:paraId="7E8A7730" w14:textId="77777777" w:rsidR="00707884" w:rsidRPr="003F1D05" w:rsidRDefault="00707884" w:rsidP="00723A39">
            <w:pPr>
              <w:spacing w:line="480" w:lineRule="auto"/>
              <w:rPr>
                <w:rFonts w:ascii="Times New Roman" w:eastAsiaTheme="minorEastAsia" w:hAnsi="Times New Roman" w:cs="Times New Roman"/>
                <w:color w:val="000000" w:themeColor="text1"/>
                <w:sz w:val="24"/>
                <w:szCs w:val="24"/>
                <w:lang w:eastAsia="ko-KR"/>
              </w:rPr>
            </w:pPr>
            <w:r w:rsidRPr="003F1D05">
              <w:rPr>
                <w:rFonts w:ascii="Times New Roman" w:eastAsiaTheme="minorEastAsia" w:hAnsi="Times New Roman" w:cs="Times New Roman" w:hint="eastAsia"/>
                <w:color w:val="000000" w:themeColor="text1"/>
                <w:sz w:val="24"/>
                <w:szCs w:val="24"/>
                <w:lang w:eastAsia="ko-KR"/>
              </w:rPr>
              <w:t>-.35</w:t>
            </w:r>
          </w:p>
        </w:tc>
        <w:tc>
          <w:tcPr>
            <w:tcW w:w="515" w:type="pct"/>
          </w:tcPr>
          <w:p w14:paraId="210B6FB7"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-1.51</w:t>
            </w:r>
          </w:p>
        </w:tc>
        <w:tc>
          <w:tcPr>
            <w:tcW w:w="306" w:type="pct"/>
          </w:tcPr>
          <w:p w14:paraId="4EC97BF2"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139</w:t>
            </w:r>
          </w:p>
        </w:tc>
        <w:tc>
          <w:tcPr>
            <w:tcW w:w="274" w:type="pct"/>
          </w:tcPr>
          <w:p w14:paraId="22A4E329"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.13</w:t>
            </w:r>
          </w:p>
        </w:tc>
      </w:tr>
      <w:tr w:rsidR="00707884" w:rsidRPr="003F1D05" w14:paraId="47534401" w14:textId="77777777" w:rsidTr="00723A39">
        <w:tc>
          <w:tcPr>
            <w:tcW w:w="348" w:type="pct"/>
          </w:tcPr>
          <w:p w14:paraId="09A07AB9"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34</w:t>
            </w:r>
          </w:p>
        </w:tc>
        <w:tc>
          <w:tcPr>
            <w:tcW w:w="515" w:type="pct"/>
          </w:tcPr>
          <w:p w14:paraId="6C90AFFF"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HL</w:t>
            </w:r>
          </w:p>
        </w:tc>
        <w:tc>
          <w:tcPr>
            <w:tcW w:w="380" w:type="pct"/>
          </w:tcPr>
          <w:p w14:paraId="05BCAA99"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2.62</w:t>
            </w:r>
          </w:p>
        </w:tc>
        <w:tc>
          <w:tcPr>
            <w:tcW w:w="494" w:type="pct"/>
          </w:tcPr>
          <w:p w14:paraId="31E964DB"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.18</w:t>
            </w:r>
          </w:p>
        </w:tc>
        <w:tc>
          <w:tcPr>
            <w:tcW w:w="508" w:type="pct"/>
          </w:tcPr>
          <w:p w14:paraId="61CF0504"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L2</w:t>
            </w:r>
          </w:p>
        </w:tc>
        <w:tc>
          <w:tcPr>
            <w:tcW w:w="380" w:type="pct"/>
          </w:tcPr>
          <w:p w14:paraId="5E005407"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2.36</w:t>
            </w:r>
          </w:p>
        </w:tc>
        <w:tc>
          <w:tcPr>
            <w:tcW w:w="494" w:type="pct"/>
          </w:tcPr>
          <w:p w14:paraId="4DA467C2"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.16</w:t>
            </w:r>
          </w:p>
        </w:tc>
        <w:tc>
          <w:tcPr>
            <w:tcW w:w="784" w:type="pct"/>
          </w:tcPr>
          <w:p w14:paraId="372D67CD" w14:textId="77777777" w:rsidR="00707884" w:rsidRPr="003F1D05" w:rsidRDefault="00707884" w:rsidP="00723A39">
            <w:pPr>
              <w:spacing w:line="480" w:lineRule="auto"/>
              <w:rPr>
                <w:rFonts w:ascii="Times New Roman" w:eastAsiaTheme="minorEastAsia" w:hAnsi="Times New Roman" w:cs="Times New Roman"/>
                <w:color w:val="000000" w:themeColor="text1"/>
                <w:sz w:val="24"/>
                <w:szCs w:val="24"/>
                <w:lang w:eastAsia="ko-KR"/>
              </w:rPr>
            </w:pPr>
            <w:r w:rsidRPr="003F1D05">
              <w:rPr>
                <w:rFonts w:ascii="Times New Roman" w:eastAsiaTheme="minorEastAsia" w:hAnsi="Times New Roman" w:cs="Times New Roman" w:hint="eastAsia"/>
                <w:color w:val="000000" w:themeColor="text1"/>
                <w:sz w:val="24"/>
                <w:szCs w:val="24"/>
                <w:lang w:eastAsia="ko-KR"/>
              </w:rPr>
              <w:t>.26</w:t>
            </w:r>
          </w:p>
        </w:tc>
        <w:tc>
          <w:tcPr>
            <w:tcW w:w="515" w:type="pct"/>
          </w:tcPr>
          <w:p w14:paraId="63F3F3A5"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1.07</w:t>
            </w:r>
          </w:p>
        </w:tc>
        <w:tc>
          <w:tcPr>
            <w:tcW w:w="306" w:type="pct"/>
          </w:tcPr>
          <w:p w14:paraId="20D6E86B"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138</w:t>
            </w:r>
          </w:p>
        </w:tc>
        <w:tc>
          <w:tcPr>
            <w:tcW w:w="274" w:type="pct"/>
          </w:tcPr>
          <w:p w14:paraId="6F9F24CA"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.28</w:t>
            </w:r>
          </w:p>
        </w:tc>
      </w:tr>
      <w:tr w:rsidR="00707884" w:rsidRPr="003F1D05" w14:paraId="101D861B" w14:textId="77777777" w:rsidTr="00723A39">
        <w:tc>
          <w:tcPr>
            <w:tcW w:w="348" w:type="pct"/>
          </w:tcPr>
          <w:p w14:paraId="6064C67C"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35</w:t>
            </w:r>
          </w:p>
        </w:tc>
        <w:tc>
          <w:tcPr>
            <w:tcW w:w="515" w:type="pct"/>
          </w:tcPr>
          <w:p w14:paraId="151F6103"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HL</w:t>
            </w:r>
          </w:p>
        </w:tc>
        <w:tc>
          <w:tcPr>
            <w:tcW w:w="380" w:type="pct"/>
          </w:tcPr>
          <w:p w14:paraId="6FD95B05"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1.65</w:t>
            </w:r>
          </w:p>
        </w:tc>
        <w:tc>
          <w:tcPr>
            <w:tcW w:w="494" w:type="pct"/>
          </w:tcPr>
          <w:p w14:paraId="0085D218"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.17</w:t>
            </w:r>
          </w:p>
        </w:tc>
        <w:tc>
          <w:tcPr>
            <w:tcW w:w="508" w:type="pct"/>
          </w:tcPr>
          <w:p w14:paraId="28D99F30"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L2</w:t>
            </w:r>
          </w:p>
        </w:tc>
        <w:tc>
          <w:tcPr>
            <w:tcW w:w="380" w:type="pct"/>
          </w:tcPr>
          <w:p w14:paraId="3FBCBE51"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1.19</w:t>
            </w:r>
          </w:p>
        </w:tc>
        <w:tc>
          <w:tcPr>
            <w:tcW w:w="494" w:type="pct"/>
          </w:tcPr>
          <w:p w14:paraId="46DE1283"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.15</w:t>
            </w:r>
          </w:p>
        </w:tc>
        <w:tc>
          <w:tcPr>
            <w:tcW w:w="784" w:type="pct"/>
          </w:tcPr>
          <w:p w14:paraId="50790F18" w14:textId="77777777" w:rsidR="00707884" w:rsidRPr="003F1D05" w:rsidRDefault="00707884" w:rsidP="00723A39">
            <w:pPr>
              <w:spacing w:line="480" w:lineRule="auto"/>
              <w:rPr>
                <w:rFonts w:ascii="Times New Roman" w:eastAsiaTheme="minorEastAsia" w:hAnsi="Times New Roman" w:cs="Times New Roman"/>
                <w:color w:val="000000" w:themeColor="text1"/>
                <w:sz w:val="24"/>
                <w:szCs w:val="24"/>
                <w:lang w:eastAsia="ko-KR"/>
              </w:rPr>
            </w:pPr>
            <w:r w:rsidRPr="003F1D05">
              <w:rPr>
                <w:rFonts w:ascii="Times New Roman" w:eastAsiaTheme="minorEastAsia" w:hAnsi="Times New Roman" w:cs="Times New Roman" w:hint="eastAsia"/>
                <w:color w:val="000000" w:themeColor="text1"/>
                <w:sz w:val="24"/>
                <w:szCs w:val="24"/>
                <w:lang w:eastAsia="ko-KR"/>
              </w:rPr>
              <w:t>.46</w:t>
            </w:r>
          </w:p>
        </w:tc>
        <w:tc>
          <w:tcPr>
            <w:tcW w:w="515" w:type="pct"/>
          </w:tcPr>
          <w:p w14:paraId="4F44EDF3"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1.99</w:t>
            </w:r>
          </w:p>
        </w:tc>
        <w:tc>
          <w:tcPr>
            <w:tcW w:w="306" w:type="pct"/>
          </w:tcPr>
          <w:p w14:paraId="22696224"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138</w:t>
            </w:r>
          </w:p>
        </w:tc>
        <w:tc>
          <w:tcPr>
            <w:tcW w:w="274" w:type="pct"/>
          </w:tcPr>
          <w:p w14:paraId="3FE6B0E8"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.05</w:t>
            </w:r>
          </w:p>
        </w:tc>
      </w:tr>
      <w:tr w:rsidR="00707884" w:rsidRPr="003F1D05" w14:paraId="03CB10E8" w14:textId="77777777" w:rsidTr="00723A39">
        <w:tc>
          <w:tcPr>
            <w:tcW w:w="348" w:type="pct"/>
            <w:tcBorders>
              <w:bottom w:val="single" w:sz="4" w:space="0" w:color="auto"/>
            </w:tcBorders>
          </w:tcPr>
          <w:p w14:paraId="57AE7AC5"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36</w:t>
            </w:r>
          </w:p>
        </w:tc>
        <w:tc>
          <w:tcPr>
            <w:tcW w:w="515" w:type="pct"/>
            <w:tcBorders>
              <w:bottom w:val="single" w:sz="4" w:space="0" w:color="auto"/>
            </w:tcBorders>
          </w:tcPr>
          <w:p w14:paraId="5BA8C3E9"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HL</w:t>
            </w:r>
          </w:p>
        </w:tc>
        <w:tc>
          <w:tcPr>
            <w:tcW w:w="380" w:type="pct"/>
            <w:tcBorders>
              <w:bottom w:val="single" w:sz="4" w:space="0" w:color="auto"/>
            </w:tcBorders>
          </w:tcPr>
          <w:p w14:paraId="7470B482"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2.14</w:t>
            </w:r>
          </w:p>
        </w:tc>
        <w:tc>
          <w:tcPr>
            <w:tcW w:w="494" w:type="pct"/>
            <w:tcBorders>
              <w:bottom w:val="single" w:sz="4" w:space="0" w:color="auto"/>
            </w:tcBorders>
          </w:tcPr>
          <w:p w14:paraId="22C9CA87"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.18</w:t>
            </w:r>
          </w:p>
        </w:tc>
        <w:tc>
          <w:tcPr>
            <w:tcW w:w="508" w:type="pct"/>
            <w:tcBorders>
              <w:bottom w:val="single" w:sz="4" w:space="0" w:color="auto"/>
            </w:tcBorders>
          </w:tcPr>
          <w:p w14:paraId="326B54B7"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L2</w:t>
            </w:r>
          </w:p>
        </w:tc>
        <w:tc>
          <w:tcPr>
            <w:tcW w:w="380" w:type="pct"/>
            <w:tcBorders>
              <w:bottom w:val="single" w:sz="4" w:space="0" w:color="auto"/>
            </w:tcBorders>
          </w:tcPr>
          <w:p w14:paraId="5A9DC8BF"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1.67</w:t>
            </w:r>
          </w:p>
        </w:tc>
        <w:tc>
          <w:tcPr>
            <w:tcW w:w="494" w:type="pct"/>
            <w:tcBorders>
              <w:bottom w:val="single" w:sz="4" w:space="0" w:color="auto"/>
            </w:tcBorders>
          </w:tcPr>
          <w:p w14:paraId="722B202D"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.16</w:t>
            </w:r>
          </w:p>
        </w:tc>
        <w:tc>
          <w:tcPr>
            <w:tcW w:w="784" w:type="pct"/>
            <w:tcBorders>
              <w:bottom w:val="single" w:sz="4" w:space="0" w:color="auto"/>
            </w:tcBorders>
          </w:tcPr>
          <w:p w14:paraId="7B7E418D" w14:textId="77777777" w:rsidR="00707884" w:rsidRPr="003F1D05" w:rsidRDefault="00707884" w:rsidP="00723A39">
            <w:pPr>
              <w:spacing w:line="480" w:lineRule="auto"/>
              <w:rPr>
                <w:rFonts w:ascii="Times New Roman" w:eastAsiaTheme="minorEastAsia" w:hAnsi="Times New Roman" w:cs="Times New Roman"/>
                <w:color w:val="000000" w:themeColor="text1"/>
                <w:sz w:val="24"/>
                <w:szCs w:val="24"/>
                <w:lang w:eastAsia="ko-KR"/>
              </w:rPr>
            </w:pPr>
            <w:r w:rsidRPr="003F1D05">
              <w:rPr>
                <w:rFonts w:ascii="Times New Roman" w:eastAsiaTheme="minorEastAsia" w:hAnsi="Times New Roman" w:cs="Times New Roman" w:hint="eastAsia"/>
                <w:color w:val="000000" w:themeColor="text1"/>
                <w:sz w:val="24"/>
                <w:szCs w:val="24"/>
                <w:lang w:eastAsia="ko-KR"/>
              </w:rPr>
              <w:t>.47</w:t>
            </w:r>
          </w:p>
        </w:tc>
        <w:tc>
          <w:tcPr>
            <w:tcW w:w="515" w:type="pct"/>
            <w:tcBorders>
              <w:bottom w:val="single" w:sz="4" w:space="0" w:color="auto"/>
            </w:tcBorders>
          </w:tcPr>
          <w:p w14:paraId="35A5AAF2"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1.97</w:t>
            </w:r>
          </w:p>
        </w:tc>
        <w:tc>
          <w:tcPr>
            <w:tcW w:w="306" w:type="pct"/>
            <w:tcBorders>
              <w:bottom w:val="single" w:sz="4" w:space="0" w:color="auto"/>
            </w:tcBorders>
          </w:tcPr>
          <w:p w14:paraId="2F9BCEF8"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hint="eastAsia"/>
                <w:sz w:val="24"/>
                <w:szCs w:val="24"/>
                <w:lang w:eastAsia="ko-KR"/>
              </w:rPr>
              <w:t>137</w:t>
            </w:r>
          </w:p>
        </w:tc>
        <w:tc>
          <w:tcPr>
            <w:tcW w:w="274" w:type="pct"/>
            <w:tcBorders>
              <w:bottom w:val="single" w:sz="4" w:space="0" w:color="auto"/>
            </w:tcBorders>
          </w:tcPr>
          <w:p w14:paraId="075FDDC2" w14:textId="77777777" w:rsidR="00707884" w:rsidRPr="003F1D05" w:rsidRDefault="00707884" w:rsidP="00723A39">
            <w:pPr>
              <w:spacing w:line="480" w:lineRule="auto"/>
              <w:rPr>
                <w:rFonts w:ascii="Times New Roman" w:eastAsiaTheme="minorEastAsia" w:hAnsi="Times New Roman" w:cs="Times New Roman"/>
                <w:sz w:val="24"/>
                <w:szCs w:val="24"/>
                <w:lang w:eastAsia="ko-KR"/>
              </w:rPr>
            </w:pPr>
            <w:r w:rsidRPr="003F1D05">
              <w:rPr>
                <w:rFonts w:ascii="Times New Roman" w:eastAsiaTheme="minorEastAsia" w:hAnsi="Times New Roman" w:cs="Times New Roman"/>
                <w:sz w:val="24"/>
                <w:szCs w:val="24"/>
                <w:lang w:eastAsia="ko-KR"/>
              </w:rPr>
              <w:t>.05</w:t>
            </w:r>
          </w:p>
        </w:tc>
      </w:tr>
    </w:tbl>
    <w:p w14:paraId="205434F4" w14:textId="77777777" w:rsidR="00707884" w:rsidRPr="008E59C5" w:rsidRDefault="00707884" w:rsidP="00707884">
      <w:pPr>
        <w:spacing w:after="0" w:line="480" w:lineRule="auto"/>
        <w:rPr>
          <w:rFonts w:ascii="Times New Roman" w:hAnsi="Times New Roman" w:cs="Times New Roman"/>
          <w:iCs/>
          <w:sz w:val="24"/>
          <w:szCs w:val="24"/>
          <w:lang w:eastAsia="ko-KR"/>
        </w:rPr>
      </w:pPr>
      <w:r>
        <w:rPr>
          <w:rFonts w:ascii="Times New Roman" w:hAnsi="Times New Roman" w:cs="Times New Roman"/>
          <w:i/>
          <w:sz w:val="24"/>
          <w:szCs w:val="24"/>
          <w:lang w:eastAsia="ko-KR"/>
        </w:rPr>
        <w:t xml:space="preserve">Note. </w:t>
      </w:r>
      <w:r>
        <w:rPr>
          <w:rFonts w:ascii="Times New Roman" w:hAnsi="Times New Roman" w:cs="Times New Roman"/>
          <w:iCs/>
          <w:sz w:val="24"/>
          <w:szCs w:val="24"/>
          <w:lang w:eastAsia="ko-KR"/>
        </w:rPr>
        <w:t>DIF contrast greater than .64 is indicated with bolding.</w:t>
      </w:r>
    </w:p>
    <w:p w14:paraId="59802F9C" w14:textId="77777777" w:rsidR="00707884" w:rsidRDefault="00707884" w:rsidP="00707884">
      <w:pPr>
        <w:spacing w:after="0" w:line="480" w:lineRule="auto"/>
        <w:ind w:firstLine="720"/>
        <w:rPr>
          <w:rFonts w:ascii="Times New Roman" w:hAnsi="Times New Roman" w:cs="Times New Roman"/>
          <w:sz w:val="24"/>
          <w:szCs w:val="24"/>
        </w:rPr>
      </w:pPr>
    </w:p>
    <w:p w14:paraId="25AF4BA4" w14:textId="77777777" w:rsidR="00707884" w:rsidRDefault="00707884" w:rsidP="00707884">
      <w:pPr>
        <w:spacing w:after="0" w:line="480" w:lineRule="auto"/>
        <w:rPr>
          <w:rFonts w:ascii="Times New Roman" w:hAnsi="Times New Roman" w:cs="Times New Roman"/>
          <w:sz w:val="24"/>
          <w:szCs w:val="24"/>
          <w:lang w:eastAsia="ko-KR"/>
        </w:rPr>
      </w:pPr>
    </w:p>
    <w:p w14:paraId="50F58F7E" w14:textId="77777777" w:rsidR="00707884" w:rsidRDefault="00707884" w:rsidP="00707884"/>
    <w:p w14:paraId="0789E71D" w14:textId="77777777" w:rsidR="00707884" w:rsidRDefault="00707884"/>
    <w:sectPr w:rsidR="00707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84"/>
    <w:rsid w:val="00180B39"/>
    <w:rsid w:val="0057575C"/>
    <w:rsid w:val="00707884"/>
    <w:rsid w:val="00B931B1"/>
    <w:rsid w:val="00C34608"/>
    <w:rsid w:val="00CB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C068"/>
  <w15:chartTrackingRefBased/>
  <w15:docId w15:val="{432F9ABC-0CEC-4131-9553-0896E810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884"/>
    <w:pPr>
      <w:spacing w:after="0" w:line="240" w:lineRule="auto"/>
    </w:pPr>
    <w:rPr>
      <w:rFonts w:eastAsia="Batan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Solon</dc:creator>
  <cp:keywords/>
  <dc:description/>
  <cp:lastModifiedBy>Megan Solon</cp:lastModifiedBy>
  <cp:revision>4</cp:revision>
  <dcterms:created xsi:type="dcterms:W3CDTF">2021-10-07T13:36:00Z</dcterms:created>
  <dcterms:modified xsi:type="dcterms:W3CDTF">2021-10-11T16:01:00Z</dcterms:modified>
</cp:coreProperties>
</file>