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5E6A" w14:textId="77777777" w:rsidR="0020025F" w:rsidRDefault="0020025F" w:rsidP="0020025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Materials A: 110 Coded Studies</w:t>
      </w:r>
    </w:p>
    <w:tbl>
      <w:tblPr>
        <w:tblW w:w="8010" w:type="dxa"/>
        <w:tblLook w:val="04A0" w:firstRow="1" w:lastRow="0" w:firstColumn="1" w:lastColumn="0" w:noHBand="0" w:noVBand="1"/>
      </w:tblPr>
      <w:tblGrid>
        <w:gridCol w:w="6300"/>
        <w:gridCol w:w="1710"/>
      </w:tblGrid>
      <w:tr w:rsidR="0020025F" w:rsidRPr="00A223B7" w14:paraId="3E732EFC" w14:textId="77777777" w:rsidTr="00862180">
        <w:trPr>
          <w:trHeight w:val="54"/>
        </w:trPr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CEDA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64EA1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20025F" w:rsidRPr="00A223B7" w14:paraId="10EBEA2F" w14:textId="77777777" w:rsidTr="00862180">
        <w:trPr>
          <w:trHeight w:val="5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51BD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Albaladejo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Albaladejo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Coyle, &amp; Roca de Larios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9FD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278DA290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BB1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CDC5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0169AF8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2478C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Boers, Dang, &amp; Strong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FD2E1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687DF9B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F5A7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Boers,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Demecheleer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Coxhead, &amp; Webb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005F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1A684DE7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23DC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Boers,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Eyckmans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Stengers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8894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0025F" w:rsidRPr="00A223B7" w14:paraId="7E179C07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6538" w14:textId="77777777" w:rsidR="0020025F" w:rsidRPr="002F069D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Boers, Eyckmans, Kappel, Stengers, &amp; Demecheleer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4E811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0025F" w:rsidRPr="00A223B7" w14:paraId="525D50D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C029" w14:textId="77777777" w:rsidR="0020025F" w:rsidRPr="002F069D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Boers, Piquer </w:t>
            </w:r>
            <w:proofErr w:type="spellStart"/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Piriz</w:t>
            </w:r>
            <w:proofErr w:type="spellEnd"/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Stengers</w:t>
            </w:r>
            <w:proofErr w:type="spellEnd"/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&amp; </w:t>
            </w:r>
            <w:proofErr w:type="spellStart"/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Eyckmans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DC67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025F" w:rsidRPr="00A223B7" w14:paraId="7EB4208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2C70E" w14:textId="77777777" w:rsidR="0020025F" w:rsidRPr="002F069D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Busse,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Cenoz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Dalmann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&amp; Rogge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B4F7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2353F467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EF5F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Candry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Decloedt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Eykmans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EE8C1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3D2D4C39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E769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Chang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98B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0025F" w:rsidRPr="00A223B7" w14:paraId="277EB06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FE1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CF0C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7726A6B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47A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Choi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51D2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50459D2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610D3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Fuente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226D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25F" w:rsidRPr="00A223B7" w14:paraId="259ED01E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5D59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de la Fuente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BEF0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0025F" w:rsidRPr="00A223B7" w14:paraId="1BC9DCC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2D52E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Dolean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2E1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6C4C0165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8AA5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Elgort,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Beliaeva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&amp; Boers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CC8B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05269BD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6A77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Eyckmans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Boers,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Lindstromberg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72AE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025F" w:rsidRPr="00A223B7" w14:paraId="7C05AE4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72F9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Farley,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Ramonda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&amp; Liu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9BD3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025F" w:rsidRPr="00A223B7" w14:paraId="3C5259C7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BBA01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Feng &amp; Webb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B748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4A71BA4D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FA77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File &amp; Adams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7728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025F" w:rsidRPr="00A223B7" w14:paraId="592FB6C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EF39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Folse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099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0025F" w:rsidRPr="00A223B7" w14:paraId="6EB146CC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F6D2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Fukkink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Hulstijn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&amp; Simis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A50B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0025F" w:rsidRPr="00A223B7" w14:paraId="6DF4BDE5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BF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Gablasova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164F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1C2D8DBC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5FB4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Alverez Torres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644E4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0025F" w:rsidRPr="00A223B7" w14:paraId="7278EAC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333E6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Hirschel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Fritz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C6C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025F" w:rsidRPr="00A223B7" w14:paraId="4D2F409C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2D0E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Huang &amp; Lin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D50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4F3A7969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71D2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Huang, Kim, &amp; Christianson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15444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002F432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A0A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Hulstijn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Laufer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71D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0025F" w:rsidRPr="00A223B7" w14:paraId="39B746A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F5D1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Hummel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4C13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025F" w:rsidRPr="00A223B7" w14:paraId="16AE5F6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2EAA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0F9D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22A9081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F2DF7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Kaplan_Rakowski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Loranc-Paszylk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32902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5150541B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9514C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Kasahara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A7BF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0025F" w:rsidRPr="00A223B7" w14:paraId="34E24615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6442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Khezrlou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Ellis, Sadeghi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E04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0DCFDA6D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6D3E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6C6A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0025F" w:rsidRPr="00A223B7" w14:paraId="4E1DA46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2E5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D6F9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0025F" w:rsidRPr="00A223B7" w14:paraId="30552B80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F88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297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0025F" w:rsidRPr="00A223B7" w14:paraId="47CD59BE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A2D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Laufer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Rozovski-Roitblat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0E0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0025F" w:rsidRPr="00A223B7" w14:paraId="0C8F162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8AC23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 &amp; Levine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739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5E5D620D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069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Lee &amp; Lin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F8E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7F5F7EB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7660A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 &amp; Muncie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254E4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0025F" w:rsidRPr="00A223B7" w14:paraId="681EB3D7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8AF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Macaro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16C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025F" w:rsidRPr="00A223B7" w14:paraId="14E253EC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6351D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Lee &amp; Pulido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9CF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3BF9AA4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A544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 &amp; Tong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30C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5889A910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00B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6829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025F" w:rsidRPr="00A223B7" w14:paraId="3708ECF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79F2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Malone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295C7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6E52F39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80C0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Mancilla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-Martinez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821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025F" w:rsidRPr="00A223B7" w14:paraId="3916126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C10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Mizumoto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Takeuchi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4BCA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025F" w:rsidRPr="00A223B7" w14:paraId="11CAA39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F5E8" w14:textId="77777777" w:rsidR="0020025F" w:rsidRPr="002F069D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Moonen, de Graaf, Westhoff, &amp; Brekelmans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86F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2A7BCB3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2E6C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Morimoto &amp; Loewen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ADE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0025F" w:rsidRPr="00A223B7" w14:paraId="36AB4AB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E0D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Moskovsky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Jiang,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&amp; Fagan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108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2AB8079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F40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Nakata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73DB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0025F" w:rsidRPr="00A223B7" w14:paraId="410D144C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767A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Nakata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1001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2015b</w:t>
            </w:r>
          </w:p>
        </w:tc>
      </w:tr>
      <w:tr w:rsidR="0020025F" w:rsidRPr="00A223B7" w14:paraId="07CB115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8C5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Nakata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3B7B3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178A25E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40840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Nakata &amp; Suzuki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D3F16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65FE5E6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CF2E0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Nakata &amp; Webb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E3AB1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025F" w:rsidRPr="00A223B7" w14:paraId="7D9730F9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A2C3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Nassaji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F5E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025F" w:rsidRPr="00A223B7" w14:paraId="68CC052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EB80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Nguyen &amp; Boers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53EF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1B6B332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FFB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Niu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Helms-Park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897F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4B7B724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721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Ong &amp; Zhang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DF6A1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4D3E654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F38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Pattemore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Pr="00180E6E">
              <w:rPr>
                <w:rFonts w:ascii="Times New Roman" w:eastAsia="Times New Roman" w:hAnsi="Times New Roman" w:cs="Times New Roman"/>
                <w:sz w:val="24"/>
                <w:szCs w:val="24"/>
              </w:rPr>
              <w:t>Muñoz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CE8D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38B8E0D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9D26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9AFC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1721E830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AFB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Perez, Peters,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DE1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4BA0CC6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5314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Peters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FA2AE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43593D6B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E962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30239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4143B1C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5FD53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Peters &amp; Webb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2FA0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7852BEC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7F39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Pham, Donovan, Dam,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Contant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A872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20C59EFC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CEBCD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2CE">
              <w:rPr>
                <w:rFonts w:ascii="Times New Roman" w:eastAsia="Times New Roman" w:hAnsi="Times New Roman" w:cs="Times New Roman"/>
                <w:sz w:val="24"/>
                <w:szCs w:val="24"/>
              </w:rPr>
              <w:t>Puimège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Peters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ECA5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15EB816F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FD8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Rassaei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B9FBB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13EF2789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1312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Rassaei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78DFF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1CC50F22" w14:textId="77777777" w:rsidTr="00862180">
        <w:trPr>
          <w:trHeight w:val="31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C7993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Reynolds &amp; Shih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EF31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228E4F3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472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Rodriguez &amp; Sadoski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02E5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0025F" w:rsidRPr="00A223B7" w14:paraId="7762D1E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0DC3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Rogers &amp; Cheung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E47BD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0352CB5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BC1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Rogers, Webb, Nakata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BB44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78647D35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E8AF7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Rott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E379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0025F" w:rsidRPr="00A223B7" w14:paraId="226945A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45BCE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Rott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Williams, &amp; Cameron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C9ED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25F" w:rsidRPr="00A223B7" w14:paraId="19C92B0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1756D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Saeedakhtar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&amp; Abdi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2B01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527F354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B35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Sagarra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Alba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49CC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0025F" w:rsidRPr="00A223B7" w14:paraId="2DECD5FB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C3E2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Saito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98269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025F" w:rsidRPr="00A223B7" w14:paraId="02D73BD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BDD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Saito &amp; Wu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5FCF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025F" w:rsidRPr="00A223B7" w14:paraId="68A48B6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EACD3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Schuetze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8E3B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635A572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55A9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Shen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14114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025F" w:rsidRPr="00A223B7" w14:paraId="3D5A3E6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E90E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Shintani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623A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0025F" w:rsidRPr="00A223B7" w14:paraId="2F2B811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245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Shintani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2FA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025F" w:rsidRPr="00A223B7" w14:paraId="383A2784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3961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Shintani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18E7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025F" w:rsidRPr="00A223B7" w14:paraId="6EBB4415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AC56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Showalter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2C63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51BE74DA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CFA5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rrano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Huang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A3B7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6EB45749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B31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Strong &amp; Boers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3BE9D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0CB6D38B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58BF3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6A9A3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6A59768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42C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Tian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Macaro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3B5FC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025F" w:rsidRPr="00A223B7" w14:paraId="513F4CD3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63F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Toomer &amp; Elgort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CF065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025F" w:rsidRPr="00A223B7" w14:paraId="68C661A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175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Traxler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Nakatsukasa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3328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29C46419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CF9C5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6B397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534D142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0EE6B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Tseng, Liu, &amp; Chou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768D2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4072760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4001" w14:textId="77777777" w:rsidR="0020025F" w:rsidRPr="002F069D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F069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Van Den Broek, Takashima, Segers, &amp; Verhoeven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568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25F" w:rsidRPr="00A223B7" w14:paraId="5C3E591D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9D20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Verspoor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Lowie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6790B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0025F" w:rsidRPr="00A223B7" w14:paraId="3D33C53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8E4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Walters &amp; Bozkurt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B3A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025F" w:rsidRPr="00A223B7" w14:paraId="16ACD446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0B322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Webb &amp; Chang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DA0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025F" w:rsidRPr="00A223B7" w14:paraId="7D687D3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84ED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50D34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0025F" w:rsidRPr="00A223B7" w14:paraId="2F0F072D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EA5D" w14:textId="77777777" w:rsidR="0020025F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Webb &amp; Chang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6CDB9" w14:textId="77777777" w:rsidR="0020025F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2A657AA8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3226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Webb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Kagimoto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CFB6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025F" w:rsidRPr="00A223B7" w14:paraId="100C2B6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4983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Webb, Newton, &amp; Chang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3EF32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025F" w:rsidRPr="00A223B7" w14:paraId="36536BA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F664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Wei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1F1D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025F" w:rsidRPr="00A223B7" w14:paraId="2AE0CC1E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5065C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1CF77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43ADEA8B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641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Yang,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Shintani</w:t>
            </w:r>
            <w:proofErr w:type="spellEnd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, Li, &amp; Zhang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4250B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0011CEC1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9E48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Yasuda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E416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025F" w:rsidRPr="00A223B7" w14:paraId="1E4D6A3E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736B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Yilmaz &amp; </w:t>
            </w: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Yuksel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9748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0025F" w:rsidRPr="00A223B7" w14:paraId="0782266B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19222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Yu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FF26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025F" w:rsidRPr="00A223B7" w14:paraId="199AB45E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88CAC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Zhang &amp; Graham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6600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25F" w:rsidRPr="00A223B7" w14:paraId="2BBD7F80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2D9F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Zou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124CD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025F" w:rsidRPr="00A223B7" w14:paraId="0255B222" w14:textId="77777777" w:rsidTr="00862180">
        <w:trPr>
          <w:trHeight w:val="6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11FBA" w14:textId="77777777" w:rsidR="0020025F" w:rsidRPr="00A223B7" w:rsidRDefault="0020025F" w:rsidP="008621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Zyzik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EE53" w14:textId="77777777" w:rsidR="0020025F" w:rsidRPr="00A223B7" w:rsidRDefault="0020025F" w:rsidP="00862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14:paraId="2C9F7CDF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64B88" w14:textId="77777777" w:rsidR="0020025F" w:rsidRDefault="0020025F" w:rsidP="0020025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C8D0E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08C1440" w14:textId="77777777" w:rsidR="0020025F" w:rsidRDefault="0020025F" w:rsidP="0020025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Materials B: Spearman’s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Assumption Checks</w:t>
      </w:r>
    </w:p>
    <w:p w14:paraId="68F19DA2" w14:textId="0B1454BB" w:rsidR="0020025F" w:rsidRDefault="0020025F" w:rsidP="002002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section contains the results of the assumption checks for the correlation</w:t>
      </w:r>
      <w:r w:rsidR="003B44FC">
        <w:rPr>
          <w:rFonts w:ascii="Times New Roman" w:eastAsia="Times New Roman" w:hAnsi="Times New Roman" w:cs="Times New Roman"/>
          <w:sz w:val="24"/>
          <w:szCs w:val="24"/>
        </w:rPr>
        <w:t>s presented in the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4FC">
        <w:rPr>
          <w:rFonts w:ascii="Times New Roman" w:eastAsia="Times New Roman" w:hAnsi="Times New Roman" w:cs="Times New Roman"/>
          <w:sz w:val="24"/>
          <w:szCs w:val="24"/>
        </w:rPr>
        <w:t xml:space="preserve">(both whole report pool and spilt samples by </w:t>
      </w:r>
      <w:r>
        <w:rPr>
          <w:rFonts w:ascii="Times New Roman" w:eastAsia="Times New Roman" w:hAnsi="Times New Roman" w:cs="Times New Roman"/>
          <w:sz w:val="24"/>
          <w:szCs w:val="24"/>
        </w:rPr>
        <w:t>cluster check analyses</w:t>
      </w:r>
      <w:r w:rsidR="003B44F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Consider the scatterplot in Figure B1, which illustrates an extreme example of monotonicity violation when a binary 1/0 variable is correlated with a ranked year variable. The scatterplot shows that the reports rated as “1” (i.e.,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have a negative association from 2000 until 2005-2015 but then a negative from 2015 to 2000. This data violates the assumption of monotonicity because a line of fit decreases and then increases in value when connecting the data points. Alternatively, Figure B2 highlights a perfect monotonic association, whereby the reports published before 2010 were ranked “0” (i.e.,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the reports published after 2010 were ranked “1” (i.e.,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In this case the line of fit is monotonic because it </w:t>
      </w:r>
      <w:r w:rsidR="003B44FC">
        <w:rPr>
          <w:rFonts w:ascii="Times New Roman" w:eastAsia="Times New Roman" w:hAnsi="Times New Roman" w:cs="Times New Roman"/>
          <w:sz w:val="24"/>
          <w:szCs w:val="24"/>
        </w:rPr>
        <w:t>maintains a positive association with no clear change of direction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94D82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inline distT="114300" distB="114300" distL="114300" distR="114300" wp14:anchorId="0D84FC98" wp14:editId="41DB0E6A">
            <wp:extent cx="4581525" cy="27432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F3F27" w14:textId="55CAE8A0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B1. Extreme violation of monotonic assumption</w:t>
      </w:r>
    </w:p>
    <w:p w14:paraId="0606AD96" w14:textId="741DC6D0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114300" distB="114300" distL="114300" distR="114300" wp14:anchorId="0BC4BF05" wp14:editId="15E0D35F">
            <wp:extent cx="4799515" cy="2873722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9515" cy="2873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E14FB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B2. Perfect Monotonic Association.</w:t>
      </w:r>
    </w:p>
    <w:p w14:paraId="3B247726" w14:textId="77777777" w:rsidR="0020025F" w:rsidRDefault="0020025F" w:rsidP="002002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Figures B3 through B5 display the relationships between and time and sample-size planning, time and random assignment, and time and multi-site sample use respectively. These scatterplots reveal no clear violation of the monotonicity assumption. The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coefficient in a general sense empirically assesses the assumption where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 equates to a perfect monotonic association (Field, 2018) and thus the assumption is somewhat weak as highlighted by Glass (1965).</w:t>
      </w:r>
    </w:p>
    <w:p w14:paraId="00FBB45E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inline distT="114300" distB="114300" distL="114300" distR="114300" wp14:anchorId="6D19B1F6" wp14:editId="0DCD0B07">
            <wp:extent cx="4872038" cy="3037216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3037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3192B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B3. Time and effect size-driven sample size planning</w:t>
      </w:r>
    </w:p>
    <w:p w14:paraId="5029681A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inline distT="114300" distB="114300" distL="114300" distR="114300" wp14:anchorId="0E2CCB4F" wp14:editId="67805F47">
            <wp:extent cx="4869610" cy="291569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9610" cy="2915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B9ECF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B4. Time and random assignment</w:t>
      </w:r>
    </w:p>
    <w:p w14:paraId="0A586496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114300" distB="114300" distL="114300" distR="114300" wp14:anchorId="42D40EDE" wp14:editId="5C4B3FF3">
            <wp:extent cx="4862513" cy="325999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325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78BDB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B5. Time and Multi-Site Sample Use </w:t>
      </w:r>
    </w:p>
    <w:p w14:paraId="2E5D47B2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44A4F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39FF4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C12A8" w14:textId="77777777" w:rsidR="0020025F" w:rsidRDefault="0020025F" w:rsidP="0020025F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7487A8" w14:textId="77777777" w:rsidR="00C41798" w:rsidRDefault="00C41798"/>
    <w:sectPr w:rsidR="00C417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5F"/>
    <w:rsid w:val="00003484"/>
    <w:rsid w:val="0020025F"/>
    <w:rsid w:val="003B44FC"/>
    <w:rsid w:val="004A0B96"/>
    <w:rsid w:val="006B6E7B"/>
    <w:rsid w:val="00AE3F06"/>
    <w:rsid w:val="00C2775A"/>
    <w:rsid w:val="00C41798"/>
    <w:rsid w:val="00D00DE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554A"/>
  <w15:chartTrackingRefBased/>
  <w15:docId w15:val="{9DC6B03D-B9CE-4687-8E19-AF30FB6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5F"/>
    <w:pPr>
      <w:spacing w:after="0" w:line="276" w:lineRule="auto"/>
    </w:pPr>
    <w:rPr>
      <w:rFonts w:ascii="Arial" w:eastAsia="Arial" w:hAnsi="Arial" w:cs="Arial"/>
      <w:lang w:val="e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FC"/>
    <w:rPr>
      <w:rFonts w:ascii="Arial" w:eastAsia="Arial" w:hAnsi="Arial" w:cs="Arial"/>
      <w:sz w:val="20"/>
      <w:szCs w:val="20"/>
      <w:lang w:val="en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FC"/>
    <w:rPr>
      <w:rFonts w:ascii="Arial" w:eastAsia="Arial" w:hAnsi="Arial" w:cs="Arial"/>
      <w:b/>
      <w:bCs/>
      <w:sz w:val="20"/>
      <w:szCs w:val="20"/>
      <w:lang w:val="e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FC"/>
    <w:rPr>
      <w:rFonts w:ascii="Segoe UI" w:eastAsia="Arial" w:hAnsi="Segoe UI" w:cs="Segoe UI"/>
      <w:sz w:val="18"/>
      <w:szCs w:val="18"/>
      <w:lang w:val="e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VITTA PAUL JOSEPH</cp:lastModifiedBy>
  <cp:revision>3</cp:revision>
  <dcterms:created xsi:type="dcterms:W3CDTF">2021-07-02T07:43:00Z</dcterms:created>
  <dcterms:modified xsi:type="dcterms:W3CDTF">2021-07-03T11:49:00Z</dcterms:modified>
</cp:coreProperties>
</file>