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C6C29" w:rsidRDefault="00CC6C29" w:rsidP="00CC6C29">
      <w:pPr>
        <w:pStyle w:val="Title"/>
        <w:spacing w:before="0" w:after="120" w:line="240" w:lineRule="auto"/>
      </w:pPr>
      <w:r>
        <w:t>Appendix</w:t>
      </w:r>
    </w:p>
    <w:p w:rsidR="00CC6C29" w:rsidRDefault="00CC6C29" w:rsidP="00CC6C29">
      <w:pPr>
        <w:pStyle w:val="Heading1"/>
      </w:pPr>
      <w:bookmarkStart w:id="0" w:name="on-line-supplementary-material"/>
      <w:r>
        <w:t>On-line supplementary material</w:t>
      </w:r>
      <w:bookmarkEnd w:id="0"/>
    </w:p>
    <w:p w:rsidR="00CC6C29" w:rsidRDefault="00CC6C29" w:rsidP="00CC6C29">
      <w:pPr>
        <w:pStyle w:val="Heading2"/>
      </w:pPr>
      <w:bookmarkStart w:id="1" w:name="bayesian-data-analysis"/>
      <w:r>
        <w:t>Bayesian data analysis</w:t>
      </w:r>
      <w:bookmarkEnd w:id="1"/>
    </w:p>
    <w:p w:rsidR="00CC6C29" w:rsidRDefault="00CC6C29" w:rsidP="00CC6C29">
      <w:pPr>
        <w:pStyle w:val="FirstParagraph"/>
      </w:pPr>
      <w:r>
        <w:t xml:space="preserve">This study employs Bayesian Data Analysis for quantitative inferential statistics. </w:t>
      </w:r>
      <w:bookmarkStart w:id="2" w:name="_GoBack"/>
      <w:bookmarkEnd w:id="2"/>
      <w:r>
        <w:t xml:space="preserve">Specifically, this implies that we use Bayesian </w:t>
      </w:r>
      <w:r>
        <w:rPr>
          <w:i/>
        </w:rPr>
        <w:t>credible intervals</w:t>
      </w:r>
      <w:r>
        <w:t>—and other metrics—for our statistical inferences. A Bayesian model calculates a posterior distribution, i.e., a distribution of plausible parameter values, given the data, a data-generating model, and any prior information we have about those parameter values. Posterior distributions are computationally costly. For this reason, we use the Hamiltonian Markov Chain Monte Carlo algorithm to obtain a sample that includes thousands of values from the posterior distribution. In practical terms, what this means is that we do not calculate a single point estimate for an effect β like in a traditional frequentist framework, but rather we draw a sample of 4,000 plausible values for β. This allows us to quantify our uncertainty regarding β by summarizing the distribution of those values. We will use four statistics to describe the posterior distribution: (1) the mean, (2) the highest density credible interval (HDI), (3) the proportion of the HDI that falls within a Region of Practical Equivalence (ROPE), and (4) the Maximum Probability of Effect (MPE). The mean provides a point estimate for the distribution. The 95% highest density credible interval provides bounds for the effect. The ROPE designates a region of practical equivalence around a point null value and calculates the proportion of the HDI that falls within this interval.</w:t>
      </w:r>
      <w:r>
        <w:rPr>
          <w:rStyle w:val="FootnoteReference"/>
        </w:rPr>
        <w:footnoteReference w:id="1"/>
      </w:r>
      <w:r>
        <w:t xml:space="preserve"> The MPE calculates the proportion of the </w:t>
      </w:r>
      <w:r>
        <w:lastRenderedPageBreak/>
        <w:t>posterior distribution that is of the median’s sign (or the probability that the effect is positive or negative).</w:t>
      </w:r>
    </w:p>
    <w:p w:rsidR="00CC6C29" w:rsidRDefault="00CC6C29" w:rsidP="00CC6C29">
      <w:pPr>
        <w:pStyle w:val="BodyText"/>
      </w:pPr>
      <w:r>
        <w:t xml:space="preserve">If, for instance, a hypothesis states that β &gt; 0, we judge there is </w:t>
      </w:r>
      <w:r>
        <w:rPr>
          <w:i/>
        </w:rPr>
        <w:t>compelling evidence</w:t>
      </w:r>
      <w:r>
        <w:t xml:space="preserve"> for this hypothesis if the mean point estimate is a positive number, if the 95% HDI of β does not contain 0 and is outside the ROPE, and the posterior </w:t>
      </w:r>
      <w:r>
        <w:rPr>
          <w:i/>
        </w:rPr>
        <w:t>P</w:t>
      </w:r>
      <w:r>
        <w:t xml:space="preserve">(β &gt; 0) is close to one. Together these four statistics allow us to quantify our uncertainty and provide an intuitive interpretation of any given effect. Consider a case in which the posterior mean of β is 100 and the 95% HDI is [40, 160]. The interval tells us that we can be 95% certain the </w:t>
      </w:r>
      <w:r>
        <w:rPr>
          <w:i/>
        </w:rPr>
        <w:t>true</w:t>
      </w:r>
      <w:r>
        <w:t xml:space="preserve"> value of β is between 40 and 160, given the data, our model, and our prior information. Furthermore, the interval allows us to specify areas of uncertainty. In this example, we can conclude that the effect is almost certain to be positive. The lower interval value of 40 tells us that 95% of the plausible values are greater than 40. We also note that the interval covers a wide range of values, thus we also conclude that we are not very certain about the size of the effect. This type of interpretation is not possible under a frequentist paradigm.</w:t>
      </w:r>
    </w:p>
    <w:p w:rsidR="00CC6C29" w:rsidRDefault="00CC6C29" w:rsidP="00CC6C29">
      <w:pPr>
        <w:pStyle w:val="BodyText"/>
      </w:pPr>
      <w:r>
        <w:t>For more information regarding how BDA differs from more traditional frequentist analyses, see Kimball, Shantz, Eager, and Roy (2016). Additionally, Kruschke and Liddell (2018) and Nicenboim and Vasishth (2016) provide tutorials designed for linguists, and Schoot and Depaoli (2014) provides a general presentation of reporting BDA results for the Social Sciences.</w:t>
      </w:r>
    </w:p>
    <w:p w:rsidR="00CC6C29" w:rsidRDefault="00CC6C29" w:rsidP="00CC6C29">
      <w:r>
        <w:br w:type="page"/>
      </w:r>
    </w:p>
    <w:p w:rsidR="00CC6C29" w:rsidRDefault="00CC6C29" w:rsidP="00CC6C29">
      <w:pPr>
        <w:pStyle w:val="Heading2"/>
      </w:pPr>
      <w:bookmarkStart w:id="3" w:name="supplementary-analyses"/>
      <w:r>
        <w:lastRenderedPageBreak/>
        <w:t>Supplementary analyses</w:t>
      </w:r>
      <w:bookmarkEnd w:id="3"/>
    </w:p>
    <w:p w:rsidR="00CC6C29" w:rsidRDefault="00CC6C29" w:rsidP="00CC6C29">
      <w:pPr>
        <w:pStyle w:val="FirstParagraph"/>
      </w:pPr>
      <w:r>
        <w:t xml:space="preserve">In this section we provide additional tables and figures that complement the analysis reported in the </w:t>
      </w:r>
      <w:r>
        <w:rPr>
          <w:i/>
        </w:rPr>
        <w:t>Results</w:t>
      </w:r>
      <w:r>
        <w:t xml:space="preserve"> section of the manuscript. A Bayesian multilevel model was fit to the 2AFC data. Specifically, the formula below modeled the probability of ‘voiceless’ responses as a function of </w:t>
      </w:r>
      <w:r>
        <w:rPr>
          <w:i/>
        </w:rPr>
        <w:t>VOT</w:t>
      </w:r>
      <w:r>
        <w:t xml:space="preserve">, </w:t>
      </w:r>
      <w:r>
        <w:rPr>
          <w:i/>
        </w:rPr>
        <w:t>context</w:t>
      </w:r>
      <w:r>
        <w:t xml:space="preserve">, </w:t>
      </w:r>
      <w:r>
        <w:rPr>
          <w:i/>
        </w:rPr>
        <w:t>z-LexTALE</w:t>
      </w:r>
      <w:r>
        <w:t xml:space="preserve">, and </w:t>
      </w:r>
      <w:r>
        <w:rPr>
          <w:i/>
        </w:rPr>
        <w:t>order</w:t>
      </w:r>
      <w:r>
        <w:t>.</w:t>
      </w:r>
    </w:p>
    <w:p w:rsidR="00CC6C29" w:rsidRDefault="00CC6C29" w:rsidP="00CC6C29">
      <w:pPr>
        <w:pStyle w:val="BodyText"/>
      </w:pPr>
      <w:r>
        <w:rPr>
          <w:noProof/>
        </w:rPr>
        <w:drawing>
          <wp:inline distT="0" distB="0" distL="0" distR="0" wp14:anchorId="59EFA7DB" wp14:editId="5A075606">
            <wp:extent cx="4948157" cy="1076484"/>
            <wp:effectExtent l="0" t="0" r="0" b="0"/>
            <wp:docPr id="7" name="Picture"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Picture" descr="/Users/casillas/academia/research/in_progress/dpbe_l2_replication/docs/manuscript/includes/figs/model_formula/2afc_formula.png"/>
                    <pic:cNvPicPr>
                      <a:picLocks noChangeAspect="1" noChangeArrowheads="1"/>
                    </pic:cNvPicPr>
                  </pic:nvPicPr>
                  <pic:blipFill>
                    <a:blip r:embed="rId6"/>
                    <a:stretch>
                      <a:fillRect/>
                    </a:stretch>
                  </pic:blipFill>
                  <pic:spPr bwMode="auto">
                    <a:xfrm>
                      <a:off x="0" y="0"/>
                      <a:ext cx="4948157" cy="1076484"/>
                    </a:xfrm>
                    <a:prstGeom prst="rect">
                      <a:avLst/>
                    </a:prstGeom>
                    <a:noFill/>
                    <a:ln w="9525">
                      <a:noFill/>
                      <a:headEnd/>
                      <a:tailEnd/>
                    </a:ln>
                  </pic:spPr>
                </pic:pic>
              </a:graphicData>
            </a:graphic>
          </wp:inline>
        </w:drawing>
      </w:r>
    </w:p>
    <w:p w:rsidR="00CC6C29" w:rsidRDefault="00CC6C29" w:rsidP="00CC6C29">
      <w:pPr>
        <w:pStyle w:val="BodyText"/>
        <w:ind w:firstLine="0"/>
      </w:pPr>
      <w:r>
        <w:t>The results of the model are summarized graphically in Figure 3 of the manuscript and numerically in Table 1 below.</w:t>
      </w:r>
    </w:p>
    <w:p w:rsidR="00CC6C29" w:rsidRDefault="00CC6C29" w:rsidP="00CC6C29">
      <w:pPr>
        <w:pStyle w:val="TableCaption"/>
        <w:spacing w:after="240" w:line="240" w:lineRule="auto"/>
      </w:pPr>
      <w:r>
        <w:t>Table 1: Summary of the posterior distribution modeling voiceless responses as a function of VOT, context, z-LexTALE, and order. The table includes posterior means, the 95% HDI, the percentage of the HDI within the ROPE, and the maximum probability of effect (MPE).</w:t>
      </w:r>
    </w:p>
    <w:tbl>
      <w:tblPr>
        <w:tblStyle w:val="Table"/>
        <w:tblW w:w="0" w:type="pct"/>
        <w:jc w:val="center"/>
        <w:tblLook w:val="07E0" w:firstRow="1" w:lastRow="1" w:firstColumn="1" w:lastColumn="1" w:noHBand="1" w:noVBand="1"/>
      </w:tblPr>
      <w:tblGrid>
        <w:gridCol w:w="3153"/>
        <w:gridCol w:w="1056"/>
        <w:gridCol w:w="1607"/>
        <w:gridCol w:w="830"/>
        <w:gridCol w:w="609"/>
      </w:tblGrid>
      <w:tr w:rsidR="00CC6C29" w:rsidTr="00FC2B36">
        <w:trPr>
          <w:cnfStyle w:val="100000000000" w:firstRow="1" w:lastRow="0" w:firstColumn="0" w:lastColumn="0" w:oddVBand="0" w:evenVBand="0" w:oddHBand="0" w:evenHBand="0" w:firstRowFirstColumn="0" w:firstRowLastColumn="0" w:lastRowFirstColumn="0" w:lastRowLastColumn="0"/>
          <w:trHeight w:val="173"/>
          <w:jc w:val="center"/>
        </w:trPr>
        <w:tc>
          <w:tcPr>
            <w:tcW w:w="0" w:type="auto"/>
            <w:tcBorders>
              <w:top w:val="single" w:sz="12" w:space="0" w:color="000000"/>
              <w:bottom w:val="single" w:sz="2" w:space="0" w:color="000000"/>
            </w:tcBorders>
            <w:tcMar>
              <w:left w:w="0" w:type="dxa"/>
              <w:right w:w="115" w:type="dxa"/>
            </w:tcMar>
            <w:vAlign w:val="bottom"/>
          </w:tcPr>
          <w:p w:rsidR="00CC6C29" w:rsidRDefault="00CC6C29" w:rsidP="00FC2B36">
            <w:pPr>
              <w:pStyle w:val="Compact"/>
              <w:spacing w:before="40" w:after="40"/>
            </w:pPr>
            <w:r>
              <w:t>Parameter</w:t>
            </w:r>
          </w:p>
        </w:tc>
        <w:tc>
          <w:tcPr>
            <w:tcW w:w="0" w:type="auto"/>
            <w:tcBorders>
              <w:top w:val="single" w:sz="12" w:space="0" w:color="000000"/>
              <w:bottom w:val="single" w:sz="2" w:space="0" w:color="000000"/>
            </w:tcBorders>
            <w:vAlign w:val="bottom"/>
          </w:tcPr>
          <w:p w:rsidR="00CC6C29" w:rsidRDefault="00CC6C29" w:rsidP="00FC2B36">
            <w:pPr>
              <w:pStyle w:val="Compact"/>
              <w:spacing w:before="40" w:after="40"/>
              <w:jc w:val="right"/>
            </w:pPr>
            <w:r>
              <w:t>Estimate</w:t>
            </w:r>
          </w:p>
        </w:tc>
        <w:tc>
          <w:tcPr>
            <w:tcW w:w="0" w:type="auto"/>
            <w:tcBorders>
              <w:top w:val="single" w:sz="12" w:space="0" w:color="000000"/>
              <w:bottom w:val="single" w:sz="2" w:space="0" w:color="000000"/>
            </w:tcBorders>
            <w:vAlign w:val="bottom"/>
          </w:tcPr>
          <w:p w:rsidR="00CC6C29" w:rsidRDefault="00CC6C29" w:rsidP="00FC2B36">
            <w:pPr>
              <w:pStyle w:val="Compact"/>
              <w:spacing w:before="40" w:after="40"/>
              <w:jc w:val="right"/>
            </w:pPr>
            <w:r>
              <w:t>HDI</w:t>
            </w:r>
          </w:p>
        </w:tc>
        <w:tc>
          <w:tcPr>
            <w:tcW w:w="0" w:type="auto"/>
            <w:tcBorders>
              <w:top w:val="single" w:sz="12" w:space="0" w:color="000000"/>
              <w:bottom w:val="single" w:sz="2" w:space="0" w:color="000000"/>
            </w:tcBorders>
            <w:vAlign w:val="bottom"/>
          </w:tcPr>
          <w:p w:rsidR="00CC6C29" w:rsidRDefault="00CC6C29" w:rsidP="00FC2B36">
            <w:pPr>
              <w:pStyle w:val="Compact"/>
              <w:spacing w:before="40" w:after="40"/>
              <w:jc w:val="right"/>
            </w:pPr>
            <w:r>
              <w:t>ROPE</w:t>
            </w:r>
          </w:p>
        </w:tc>
        <w:tc>
          <w:tcPr>
            <w:tcW w:w="0" w:type="auto"/>
            <w:tcBorders>
              <w:top w:val="single" w:sz="12" w:space="0" w:color="000000"/>
              <w:bottom w:val="single" w:sz="2" w:space="0" w:color="000000"/>
            </w:tcBorders>
            <w:tcMar>
              <w:left w:w="115" w:type="dxa"/>
              <w:right w:w="0" w:type="dxa"/>
            </w:tcMar>
            <w:vAlign w:val="top"/>
          </w:tcPr>
          <w:p w:rsidR="00CC6C29" w:rsidRDefault="00CC6C29" w:rsidP="00FC2B36">
            <w:pPr>
              <w:pStyle w:val="Compact"/>
              <w:spacing w:before="40" w:after="40"/>
              <w:jc w:val="right"/>
            </w:pPr>
            <w:r>
              <w:t>MPE</w:t>
            </w:r>
          </w:p>
        </w:tc>
      </w:tr>
      <w:tr w:rsidR="00CC6C29" w:rsidTr="00FC2B36">
        <w:trPr>
          <w:trHeight w:val="173"/>
          <w:jc w:val="center"/>
        </w:trPr>
        <w:tc>
          <w:tcPr>
            <w:tcW w:w="0" w:type="auto"/>
            <w:tcBorders>
              <w:top w:val="single" w:sz="2" w:space="0" w:color="000000"/>
            </w:tcBorders>
          </w:tcPr>
          <w:p w:rsidR="00CC6C29" w:rsidRDefault="00CC6C29" w:rsidP="00FC2B36">
            <w:pPr>
              <w:pStyle w:val="Compact"/>
              <w:spacing w:before="40" w:after="40"/>
            </w:pPr>
            <w:r>
              <w:t>Intercept</w:t>
            </w:r>
          </w:p>
        </w:tc>
        <w:tc>
          <w:tcPr>
            <w:tcW w:w="0" w:type="auto"/>
            <w:tcBorders>
              <w:top w:val="single" w:sz="2" w:space="0" w:color="000000"/>
            </w:tcBorders>
          </w:tcPr>
          <w:p w:rsidR="00CC6C29" w:rsidRDefault="00CC6C29" w:rsidP="00FC2B36">
            <w:pPr>
              <w:pStyle w:val="Compact"/>
              <w:spacing w:before="40" w:after="40"/>
              <w:jc w:val="right"/>
            </w:pPr>
            <w:r>
              <w:t>−0.85</w:t>
            </w:r>
          </w:p>
        </w:tc>
        <w:tc>
          <w:tcPr>
            <w:tcW w:w="0" w:type="auto"/>
            <w:tcBorders>
              <w:top w:val="single" w:sz="2" w:space="0" w:color="000000"/>
            </w:tcBorders>
          </w:tcPr>
          <w:p w:rsidR="00CC6C29" w:rsidRDefault="00CC6C29" w:rsidP="00FC2B36">
            <w:pPr>
              <w:pStyle w:val="Compact"/>
              <w:spacing w:before="40" w:after="40"/>
              <w:jc w:val="right"/>
            </w:pPr>
            <w:r>
              <w:t>[−1.00, −0.68]</w:t>
            </w:r>
          </w:p>
        </w:tc>
        <w:tc>
          <w:tcPr>
            <w:tcW w:w="0" w:type="auto"/>
            <w:tcBorders>
              <w:top w:val="single" w:sz="2" w:space="0" w:color="000000"/>
            </w:tcBorders>
          </w:tcPr>
          <w:p w:rsidR="00CC6C29" w:rsidRDefault="00CC6C29" w:rsidP="00FC2B36">
            <w:pPr>
              <w:pStyle w:val="Compact"/>
              <w:spacing w:before="40" w:after="40"/>
              <w:jc w:val="right"/>
            </w:pPr>
            <w:r>
              <w:t>0.00</w:t>
            </w:r>
          </w:p>
        </w:tc>
        <w:tc>
          <w:tcPr>
            <w:tcW w:w="0" w:type="auto"/>
            <w:tcBorders>
              <w:top w:val="single" w:sz="2" w:space="0" w:color="000000"/>
            </w:tcBorders>
            <w:tcMar>
              <w:left w:w="115" w:type="dxa"/>
              <w:right w:w="0" w:type="dxa"/>
            </w:tcMar>
            <w:vAlign w:val="top"/>
          </w:tcPr>
          <w:p w:rsidR="00CC6C29" w:rsidRDefault="00CC6C29" w:rsidP="00FC2B36">
            <w:pPr>
              <w:pStyle w:val="Compact"/>
              <w:spacing w:before="40" w:after="40"/>
              <w:jc w:val="right"/>
            </w:pPr>
            <w:r>
              <w:t>1.00</w:t>
            </w:r>
          </w:p>
        </w:tc>
      </w:tr>
      <w:tr w:rsidR="00CC6C29" w:rsidTr="00FC2B36">
        <w:trPr>
          <w:trHeight w:val="173"/>
          <w:jc w:val="center"/>
        </w:trPr>
        <w:tc>
          <w:tcPr>
            <w:tcW w:w="0" w:type="auto"/>
          </w:tcPr>
          <w:p w:rsidR="00CC6C29" w:rsidRDefault="00CC6C29" w:rsidP="00FC2B36">
            <w:pPr>
              <w:pStyle w:val="Compact"/>
              <w:spacing w:before="40" w:after="40"/>
            </w:pPr>
            <w:r>
              <w:t>VOT</w:t>
            </w:r>
          </w:p>
        </w:tc>
        <w:tc>
          <w:tcPr>
            <w:tcW w:w="0" w:type="auto"/>
          </w:tcPr>
          <w:p w:rsidR="00CC6C29" w:rsidRDefault="00CC6C29" w:rsidP="00FC2B36">
            <w:pPr>
              <w:pStyle w:val="Compact"/>
              <w:spacing w:before="40" w:after="40"/>
              <w:jc w:val="right"/>
            </w:pPr>
            <w:r>
              <w:t>3.55</w:t>
            </w:r>
          </w:p>
        </w:tc>
        <w:tc>
          <w:tcPr>
            <w:tcW w:w="0" w:type="auto"/>
          </w:tcPr>
          <w:p w:rsidR="00CC6C29" w:rsidRDefault="00CC6C29" w:rsidP="00FC2B36">
            <w:pPr>
              <w:pStyle w:val="Compact"/>
              <w:spacing w:before="40" w:after="40"/>
              <w:jc w:val="right"/>
            </w:pPr>
            <w:r>
              <w:t>[3.19, 3.93]</w:t>
            </w:r>
          </w:p>
        </w:tc>
        <w:tc>
          <w:tcPr>
            <w:tcW w:w="0" w:type="auto"/>
          </w:tcPr>
          <w:p w:rsidR="00CC6C29" w:rsidRDefault="00CC6C29" w:rsidP="00FC2B36">
            <w:pPr>
              <w:pStyle w:val="Compact"/>
              <w:spacing w:before="40" w:after="40"/>
              <w:jc w:val="right"/>
            </w:pPr>
            <w:r>
              <w:t>0.00</w:t>
            </w:r>
          </w:p>
        </w:tc>
        <w:tc>
          <w:tcPr>
            <w:tcW w:w="0" w:type="auto"/>
            <w:tcMar>
              <w:left w:w="115" w:type="dxa"/>
              <w:right w:w="0" w:type="dxa"/>
            </w:tcMar>
            <w:vAlign w:val="top"/>
          </w:tcPr>
          <w:p w:rsidR="00CC6C29" w:rsidRDefault="00CC6C29" w:rsidP="00FC2B36">
            <w:pPr>
              <w:pStyle w:val="Compact"/>
              <w:spacing w:before="40" w:after="40"/>
              <w:jc w:val="right"/>
            </w:pPr>
            <w:r>
              <w:t>1.00</w:t>
            </w:r>
          </w:p>
        </w:tc>
      </w:tr>
      <w:tr w:rsidR="00CC6C29" w:rsidTr="00FC2B36">
        <w:trPr>
          <w:trHeight w:val="173"/>
          <w:jc w:val="center"/>
        </w:trPr>
        <w:tc>
          <w:tcPr>
            <w:tcW w:w="0" w:type="auto"/>
          </w:tcPr>
          <w:p w:rsidR="00CC6C29" w:rsidRDefault="00CC6C29" w:rsidP="00FC2B36">
            <w:pPr>
              <w:pStyle w:val="Compact"/>
              <w:spacing w:before="40" w:after="40"/>
            </w:pPr>
            <w:r>
              <w:t>Context</w:t>
            </w:r>
          </w:p>
        </w:tc>
        <w:tc>
          <w:tcPr>
            <w:tcW w:w="0" w:type="auto"/>
          </w:tcPr>
          <w:p w:rsidR="00CC6C29" w:rsidRDefault="00CC6C29" w:rsidP="00FC2B36">
            <w:pPr>
              <w:pStyle w:val="Compact"/>
              <w:spacing w:before="40" w:after="40"/>
              <w:jc w:val="right"/>
            </w:pPr>
            <w:r>
              <w:t>−0.23</w:t>
            </w:r>
          </w:p>
        </w:tc>
        <w:tc>
          <w:tcPr>
            <w:tcW w:w="0" w:type="auto"/>
          </w:tcPr>
          <w:p w:rsidR="00CC6C29" w:rsidRDefault="00CC6C29" w:rsidP="00FC2B36">
            <w:pPr>
              <w:pStyle w:val="Compact"/>
              <w:spacing w:before="40" w:after="40"/>
              <w:jc w:val="right"/>
            </w:pPr>
            <w:r>
              <w:t>[−0.37, −0.07]</w:t>
            </w:r>
          </w:p>
        </w:tc>
        <w:tc>
          <w:tcPr>
            <w:tcW w:w="0" w:type="auto"/>
          </w:tcPr>
          <w:p w:rsidR="00CC6C29" w:rsidRDefault="00CC6C29" w:rsidP="00FC2B36">
            <w:pPr>
              <w:pStyle w:val="Compact"/>
              <w:spacing w:before="40" w:after="40"/>
              <w:jc w:val="right"/>
            </w:pPr>
            <w:r>
              <w:t>0.00</w:t>
            </w:r>
          </w:p>
        </w:tc>
        <w:tc>
          <w:tcPr>
            <w:tcW w:w="0" w:type="auto"/>
            <w:tcMar>
              <w:left w:w="115" w:type="dxa"/>
              <w:right w:w="0" w:type="dxa"/>
            </w:tcMar>
            <w:vAlign w:val="top"/>
          </w:tcPr>
          <w:p w:rsidR="00CC6C29" w:rsidRDefault="00CC6C29" w:rsidP="00FC2B36">
            <w:pPr>
              <w:pStyle w:val="Compact"/>
              <w:spacing w:before="40" w:after="40"/>
              <w:jc w:val="right"/>
            </w:pPr>
            <w:r>
              <w:t>1.00</w:t>
            </w:r>
          </w:p>
        </w:tc>
      </w:tr>
      <w:tr w:rsidR="00CC6C29" w:rsidTr="00FC2B36">
        <w:trPr>
          <w:trHeight w:val="173"/>
          <w:jc w:val="center"/>
        </w:trPr>
        <w:tc>
          <w:tcPr>
            <w:tcW w:w="0" w:type="auto"/>
          </w:tcPr>
          <w:p w:rsidR="00CC6C29" w:rsidRDefault="00CC6C29" w:rsidP="00FC2B36">
            <w:pPr>
              <w:pStyle w:val="Compact"/>
              <w:spacing w:before="40" w:after="40"/>
            </w:pPr>
            <w:r>
              <w:t>z-LexTALE</w:t>
            </w:r>
          </w:p>
        </w:tc>
        <w:tc>
          <w:tcPr>
            <w:tcW w:w="0" w:type="auto"/>
          </w:tcPr>
          <w:p w:rsidR="00CC6C29" w:rsidRDefault="00CC6C29" w:rsidP="00FC2B36">
            <w:pPr>
              <w:pStyle w:val="Compact"/>
              <w:spacing w:before="40" w:after="40"/>
              <w:jc w:val="right"/>
            </w:pPr>
            <w:r>
              <w:t>0.24</w:t>
            </w:r>
          </w:p>
        </w:tc>
        <w:tc>
          <w:tcPr>
            <w:tcW w:w="0" w:type="auto"/>
          </w:tcPr>
          <w:p w:rsidR="00CC6C29" w:rsidRDefault="00CC6C29" w:rsidP="00FC2B36">
            <w:pPr>
              <w:pStyle w:val="Compact"/>
              <w:spacing w:before="40" w:after="40"/>
              <w:jc w:val="right"/>
            </w:pPr>
            <w:r>
              <w:t>[−0.03, 0.50]</w:t>
            </w:r>
          </w:p>
        </w:tc>
        <w:tc>
          <w:tcPr>
            <w:tcW w:w="0" w:type="auto"/>
          </w:tcPr>
          <w:p w:rsidR="00CC6C29" w:rsidRDefault="00CC6C29" w:rsidP="00FC2B36">
            <w:pPr>
              <w:pStyle w:val="Compact"/>
              <w:spacing w:before="40" w:after="40"/>
              <w:jc w:val="right"/>
            </w:pPr>
            <w:r>
              <w:t>0.06</w:t>
            </w:r>
          </w:p>
        </w:tc>
        <w:tc>
          <w:tcPr>
            <w:tcW w:w="0" w:type="auto"/>
            <w:tcMar>
              <w:left w:w="115" w:type="dxa"/>
              <w:right w:w="0" w:type="dxa"/>
            </w:tcMar>
            <w:vAlign w:val="top"/>
          </w:tcPr>
          <w:p w:rsidR="00CC6C29" w:rsidRDefault="00CC6C29" w:rsidP="00FC2B36">
            <w:pPr>
              <w:pStyle w:val="Compact"/>
              <w:spacing w:before="40" w:after="40"/>
              <w:jc w:val="right"/>
            </w:pPr>
            <w:r>
              <w:t>0.96</w:t>
            </w:r>
          </w:p>
        </w:tc>
      </w:tr>
      <w:tr w:rsidR="00CC6C29" w:rsidTr="00FC2B36">
        <w:trPr>
          <w:trHeight w:val="173"/>
          <w:jc w:val="center"/>
        </w:trPr>
        <w:tc>
          <w:tcPr>
            <w:tcW w:w="0" w:type="auto"/>
          </w:tcPr>
          <w:p w:rsidR="00CC6C29" w:rsidRDefault="00CC6C29" w:rsidP="00FC2B36">
            <w:pPr>
              <w:pStyle w:val="Compact"/>
              <w:spacing w:before="40" w:after="40"/>
            </w:pPr>
            <w:r>
              <w:t>Order</w:t>
            </w:r>
          </w:p>
        </w:tc>
        <w:tc>
          <w:tcPr>
            <w:tcW w:w="0" w:type="auto"/>
          </w:tcPr>
          <w:p w:rsidR="00CC6C29" w:rsidRDefault="00CC6C29" w:rsidP="00FC2B36">
            <w:pPr>
              <w:pStyle w:val="Compact"/>
              <w:spacing w:before="40" w:after="40"/>
              <w:jc w:val="right"/>
            </w:pPr>
            <w:r>
              <w:t>−0.15</w:t>
            </w:r>
          </w:p>
        </w:tc>
        <w:tc>
          <w:tcPr>
            <w:tcW w:w="0" w:type="auto"/>
          </w:tcPr>
          <w:p w:rsidR="00CC6C29" w:rsidRDefault="00CC6C29" w:rsidP="00FC2B36">
            <w:pPr>
              <w:pStyle w:val="Compact"/>
              <w:spacing w:before="40" w:after="40"/>
              <w:jc w:val="right"/>
            </w:pPr>
            <w:r>
              <w:t>[−0.39, 0.07]</w:t>
            </w:r>
          </w:p>
        </w:tc>
        <w:tc>
          <w:tcPr>
            <w:tcW w:w="0" w:type="auto"/>
          </w:tcPr>
          <w:p w:rsidR="00CC6C29" w:rsidRDefault="00CC6C29" w:rsidP="00FC2B36">
            <w:pPr>
              <w:pStyle w:val="Compact"/>
              <w:spacing w:before="40" w:after="40"/>
              <w:jc w:val="right"/>
            </w:pPr>
            <w:r>
              <w:t>0.16</w:t>
            </w:r>
          </w:p>
        </w:tc>
        <w:tc>
          <w:tcPr>
            <w:tcW w:w="0" w:type="auto"/>
            <w:tcMar>
              <w:left w:w="115" w:type="dxa"/>
              <w:right w:w="0" w:type="dxa"/>
            </w:tcMar>
            <w:vAlign w:val="top"/>
          </w:tcPr>
          <w:p w:rsidR="00CC6C29" w:rsidRDefault="00CC6C29" w:rsidP="00FC2B36">
            <w:pPr>
              <w:pStyle w:val="Compact"/>
              <w:spacing w:before="40" w:after="40"/>
              <w:jc w:val="right"/>
            </w:pPr>
            <w:r>
              <w:t>0.90</w:t>
            </w:r>
          </w:p>
        </w:tc>
      </w:tr>
      <w:tr w:rsidR="00CC6C29" w:rsidTr="00FC2B36">
        <w:trPr>
          <w:trHeight w:val="173"/>
          <w:jc w:val="center"/>
        </w:trPr>
        <w:tc>
          <w:tcPr>
            <w:tcW w:w="0" w:type="auto"/>
          </w:tcPr>
          <w:p w:rsidR="00CC6C29" w:rsidRDefault="00CC6C29" w:rsidP="00FC2B36">
            <w:pPr>
              <w:pStyle w:val="Compact"/>
              <w:spacing w:before="40" w:after="40"/>
            </w:pPr>
            <w:r>
              <w:t>VOT × Context</w:t>
            </w:r>
          </w:p>
        </w:tc>
        <w:tc>
          <w:tcPr>
            <w:tcW w:w="0" w:type="auto"/>
          </w:tcPr>
          <w:p w:rsidR="00CC6C29" w:rsidRDefault="00CC6C29" w:rsidP="00FC2B36">
            <w:pPr>
              <w:pStyle w:val="Compact"/>
              <w:spacing w:before="40" w:after="40"/>
              <w:jc w:val="right"/>
            </w:pPr>
            <w:r>
              <w:t>−0.23</w:t>
            </w:r>
          </w:p>
        </w:tc>
        <w:tc>
          <w:tcPr>
            <w:tcW w:w="0" w:type="auto"/>
          </w:tcPr>
          <w:p w:rsidR="00CC6C29" w:rsidRDefault="00CC6C29" w:rsidP="00FC2B36">
            <w:pPr>
              <w:pStyle w:val="Compact"/>
              <w:spacing w:before="40" w:after="40"/>
              <w:jc w:val="right"/>
            </w:pPr>
            <w:r>
              <w:t>[−0.53, 0.10]</w:t>
            </w:r>
          </w:p>
        </w:tc>
        <w:tc>
          <w:tcPr>
            <w:tcW w:w="0" w:type="auto"/>
          </w:tcPr>
          <w:p w:rsidR="00CC6C29" w:rsidRDefault="00CC6C29" w:rsidP="00FC2B36">
            <w:pPr>
              <w:pStyle w:val="Compact"/>
              <w:spacing w:before="40" w:after="40"/>
              <w:jc w:val="right"/>
            </w:pPr>
            <w:r>
              <w:t>0.09</w:t>
            </w:r>
          </w:p>
        </w:tc>
        <w:tc>
          <w:tcPr>
            <w:tcW w:w="0" w:type="auto"/>
            <w:tcMar>
              <w:left w:w="115" w:type="dxa"/>
              <w:right w:w="0" w:type="dxa"/>
            </w:tcMar>
            <w:vAlign w:val="top"/>
          </w:tcPr>
          <w:p w:rsidR="00CC6C29" w:rsidRDefault="00CC6C29" w:rsidP="00FC2B36">
            <w:pPr>
              <w:pStyle w:val="Compact"/>
              <w:spacing w:before="40" w:after="40"/>
              <w:jc w:val="right"/>
            </w:pPr>
            <w:r>
              <w:t>0.92</w:t>
            </w:r>
          </w:p>
        </w:tc>
      </w:tr>
      <w:tr w:rsidR="00CC6C29" w:rsidTr="00FC2B36">
        <w:trPr>
          <w:trHeight w:val="173"/>
          <w:jc w:val="center"/>
        </w:trPr>
        <w:tc>
          <w:tcPr>
            <w:tcW w:w="0" w:type="auto"/>
          </w:tcPr>
          <w:p w:rsidR="00CC6C29" w:rsidRDefault="00CC6C29" w:rsidP="00FC2B36">
            <w:pPr>
              <w:pStyle w:val="Compact"/>
              <w:spacing w:before="40" w:after="40"/>
            </w:pPr>
            <w:r>
              <w:t>VOT × z-LexTALE</w:t>
            </w:r>
          </w:p>
        </w:tc>
        <w:tc>
          <w:tcPr>
            <w:tcW w:w="0" w:type="auto"/>
          </w:tcPr>
          <w:p w:rsidR="00CC6C29" w:rsidRDefault="00CC6C29" w:rsidP="00FC2B36">
            <w:pPr>
              <w:pStyle w:val="Compact"/>
              <w:spacing w:before="40" w:after="40"/>
              <w:jc w:val="right"/>
            </w:pPr>
            <w:r>
              <w:t>0.28</w:t>
            </w:r>
          </w:p>
        </w:tc>
        <w:tc>
          <w:tcPr>
            <w:tcW w:w="0" w:type="auto"/>
          </w:tcPr>
          <w:p w:rsidR="00CC6C29" w:rsidRDefault="00CC6C29" w:rsidP="00FC2B36">
            <w:pPr>
              <w:pStyle w:val="Compact"/>
              <w:spacing w:before="40" w:after="40"/>
              <w:jc w:val="right"/>
            </w:pPr>
            <w:r>
              <w:t>[−0.41, 0.95]</w:t>
            </w:r>
          </w:p>
        </w:tc>
        <w:tc>
          <w:tcPr>
            <w:tcW w:w="0" w:type="auto"/>
          </w:tcPr>
          <w:p w:rsidR="00CC6C29" w:rsidRDefault="00CC6C29" w:rsidP="00FC2B36">
            <w:pPr>
              <w:pStyle w:val="Compact"/>
              <w:spacing w:before="40" w:after="40"/>
              <w:jc w:val="right"/>
            </w:pPr>
            <w:r>
              <w:t>0.09</w:t>
            </w:r>
          </w:p>
        </w:tc>
        <w:tc>
          <w:tcPr>
            <w:tcW w:w="0" w:type="auto"/>
            <w:tcMar>
              <w:left w:w="115" w:type="dxa"/>
              <w:right w:w="0" w:type="dxa"/>
            </w:tcMar>
            <w:vAlign w:val="top"/>
          </w:tcPr>
          <w:p w:rsidR="00CC6C29" w:rsidRDefault="00CC6C29" w:rsidP="00FC2B36">
            <w:pPr>
              <w:pStyle w:val="Compact"/>
              <w:spacing w:before="40" w:after="40"/>
              <w:jc w:val="right"/>
            </w:pPr>
            <w:r>
              <w:t>0.80</w:t>
            </w:r>
          </w:p>
        </w:tc>
      </w:tr>
      <w:tr w:rsidR="00CC6C29" w:rsidTr="00FC2B36">
        <w:trPr>
          <w:trHeight w:val="173"/>
          <w:jc w:val="center"/>
        </w:trPr>
        <w:tc>
          <w:tcPr>
            <w:tcW w:w="0" w:type="auto"/>
            <w:tcBorders>
              <w:bottom w:val="nil"/>
            </w:tcBorders>
          </w:tcPr>
          <w:p w:rsidR="00CC6C29" w:rsidRDefault="00CC6C29" w:rsidP="00FC2B36">
            <w:pPr>
              <w:pStyle w:val="Compact"/>
              <w:spacing w:before="40" w:after="40"/>
            </w:pPr>
            <w:r>
              <w:t>Context × z-LexTALE</w:t>
            </w:r>
          </w:p>
        </w:tc>
        <w:tc>
          <w:tcPr>
            <w:tcW w:w="0" w:type="auto"/>
            <w:tcBorders>
              <w:bottom w:val="nil"/>
            </w:tcBorders>
          </w:tcPr>
          <w:p w:rsidR="00CC6C29" w:rsidRDefault="00CC6C29" w:rsidP="00FC2B36">
            <w:pPr>
              <w:pStyle w:val="Compact"/>
              <w:spacing w:before="40" w:after="40"/>
              <w:jc w:val="right"/>
            </w:pPr>
            <w:r>
              <w:t>−0.24</w:t>
            </w:r>
          </w:p>
        </w:tc>
        <w:tc>
          <w:tcPr>
            <w:tcW w:w="0" w:type="auto"/>
            <w:tcBorders>
              <w:bottom w:val="nil"/>
            </w:tcBorders>
          </w:tcPr>
          <w:p w:rsidR="00CC6C29" w:rsidRDefault="00CC6C29" w:rsidP="00FC2B36">
            <w:pPr>
              <w:pStyle w:val="Compact"/>
              <w:spacing w:before="40" w:after="40"/>
              <w:jc w:val="right"/>
            </w:pPr>
            <w:r>
              <w:t>[−0.47, 0.00]</w:t>
            </w:r>
          </w:p>
        </w:tc>
        <w:tc>
          <w:tcPr>
            <w:tcW w:w="0" w:type="auto"/>
            <w:tcBorders>
              <w:bottom w:val="nil"/>
            </w:tcBorders>
          </w:tcPr>
          <w:p w:rsidR="00CC6C29" w:rsidRDefault="00CC6C29" w:rsidP="00FC2B36">
            <w:pPr>
              <w:pStyle w:val="Compact"/>
              <w:spacing w:before="40" w:after="40"/>
              <w:jc w:val="right"/>
            </w:pPr>
            <w:r>
              <w:t>0.04</w:t>
            </w:r>
          </w:p>
        </w:tc>
        <w:tc>
          <w:tcPr>
            <w:tcW w:w="0" w:type="auto"/>
            <w:tcBorders>
              <w:bottom w:val="nil"/>
            </w:tcBorders>
            <w:tcMar>
              <w:left w:w="115" w:type="dxa"/>
              <w:right w:w="0" w:type="dxa"/>
            </w:tcMar>
            <w:vAlign w:val="top"/>
          </w:tcPr>
          <w:p w:rsidR="00CC6C29" w:rsidRDefault="00CC6C29" w:rsidP="00FC2B36">
            <w:pPr>
              <w:pStyle w:val="Compact"/>
              <w:spacing w:before="40" w:after="40"/>
              <w:jc w:val="right"/>
            </w:pPr>
            <w:r>
              <w:t>0.97</w:t>
            </w:r>
          </w:p>
        </w:tc>
      </w:tr>
      <w:tr w:rsidR="00CC6C29" w:rsidTr="00FC2B36">
        <w:trPr>
          <w:cnfStyle w:val="010000000000" w:firstRow="0" w:lastRow="1" w:firstColumn="0" w:lastColumn="0" w:oddVBand="0" w:evenVBand="0" w:oddHBand="0" w:evenHBand="0" w:firstRowFirstColumn="0" w:firstRowLastColumn="0" w:lastRowFirstColumn="0" w:lastRowLastColumn="0"/>
          <w:trHeight w:val="173"/>
          <w:jc w:val="center"/>
        </w:trPr>
        <w:tc>
          <w:tcPr>
            <w:tcW w:w="0" w:type="auto"/>
            <w:tcBorders>
              <w:top w:val="nil"/>
              <w:bottom w:val="single" w:sz="12" w:space="0" w:color="000000"/>
            </w:tcBorders>
          </w:tcPr>
          <w:p w:rsidR="00CC6C29" w:rsidRDefault="00CC6C29" w:rsidP="00FC2B36">
            <w:pPr>
              <w:pStyle w:val="Compact"/>
              <w:spacing w:before="40" w:after="40"/>
            </w:pPr>
            <w:r>
              <w:t>VOT × Context × z-LexTALE</w:t>
            </w:r>
          </w:p>
        </w:tc>
        <w:tc>
          <w:tcPr>
            <w:tcW w:w="0" w:type="auto"/>
            <w:tcBorders>
              <w:top w:val="nil"/>
              <w:bottom w:val="single" w:sz="12" w:space="0" w:color="000000"/>
            </w:tcBorders>
          </w:tcPr>
          <w:p w:rsidR="00CC6C29" w:rsidRDefault="00CC6C29" w:rsidP="00FC2B36">
            <w:pPr>
              <w:pStyle w:val="Compact"/>
              <w:spacing w:before="40" w:after="40"/>
              <w:jc w:val="right"/>
            </w:pPr>
            <w:r>
              <w:t>−0.74</w:t>
            </w:r>
          </w:p>
        </w:tc>
        <w:tc>
          <w:tcPr>
            <w:tcW w:w="0" w:type="auto"/>
            <w:tcBorders>
              <w:top w:val="nil"/>
              <w:bottom w:val="single" w:sz="12" w:space="0" w:color="000000"/>
            </w:tcBorders>
          </w:tcPr>
          <w:p w:rsidR="00CC6C29" w:rsidRDefault="00CC6C29" w:rsidP="00FC2B36">
            <w:pPr>
              <w:pStyle w:val="Compact"/>
              <w:spacing w:before="40" w:after="40"/>
              <w:jc w:val="right"/>
            </w:pPr>
            <w:r>
              <w:t>[−1.35, −0.06]</w:t>
            </w:r>
          </w:p>
        </w:tc>
        <w:tc>
          <w:tcPr>
            <w:tcW w:w="0" w:type="auto"/>
            <w:tcBorders>
              <w:top w:val="nil"/>
              <w:bottom w:val="single" w:sz="12" w:space="0" w:color="000000"/>
            </w:tcBorders>
          </w:tcPr>
          <w:p w:rsidR="00CC6C29" w:rsidRDefault="00CC6C29" w:rsidP="00FC2B36">
            <w:pPr>
              <w:pStyle w:val="Compact"/>
              <w:spacing w:before="40" w:after="40"/>
              <w:jc w:val="right"/>
            </w:pPr>
            <w:r>
              <w:t>0.00</w:t>
            </w:r>
          </w:p>
        </w:tc>
        <w:tc>
          <w:tcPr>
            <w:tcW w:w="0" w:type="auto"/>
            <w:tcBorders>
              <w:top w:val="nil"/>
              <w:bottom w:val="single" w:sz="12" w:space="0" w:color="000000"/>
            </w:tcBorders>
            <w:tcMar>
              <w:left w:w="115" w:type="dxa"/>
              <w:right w:w="0" w:type="dxa"/>
            </w:tcMar>
            <w:vAlign w:val="top"/>
          </w:tcPr>
          <w:p w:rsidR="00CC6C29" w:rsidRDefault="00CC6C29" w:rsidP="00FC2B36">
            <w:pPr>
              <w:pStyle w:val="Compact"/>
              <w:spacing w:before="40" w:after="40"/>
              <w:jc w:val="right"/>
            </w:pPr>
            <w:r>
              <w:t>0.99</w:t>
            </w:r>
          </w:p>
        </w:tc>
      </w:tr>
    </w:tbl>
    <w:p w:rsidR="00CC6C29" w:rsidRDefault="00CC6C29" w:rsidP="00CC6C29">
      <w:pPr>
        <w:pStyle w:val="BodyText"/>
        <w:spacing w:before="0" w:line="240" w:lineRule="auto"/>
        <w:ind w:firstLine="0"/>
      </w:pPr>
    </w:p>
    <w:p w:rsidR="00CC6C29" w:rsidRDefault="00CC6C29" w:rsidP="00CC6C29">
      <w:pPr>
        <w:pStyle w:val="BodyText"/>
        <w:spacing w:before="0"/>
        <w:ind w:firstLine="0"/>
      </w:pPr>
      <w:r>
        <w:t xml:space="preserve">The results support three main conclusions. First, independent of proficiency, there were more ‘voiceless’ responses as VOT increased. Second, in the “English” context, perceptual </w:t>
      </w:r>
      <w:r>
        <w:lastRenderedPageBreak/>
        <w:t>categorization is unaffected by changes in proficiency. Third, in the “Spanish” context, as proficiency in Spanish increases so do ‘voiceless’ responses, which is manifested as a shift to the left of the identification function after around −10 ms.</w:t>
      </w:r>
    </w:p>
    <w:p w:rsidR="00CC6C29" w:rsidRDefault="00CC6C29" w:rsidP="00CC6C29">
      <w:pPr>
        <w:pStyle w:val="BodyText"/>
      </w:pPr>
      <w:r>
        <w:t>As an alternative method of understanding the results of the first analysis, we can use the solved version of the linear equation mentioned above to calculate the probability of responding ‘voiceless’ for any VOT and z-LexTALE values. Table 2 summarizes the probability of responding ‘voiceless’ for each step in the VOT continuum (including 0), in each context (Spanish, English) at −2, 0, and 2 proficiency (z-LexTALE).</w:t>
      </w:r>
    </w:p>
    <w:p w:rsidR="00CC6C29" w:rsidRDefault="00CC6C29" w:rsidP="00CC6C29">
      <w:pPr>
        <w:pStyle w:val="TableCaption"/>
        <w:spacing w:after="240" w:line="240" w:lineRule="auto"/>
      </w:pPr>
      <w:r>
        <w:t>Table 2: Posterior predictions of the probability of responding ‘voiceless’ for each step of the VOT continuum (including 0).</w:t>
      </w:r>
    </w:p>
    <w:tbl>
      <w:tblPr>
        <w:tblStyle w:val="Table"/>
        <w:tblW w:w="0" w:type="pct"/>
        <w:tblLook w:val="07E0" w:firstRow="1" w:lastRow="1" w:firstColumn="1" w:lastColumn="1" w:noHBand="1" w:noVBand="1"/>
      </w:tblPr>
      <w:tblGrid>
        <w:gridCol w:w="995"/>
        <w:gridCol w:w="787"/>
        <w:gridCol w:w="456"/>
        <w:gridCol w:w="456"/>
        <w:gridCol w:w="456"/>
        <w:gridCol w:w="456"/>
        <w:gridCol w:w="531"/>
        <w:gridCol w:w="531"/>
        <w:gridCol w:w="531"/>
        <w:gridCol w:w="531"/>
        <w:gridCol w:w="531"/>
        <w:gridCol w:w="531"/>
        <w:gridCol w:w="531"/>
        <w:gridCol w:w="531"/>
        <w:gridCol w:w="531"/>
        <w:gridCol w:w="531"/>
        <w:gridCol w:w="430"/>
      </w:tblGrid>
      <w:tr w:rsidR="00CC6C29" w:rsidRPr="00AA5F28" w:rsidTr="00FC2B36">
        <w:trPr>
          <w:cnfStyle w:val="100000000000" w:firstRow="1" w:lastRow="0" w:firstColumn="0" w:lastColumn="0" w:oddVBand="0" w:evenVBand="0" w:oddHBand="0" w:evenHBand="0" w:firstRowFirstColumn="0" w:firstRowLastColumn="0" w:lastRowFirstColumn="0" w:lastRowLastColumn="0"/>
        </w:trPr>
        <w:tc>
          <w:tcPr>
            <w:tcW w:w="0" w:type="auto"/>
            <w:tcBorders>
              <w:top w:val="single" w:sz="12" w:space="0" w:color="auto"/>
              <w:bottom w:val="single" w:sz="2" w:space="0" w:color="auto"/>
            </w:tcBorders>
            <w:tcMar>
              <w:left w:w="0" w:type="dxa"/>
              <w:right w:w="115" w:type="dxa"/>
            </w:tcMar>
            <w:vAlign w:val="bottom"/>
          </w:tcPr>
          <w:p w:rsidR="00CC6C29" w:rsidRPr="00AA5F28" w:rsidRDefault="00CC6C29" w:rsidP="00FC2B36">
            <w:pPr>
              <w:pStyle w:val="Compact"/>
              <w:spacing w:before="40" w:after="40"/>
              <w:jc w:val="right"/>
              <w:rPr>
                <w:sz w:val="18"/>
                <w:szCs w:val="18"/>
              </w:rPr>
            </w:pPr>
            <w:r w:rsidRPr="00AA5F28">
              <w:rPr>
                <w:sz w:val="18"/>
                <w:szCs w:val="18"/>
              </w:rPr>
              <w:t>z-LexTALE</w:t>
            </w:r>
          </w:p>
        </w:tc>
        <w:tc>
          <w:tcPr>
            <w:tcW w:w="0" w:type="auto"/>
            <w:tcBorders>
              <w:top w:val="single" w:sz="12" w:space="0" w:color="auto"/>
              <w:bottom w:val="single" w:sz="2" w:space="0" w:color="auto"/>
            </w:tcBorders>
            <w:vAlign w:val="bottom"/>
          </w:tcPr>
          <w:p w:rsidR="00CC6C29" w:rsidRPr="00AA5F28" w:rsidRDefault="00CC6C29" w:rsidP="00FC2B36">
            <w:pPr>
              <w:pStyle w:val="Compact"/>
              <w:spacing w:before="40" w:after="40"/>
              <w:rPr>
                <w:sz w:val="18"/>
                <w:szCs w:val="18"/>
              </w:rPr>
            </w:pPr>
            <w:r w:rsidRPr="00AA5F28">
              <w:rPr>
                <w:sz w:val="18"/>
                <w:szCs w:val="18"/>
              </w:rPr>
              <w:t>Context</w:t>
            </w:r>
          </w:p>
        </w:tc>
        <w:tc>
          <w:tcPr>
            <w:tcW w:w="0" w:type="auto"/>
            <w:tcBorders>
              <w:top w:val="single" w:sz="12" w:space="0" w:color="auto"/>
              <w:bottom w:val="single" w:sz="2" w:space="0" w:color="auto"/>
            </w:tcBorders>
            <w:vAlign w:val="bottom"/>
          </w:tcPr>
          <w:p w:rsidR="00CC6C29" w:rsidRPr="00AA5F28" w:rsidRDefault="00CC6C29" w:rsidP="00FC2B36">
            <w:pPr>
              <w:pStyle w:val="Compact"/>
              <w:spacing w:before="40" w:after="40"/>
              <w:jc w:val="right"/>
              <w:rPr>
                <w:sz w:val="18"/>
                <w:szCs w:val="18"/>
              </w:rPr>
            </w:pPr>
            <w:r w:rsidRPr="00AA5F28">
              <w:rPr>
                <w:sz w:val="18"/>
                <w:szCs w:val="18"/>
              </w:rPr>
              <w:t>-35</w:t>
            </w:r>
          </w:p>
        </w:tc>
        <w:tc>
          <w:tcPr>
            <w:tcW w:w="0" w:type="auto"/>
            <w:tcBorders>
              <w:top w:val="single" w:sz="12" w:space="0" w:color="auto"/>
              <w:bottom w:val="single" w:sz="2" w:space="0" w:color="auto"/>
            </w:tcBorders>
            <w:vAlign w:val="bottom"/>
          </w:tcPr>
          <w:p w:rsidR="00CC6C29" w:rsidRPr="00AA5F28" w:rsidRDefault="00CC6C29" w:rsidP="00FC2B36">
            <w:pPr>
              <w:pStyle w:val="Compact"/>
              <w:spacing w:before="40" w:after="40"/>
              <w:jc w:val="right"/>
              <w:rPr>
                <w:sz w:val="18"/>
                <w:szCs w:val="18"/>
              </w:rPr>
            </w:pPr>
            <w:r w:rsidRPr="00AA5F28">
              <w:rPr>
                <w:sz w:val="18"/>
                <w:szCs w:val="18"/>
              </w:rPr>
              <w:t>-30</w:t>
            </w:r>
          </w:p>
        </w:tc>
        <w:tc>
          <w:tcPr>
            <w:tcW w:w="0" w:type="auto"/>
            <w:tcBorders>
              <w:top w:val="single" w:sz="12" w:space="0" w:color="auto"/>
              <w:bottom w:val="single" w:sz="2" w:space="0" w:color="auto"/>
            </w:tcBorders>
            <w:vAlign w:val="bottom"/>
          </w:tcPr>
          <w:p w:rsidR="00CC6C29" w:rsidRPr="00AA5F28" w:rsidRDefault="00CC6C29" w:rsidP="00FC2B36">
            <w:pPr>
              <w:pStyle w:val="Compact"/>
              <w:spacing w:before="40" w:after="40"/>
              <w:jc w:val="right"/>
              <w:rPr>
                <w:sz w:val="18"/>
                <w:szCs w:val="18"/>
              </w:rPr>
            </w:pPr>
            <w:r w:rsidRPr="00AA5F28">
              <w:rPr>
                <w:sz w:val="18"/>
                <w:szCs w:val="18"/>
              </w:rPr>
              <w:t>-25</w:t>
            </w:r>
          </w:p>
        </w:tc>
        <w:tc>
          <w:tcPr>
            <w:tcW w:w="0" w:type="auto"/>
            <w:tcBorders>
              <w:top w:val="single" w:sz="12" w:space="0" w:color="auto"/>
              <w:bottom w:val="single" w:sz="2" w:space="0" w:color="auto"/>
            </w:tcBorders>
            <w:vAlign w:val="bottom"/>
          </w:tcPr>
          <w:p w:rsidR="00CC6C29" w:rsidRPr="00AA5F28" w:rsidRDefault="00CC6C29" w:rsidP="00FC2B36">
            <w:pPr>
              <w:pStyle w:val="Compact"/>
              <w:spacing w:before="40" w:after="40"/>
              <w:jc w:val="right"/>
              <w:rPr>
                <w:sz w:val="18"/>
                <w:szCs w:val="18"/>
              </w:rPr>
            </w:pPr>
            <w:r w:rsidRPr="00AA5F28">
              <w:rPr>
                <w:sz w:val="18"/>
                <w:szCs w:val="18"/>
              </w:rPr>
              <w:t>-20</w:t>
            </w:r>
          </w:p>
        </w:tc>
        <w:tc>
          <w:tcPr>
            <w:tcW w:w="0" w:type="auto"/>
            <w:tcBorders>
              <w:top w:val="single" w:sz="12" w:space="0" w:color="auto"/>
              <w:bottom w:val="single" w:sz="2" w:space="0" w:color="auto"/>
            </w:tcBorders>
            <w:vAlign w:val="bottom"/>
          </w:tcPr>
          <w:p w:rsidR="00CC6C29" w:rsidRPr="00AA5F28" w:rsidRDefault="00CC6C29" w:rsidP="00FC2B36">
            <w:pPr>
              <w:pStyle w:val="Compact"/>
              <w:spacing w:before="40" w:after="40"/>
              <w:jc w:val="right"/>
              <w:rPr>
                <w:sz w:val="18"/>
                <w:szCs w:val="18"/>
              </w:rPr>
            </w:pPr>
            <w:r w:rsidRPr="00AA5F28">
              <w:rPr>
                <w:sz w:val="18"/>
                <w:szCs w:val="18"/>
              </w:rPr>
              <w:t>-15</w:t>
            </w:r>
          </w:p>
        </w:tc>
        <w:tc>
          <w:tcPr>
            <w:tcW w:w="0" w:type="auto"/>
            <w:tcBorders>
              <w:top w:val="single" w:sz="12" w:space="0" w:color="auto"/>
              <w:bottom w:val="single" w:sz="2" w:space="0" w:color="auto"/>
            </w:tcBorders>
            <w:vAlign w:val="bottom"/>
          </w:tcPr>
          <w:p w:rsidR="00CC6C29" w:rsidRPr="00AA5F28" w:rsidRDefault="00CC6C29" w:rsidP="00FC2B36">
            <w:pPr>
              <w:pStyle w:val="Compact"/>
              <w:spacing w:before="40" w:after="40"/>
              <w:jc w:val="right"/>
              <w:rPr>
                <w:sz w:val="18"/>
                <w:szCs w:val="18"/>
              </w:rPr>
            </w:pPr>
            <w:r w:rsidRPr="00AA5F28">
              <w:rPr>
                <w:sz w:val="18"/>
                <w:szCs w:val="18"/>
              </w:rPr>
              <w:t>-10</w:t>
            </w:r>
          </w:p>
        </w:tc>
        <w:tc>
          <w:tcPr>
            <w:tcW w:w="0" w:type="auto"/>
            <w:tcBorders>
              <w:top w:val="single" w:sz="12" w:space="0" w:color="auto"/>
              <w:bottom w:val="single" w:sz="2" w:space="0" w:color="auto"/>
            </w:tcBorders>
            <w:vAlign w:val="bottom"/>
          </w:tcPr>
          <w:p w:rsidR="00CC6C29" w:rsidRPr="00AA5F28" w:rsidRDefault="00CC6C29" w:rsidP="00FC2B36">
            <w:pPr>
              <w:pStyle w:val="Compact"/>
              <w:spacing w:before="40" w:after="40"/>
              <w:jc w:val="right"/>
              <w:rPr>
                <w:sz w:val="18"/>
                <w:szCs w:val="18"/>
              </w:rPr>
            </w:pPr>
            <w:r w:rsidRPr="00AA5F28">
              <w:rPr>
                <w:sz w:val="18"/>
                <w:szCs w:val="18"/>
              </w:rPr>
              <w:t>-5</w:t>
            </w:r>
          </w:p>
        </w:tc>
        <w:tc>
          <w:tcPr>
            <w:tcW w:w="0" w:type="auto"/>
            <w:tcBorders>
              <w:top w:val="single" w:sz="12" w:space="0" w:color="auto"/>
              <w:bottom w:val="single" w:sz="2" w:space="0" w:color="auto"/>
            </w:tcBorders>
            <w:vAlign w:val="bottom"/>
          </w:tcPr>
          <w:p w:rsidR="00CC6C29" w:rsidRPr="00AA5F28" w:rsidRDefault="00CC6C29" w:rsidP="00FC2B36">
            <w:pPr>
              <w:pStyle w:val="Compact"/>
              <w:spacing w:before="40" w:after="40"/>
              <w:jc w:val="right"/>
              <w:rPr>
                <w:sz w:val="18"/>
                <w:szCs w:val="18"/>
              </w:rPr>
            </w:pPr>
            <w:r w:rsidRPr="00AA5F28">
              <w:rPr>
                <w:sz w:val="18"/>
                <w:szCs w:val="18"/>
              </w:rPr>
              <w:t>0</w:t>
            </w:r>
          </w:p>
        </w:tc>
        <w:tc>
          <w:tcPr>
            <w:tcW w:w="0" w:type="auto"/>
            <w:tcBorders>
              <w:top w:val="single" w:sz="12" w:space="0" w:color="auto"/>
              <w:bottom w:val="single" w:sz="2" w:space="0" w:color="auto"/>
            </w:tcBorders>
            <w:vAlign w:val="bottom"/>
          </w:tcPr>
          <w:p w:rsidR="00CC6C29" w:rsidRPr="00AA5F28" w:rsidRDefault="00CC6C29" w:rsidP="00FC2B36">
            <w:pPr>
              <w:pStyle w:val="Compact"/>
              <w:spacing w:before="40" w:after="40"/>
              <w:jc w:val="right"/>
              <w:rPr>
                <w:sz w:val="18"/>
                <w:szCs w:val="18"/>
              </w:rPr>
            </w:pPr>
            <w:r w:rsidRPr="00AA5F28">
              <w:rPr>
                <w:sz w:val="18"/>
                <w:szCs w:val="18"/>
              </w:rPr>
              <w:t>5</w:t>
            </w:r>
          </w:p>
        </w:tc>
        <w:tc>
          <w:tcPr>
            <w:tcW w:w="0" w:type="auto"/>
            <w:tcBorders>
              <w:top w:val="single" w:sz="12" w:space="0" w:color="auto"/>
              <w:bottom w:val="single" w:sz="2" w:space="0" w:color="auto"/>
            </w:tcBorders>
            <w:vAlign w:val="bottom"/>
          </w:tcPr>
          <w:p w:rsidR="00CC6C29" w:rsidRPr="00AA5F28" w:rsidRDefault="00CC6C29" w:rsidP="00FC2B36">
            <w:pPr>
              <w:pStyle w:val="Compact"/>
              <w:spacing w:before="40" w:after="40"/>
              <w:jc w:val="right"/>
              <w:rPr>
                <w:sz w:val="18"/>
                <w:szCs w:val="18"/>
              </w:rPr>
            </w:pPr>
            <w:r w:rsidRPr="00AA5F28">
              <w:rPr>
                <w:sz w:val="18"/>
                <w:szCs w:val="18"/>
              </w:rPr>
              <w:t>10</w:t>
            </w:r>
          </w:p>
        </w:tc>
        <w:tc>
          <w:tcPr>
            <w:tcW w:w="0" w:type="auto"/>
            <w:tcBorders>
              <w:top w:val="single" w:sz="12" w:space="0" w:color="auto"/>
              <w:bottom w:val="single" w:sz="2" w:space="0" w:color="auto"/>
            </w:tcBorders>
            <w:vAlign w:val="bottom"/>
          </w:tcPr>
          <w:p w:rsidR="00CC6C29" w:rsidRPr="00AA5F28" w:rsidRDefault="00CC6C29" w:rsidP="00FC2B36">
            <w:pPr>
              <w:pStyle w:val="Compact"/>
              <w:spacing w:before="40" w:after="40"/>
              <w:jc w:val="right"/>
              <w:rPr>
                <w:sz w:val="18"/>
                <w:szCs w:val="18"/>
              </w:rPr>
            </w:pPr>
            <w:r w:rsidRPr="00AA5F28">
              <w:rPr>
                <w:sz w:val="18"/>
                <w:szCs w:val="18"/>
              </w:rPr>
              <w:t>15</w:t>
            </w:r>
          </w:p>
        </w:tc>
        <w:tc>
          <w:tcPr>
            <w:tcW w:w="0" w:type="auto"/>
            <w:tcBorders>
              <w:top w:val="single" w:sz="12" w:space="0" w:color="auto"/>
              <w:bottom w:val="single" w:sz="2" w:space="0" w:color="auto"/>
            </w:tcBorders>
            <w:vAlign w:val="bottom"/>
          </w:tcPr>
          <w:p w:rsidR="00CC6C29" w:rsidRPr="00AA5F28" w:rsidRDefault="00CC6C29" w:rsidP="00FC2B36">
            <w:pPr>
              <w:pStyle w:val="Compact"/>
              <w:spacing w:before="40" w:after="40"/>
              <w:jc w:val="right"/>
              <w:rPr>
                <w:sz w:val="18"/>
                <w:szCs w:val="18"/>
              </w:rPr>
            </w:pPr>
            <w:r w:rsidRPr="00AA5F28">
              <w:rPr>
                <w:sz w:val="18"/>
                <w:szCs w:val="18"/>
              </w:rPr>
              <w:t>20</w:t>
            </w:r>
          </w:p>
        </w:tc>
        <w:tc>
          <w:tcPr>
            <w:tcW w:w="0" w:type="auto"/>
            <w:tcBorders>
              <w:top w:val="single" w:sz="12" w:space="0" w:color="auto"/>
              <w:bottom w:val="single" w:sz="2" w:space="0" w:color="auto"/>
            </w:tcBorders>
            <w:vAlign w:val="bottom"/>
          </w:tcPr>
          <w:p w:rsidR="00CC6C29" w:rsidRPr="00AA5F28" w:rsidRDefault="00CC6C29" w:rsidP="00FC2B36">
            <w:pPr>
              <w:pStyle w:val="Compact"/>
              <w:spacing w:before="40" w:after="40"/>
              <w:jc w:val="right"/>
              <w:rPr>
                <w:sz w:val="18"/>
                <w:szCs w:val="18"/>
              </w:rPr>
            </w:pPr>
            <w:r w:rsidRPr="00AA5F28">
              <w:rPr>
                <w:sz w:val="18"/>
                <w:szCs w:val="18"/>
              </w:rPr>
              <w:t>25</w:t>
            </w:r>
          </w:p>
        </w:tc>
        <w:tc>
          <w:tcPr>
            <w:tcW w:w="0" w:type="auto"/>
            <w:tcBorders>
              <w:top w:val="single" w:sz="12" w:space="0" w:color="auto"/>
              <w:bottom w:val="single" w:sz="2" w:space="0" w:color="auto"/>
            </w:tcBorders>
            <w:vAlign w:val="bottom"/>
          </w:tcPr>
          <w:p w:rsidR="00CC6C29" w:rsidRPr="00AA5F28" w:rsidRDefault="00CC6C29" w:rsidP="00FC2B36">
            <w:pPr>
              <w:pStyle w:val="Compact"/>
              <w:spacing w:before="40" w:after="40"/>
              <w:jc w:val="right"/>
              <w:rPr>
                <w:sz w:val="18"/>
                <w:szCs w:val="18"/>
              </w:rPr>
            </w:pPr>
            <w:r w:rsidRPr="00AA5F28">
              <w:rPr>
                <w:sz w:val="18"/>
                <w:szCs w:val="18"/>
              </w:rPr>
              <w:t>30</w:t>
            </w:r>
          </w:p>
        </w:tc>
        <w:tc>
          <w:tcPr>
            <w:tcW w:w="0" w:type="auto"/>
            <w:tcBorders>
              <w:top w:val="single" w:sz="12" w:space="0" w:color="auto"/>
              <w:bottom w:val="single" w:sz="2" w:space="0" w:color="auto"/>
            </w:tcBorders>
            <w:tcMar>
              <w:left w:w="115" w:type="dxa"/>
              <w:right w:w="0" w:type="dxa"/>
            </w:tcMar>
            <w:vAlign w:val="top"/>
          </w:tcPr>
          <w:p w:rsidR="00CC6C29" w:rsidRPr="00AA5F28" w:rsidRDefault="00CC6C29" w:rsidP="00FC2B36">
            <w:pPr>
              <w:pStyle w:val="Compact"/>
              <w:spacing w:before="40" w:after="40"/>
              <w:jc w:val="right"/>
              <w:rPr>
                <w:sz w:val="18"/>
                <w:szCs w:val="18"/>
              </w:rPr>
            </w:pPr>
            <w:r w:rsidRPr="00AA5F28">
              <w:rPr>
                <w:sz w:val="18"/>
                <w:szCs w:val="18"/>
              </w:rPr>
              <w:t>35</w:t>
            </w:r>
          </w:p>
        </w:tc>
      </w:tr>
      <w:tr w:rsidR="00CC6C29" w:rsidRPr="00AA5F28" w:rsidTr="00FC2B36">
        <w:tc>
          <w:tcPr>
            <w:tcW w:w="0" w:type="auto"/>
            <w:tcBorders>
              <w:top w:val="single" w:sz="2" w:space="0" w:color="auto"/>
            </w:tcBorders>
          </w:tcPr>
          <w:p w:rsidR="00CC6C29" w:rsidRPr="00AA5F28" w:rsidRDefault="00CC6C29" w:rsidP="00FC2B36">
            <w:pPr>
              <w:pStyle w:val="Compact"/>
              <w:spacing w:before="40" w:after="40"/>
              <w:jc w:val="right"/>
              <w:rPr>
                <w:sz w:val="18"/>
                <w:szCs w:val="18"/>
              </w:rPr>
            </w:pPr>
            <w:r w:rsidRPr="00AA5F28">
              <w:rPr>
                <w:sz w:val="18"/>
                <w:szCs w:val="18"/>
              </w:rPr>
              <w:t>-2</w:t>
            </w:r>
          </w:p>
        </w:tc>
        <w:tc>
          <w:tcPr>
            <w:tcW w:w="0" w:type="auto"/>
            <w:tcBorders>
              <w:top w:val="single" w:sz="2" w:space="0" w:color="auto"/>
            </w:tcBorders>
          </w:tcPr>
          <w:p w:rsidR="00CC6C29" w:rsidRPr="00AA5F28" w:rsidRDefault="00CC6C29" w:rsidP="00FC2B36">
            <w:pPr>
              <w:pStyle w:val="Compact"/>
              <w:spacing w:before="40" w:after="40"/>
              <w:rPr>
                <w:sz w:val="18"/>
                <w:szCs w:val="18"/>
              </w:rPr>
            </w:pPr>
            <w:r>
              <w:rPr>
                <w:sz w:val="18"/>
                <w:szCs w:val="18"/>
              </w:rPr>
              <w:t>E</w:t>
            </w:r>
            <w:r w:rsidRPr="00AA5F28">
              <w:rPr>
                <w:sz w:val="18"/>
                <w:szCs w:val="18"/>
              </w:rPr>
              <w:t>nglish</w:t>
            </w:r>
          </w:p>
        </w:tc>
        <w:tc>
          <w:tcPr>
            <w:tcW w:w="0" w:type="auto"/>
            <w:tcBorders>
              <w:top w:val="single" w:sz="2" w:space="0" w:color="auto"/>
            </w:tcBorders>
          </w:tcPr>
          <w:p w:rsidR="00CC6C29" w:rsidRPr="00AA5F28" w:rsidRDefault="00CC6C29" w:rsidP="00FC2B36">
            <w:pPr>
              <w:pStyle w:val="Compact"/>
              <w:spacing w:before="40" w:after="40"/>
              <w:jc w:val="right"/>
              <w:rPr>
                <w:sz w:val="18"/>
                <w:szCs w:val="18"/>
              </w:rPr>
            </w:pPr>
            <w:r w:rsidRPr="00AA5F28">
              <w:rPr>
                <w:sz w:val="18"/>
                <w:szCs w:val="18"/>
              </w:rPr>
              <w:t>2.2</w:t>
            </w:r>
          </w:p>
        </w:tc>
        <w:tc>
          <w:tcPr>
            <w:tcW w:w="0" w:type="auto"/>
            <w:tcBorders>
              <w:top w:val="single" w:sz="2" w:space="0" w:color="auto"/>
            </w:tcBorders>
          </w:tcPr>
          <w:p w:rsidR="00CC6C29" w:rsidRPr="00AA5F28" w:rsidRDefault="00CC6C29" w:rsidP="00FC2B36">
            <w:pPr>
              <w:pStyle w:val="Compact"/>
              <w:spacing w:before="40" w:after="40"/>
              <w:jc w:val="right"/>
              <w:rPr>
                <w:sz w:val="18"/>
                <w:szCs w:val="18"/>
              </w:rPr>
            </w:pPr>
            <w:r w:rsidRPr="00AA5F28">
              <w:rPr>
                <w:sz w:val="18"/>
                <w:szCs w:val="18"/>
              </w:rPr>
              <w:t>3.1</w:t>
            </w:r>
          </w:p>
        </w:tc>
        <w:tc>
          <w:tcPr>
            <w:tcW w:w="0" w:type="auto"/>
            <w:tcBorders>
              <w:top w:val="single" w:sz="2" w:space="0" w:color="auto"/>
            </w:tcBorders>
          </w:tcPr>
          <w:p w:rsidR="00CC6C29" w:rsidRPr="00AA5F28" w:rsidRDefault="00CC6C29" w:rsidP="00FC2B36">
            <w:pPr>
              <w:pStyle w:val="Compact"/>
              <w:spacing w:before="40" w:after="40"/>
              <w:jc w:val="right"/>
              <w:rPr>
                <w:sz w:val="18"/>
                <w:szCs w:val="18"/>
              </w:rPr>
            </w:pPr>
            <w:r w:rsidRPr="00AA5F28">
              <w:rPr>
                <w:sz w:val="18"/>
                <w:szCs w:val="18"/>
              </w:rPr>
              <w:t>4.6</w:t>
            </w:r>
          </w:p>
        </w:tc>
        <w:tc>
          <w:tcPr>
            <w:tcW w:w="0" w:type="auto"/>
            <w:tcBorders>
              <w:top w:val="single" w:sz="2" w:space="0" w:color="auto"/>
            </w:tcBorders>
          </w:tcPr>
          <w:p w:rsidR="00CC6C29" w:rsidRPr="00AA5F28" w:rsidRDefault="00CC6C29" w:rsidP="00FC2B36">
            <w:pPr>
              <w:pStyle w:val="Compact"/>
              <w:spacing w:before="40" w:after="40"/>
              <w:jc w:val="right"/>
              <w:rPr>
                <w:sz w:val="18"/>
                <w:szCs w:val="18"/>
              </w:rPr>
            </w:pPr>
            <w:r w:rsidRPr="00AA5F28">
              <w:rPr>
                <w:sz w:val="18"/>
                <w:szCs w:val="18"/>
              </w:rPr>
              <w:t>6.6</w:t>
            </w:r>
          </w:p>
        </w:tc>
        <w:tc>
          <w:tcPr>
            <w:tcW w:w="0" w:type="auto"/>
            <w:tcBorders>
              <w:top w:val="single" w:sz="2" w:space="0" w:color="auto"/>
            </w:tcBorders>
          </w:tcPr>
          <w:p w:rsidR="00CC6C29" w:rsidRPr="00AA5F28" w:rsidRDefault="00CC6C29" w:rsidP="00FC2B36">
            <w:pPr>
              <w:pStyle w:val="Compact"/>
              <w:spacing w:before="40" w:after="40"/>
              <w:jc w:val="right"/>
              <w:rPr>
                <w:sz w:val="18"/>
                <w:szCs w:val="18"/>
              </w:rPr>
            </w:pPr>
            <w:r w:rsidRPr="00AA5F28">
              <w:rPr>
                <w:sz w:val="18"/>
                <w:szCs w:val="18"/>
              </w:rPr>
              <w:t>9.5</w:t>
            </w:r>
          </w:p>
        </w:tc>
        <w:tc>
          <w:tcPr>
            <w:tcW w:w="0" w:type="auto"/>
            <w:tcBorders>
              <w:top w:val="single" w:sz="2" w:space="0" w:color="auto"/>
            </w:tcBorders>
          </w:tcPr>
          <w:p w:rsidR="00CC6C29" w:rsidRPr="00AA5F28" w:rsidRDefault="00CC6C29" w:rsidP="00FC2B36">
            <w:pPr>
              <w:pStyle w:val="Compact"/>
              <w:spacing w:before="40" w:after="40"/>
              <w:jc w:val="right"/>
              <w:rPr>
                <w:sz w:val="18"/>
                <w:szCs w:val="18"/>
              </w:rPr>
            </w:pPr>
            <w:r w:rsidRPr="00AA5F28">
              <w:rPr>
                <w:sz w:val="18"/>
                <w:szCs w:val="18"/>
              </w:rPr>
              <w:t>13.5</w:t>
            </w:r>
          </w:p>
        </w:tc>
        <w:tc>
          <w:tcPr>
            <w:tcW w:w="0" w:type="auto"/>
            <w:tcBorders>
              <w:top w:val="single" w:sz="2" w:space="0" w:color="auto"/>
            </w:tcBorders>
          </w:tcPr>
          <w:p w:rsidR="00CC6C29" w:rsidRPr="00AA5F28" w:rsidRDefault="00CC6C29" w:rsidP="00FC2B36">
            <w:pPr>
              <w:pStyle w:val="Compact"/>
              <w:spacing w:before="40" w:after="40"/>
              <w:jc w:val="right"/>
              <w:rPr>
                <w:sz w:val="18"/>
                <w:szCs w:val="18"/>
              </w:rPr>
            </w:pPr>
            <w:r w:rsidRPr="00AA5F28">
              <w:rPr>
                <w:sz w:val="18"/>
                <w:szCs w:val="18"/>
              </w:rPr>
              <w:t>18.7</w:t>
            </w:r>
          </w:p>
        </w:tc>
        <w:tc>
          <w:tcPr>
            <w:tcW w:w="0" w:type="auto"/>
            <w:tcBorders>
              <w:top w:val="single" w:sz="2" w:space="0" w:color="auto"/>
            </w:tcBorders>
          </w:tcPr>
          <w:p w:rsidR="00CC6C29" w:rsidRPr="00AA5F28" w:rsidRDefault="00CC6C29" w:rsidP="00FC2B36">
            <w:pPr>
              <w:pStyle w:val="Compact"/>
              <w:spacing w:before="40" w:after="40"/>
              <w:jc w:val="right"/>
              <w:rPr>
                <w:sz w:val="18"/>
                <w:szCs w:val="18"/>
              </w:rPr>
            </w:pPr>
            <w:r w:rsidRPr="00AA5F28">
              <w:rPr>
                <w:sz w:val="18"/>
                <w:szCs w:val="18"/>
              </w:rPr>
              <w:t>25.4</w:t>
            </w:r>
          </w:p>
        </w:tc>
        <w:tc>
          <w:tcPr>
            <w:tcW w:w="0" w:type="auto"/>
            <w:tcBorders>
              <w:top w:val="single" w:sz="2" w:space="0" w:color="auto"/>
            </w:tcBorders>
          </w:tcPr>
          <w:p w:rsidR="00CC6C29" w:rsidRPr="00AA5F28" w:rsidRDefault="00CC6C29" w:rsidP="00FC2B36">
            <w:pPr>
              <w:pStyle w:val="Compact"/>
              <w:spacing w:before="40" w:after="40"/>
              <w:jc w:val="right"/>
              <w:rPr>
                <w:sz w:val="18"/>
                <w:szCs w:val="18"/>
              </w:rPr>
            </w:pPr>
            <w:r w:rsidRPr="00AA5F28">
              <w:rPr>
                <w:sz w:val="18"/>
                <w:szCs w:val="18"/>
              </w:rPr>
              <w:t>33.5</w:t>
            </w:r>
          </w:p>
        </w:tc>
        <w:tc>
          <w:tcPr>
            <w:tcW w:w="0" w:type="auto"/>
            <w:tcBorders>
              <w:top w:val="single" w:sz="2" w:space="0" w:color="auto"/>
            </w:tcBorders>
          </w:tcPr>
          <w:p w:rsidR="00CC6C29" w:rsidRPr="00AA5F28" w:rsidRDefault="00CC6C29" w:rsidP="00FC2B36">
            <w:pPr>
              <w:pStyle w:val="Compact"/>
              <w:spacing w:before="40" w:after="40"/>
              <w:jc w:val="right"/>
              <w:rPr>
                <w:sz w:val="18"/>
                <w:szCs w:val="18"/>
              </w:rPr>
            </w:pPr>
            <w:r w:rsidRPr="00AA5F28">
              <w:rPr>
                <w:sz w:val="18"/>
                <w:szCs w:val="18"/>
              </w:rPr>
              <w:t>42.7</w:t>
            </w:r>
          </w:p>
        </w:tc>
        <w:tc>
          <w:tcPr>
            <w:tcW w:w="0" w:type="auto"/>
            <w:tcBorders>
              <w:top w:val="single" w:sz="2" w:space="0" w:color="auto"/>
            </w:tcBorders>
          </w:tcPr>
          <w:p w:rsidR="00CC6C29" w:rsidRPr="00AA5F28" w:rsidRDefault="00CC6C29" w:rsidP="00FC2B36">
            <w:pPr>
              <w:pStyle w:val="Compact"/>
              <w:spacing w:before="40" w:after="40"/>
              <w:jc w:val="right"/>
              <w:rPr>
                <w:sz w:val="18"/>
                <w:szCs w:val="18"/>
              </w:rPr>
            </w:pPr>
            <w:r w:rsidRPr="00AA5F28">
              <w:rPr>
                <w:sz w:val="18"/>
                <w:szCs w:val="18"/>
              </w:rPr>
              <w:t>52.5</w:t>
            </w:r>
          </w:p>
        </w:tc>
        <w:tc>
          <w:tcPr>
            <w:tcW w:w="0" w:type="auto"/>
            <w:tcBorders>
              <w:top w:val="single" w:sz="2" w:space="0" w:color="auto"/>
            </w:tcBorders>
          </w:tcPr>
          <w:p w:rsidR="00CC6C29" w:rsidRPr="00AA5F28" w:rsidRDefault="00CC6C29" w:rsidP="00FC2B36">
            <w:pPr>
              <w:pStyle w:val="Compact"/>
              <w:spacing w:before="40" w:after="40"/>
              <w:jc w:val="right"/>
              <w:rPr>
                <w:sz w:val="18"/>
                <w:szCs w:val="18"/>
              </w:rPr>
            </w:pPr>
            <w:r w:rsidRPr="00AA5F28">
              <w:rPr>
                <w:sz w:val="18"/>
                <w:szCs w:val="18"/>
              </w:rPr>
              <w:t>62.0</w:t>
            </w:r>
          </w:p>
        </w:tc>
        <w:tc>
          <w:tcPr>
            <w:tcW w:w="0" w:type="auto"/>
            <w:tcBorders>
              <w:top w:val="single" w:sz="2" w:space="0" w:color="auto"/>
            </w:tcBorders>
          </w:tcPr>
          <w:p w:rsidR="00CC6C29" w:rsidRPr="00AA5F28" w:rsidRDefault="00CC6C29" w:rsidP="00FC2B36">
            <w:pPr>
              <w:pStyle w:val="Compact"/>
              <w:spacing w:before="40" w:after="40"/>
              <w:jc w:val="right"/>
              <w:rPr>
                <w:sz w:val="18"/>
                <w:szCs w:val="18"/>
              </w:rPr>
            </w:pPr>
            <w:r w:rsidRPr="00AA5F28">
              <w:rPr>
                <w:sz w:val="18"/>
                <w:szCs w:val="18"/>
              </w:rPr>
              <w:t>70.7</w:t>
            </w:r>
          </w:p>
        </w:tc>
        <w:tc>
          <w:tcPr>
            <w:tcW w:w="0" w:type="auto"/>
            <w:tcBorders>
              <w:top w:val="single" w:sz="2" w:space="0" w:color="auto"/>
            </w:tcBorders>
          </w:tcPr>
          <w:p w:rsidR="00CC6C29" w:rsidRPr="00AA5F28" w:rsidRDefault="00CC6C29" w:rsidP="00FC2B36">
            <w:pPr>
              <w:pStyle w:val="Compact"/>
              <w:spacing w:before="40" w:after="40"/>
              <w:jc w:val="right"/>
              <w:rPr>
                <w:sz w:val="18"/>
                <w:szCs w:val="18"/>
              </w:rPr>
            </w:pPr>
            <w:r w:rsidRPr="00AA5F28">
              <w:rPr>
                <w:sz w:val="18"/>
                <w:szCs w:val="18"/>
              </w:rPr>
              <w:t>78.2</w:t>
            </w:r>
          </w:p>
        </w:tc>
        <w:tc>
          <w:tcPr>
            <w:tcW w:w="0" w:type="auto"/>
            <w:tcBorders>
              <w:top w:val="single" w:sz="2" w:space="0" w:color="auto"/>
            </w:tcBorders>
            <w:tcMar>
              <w:left w:w="115" w:type="dxa"/>
              <w:right w:w="0" w:type="dxa"/>
            </w:tcMar>
            <w:vAlign w:val="top"/>
          </w:tcPr>
          <w:p w:rsidR="00CC6C29" w:rsidRPr="00AA5F28" w:rsidRDefault="00CC6C29" w:rsidP="00FC2B36">
            <w:pPr>
              <w:pStyle w:val="Compact"/>
              <w:spacing w:before="40" w:after="40"/>
              <w:jc w:val="right"/>
              <w:rPr>
                <w:sz w:val="18"/>
                <w:szCs w:val="18"/>
              </w:rPr>
            </w:pPr>
            <w:r w:rsidRPr="00AA5F28">
              <w:rPr>
                <w:sz w:val="18"/>
                <w:szCs w:val="18"/>
              </w:rPr>
              <w:t>84.1</w:t>
            </w:r>
          </w:p>
        </w:tc>
      </w:tr>
      <w:tr w:rsidR="00CC6C29" w:rsidRPr="00AA5F28" w:rsidTr="00FC2B36">
        <w:tc>
          <w:tcPr>
            <w:tcW w:w="0" w:type="auto"/>
          </w:tcPr>
          <w:p w:rsidR="00CC6C29" w:rsidRPr="00AA5F28" w:rsidRDefault="00CC6C29" w:rsidP="00FC2B36">
            <w:pPr>
              <w:pStyle w:val="Compact"/>
              <w:spacing w:before="40" w:after="40"/>
              <w:jc w:val="right"/>
              <w:rPr>
                <w:sz w:val="18"/>
                <w:szCs w:val="18"/>
              </w:rPr>
            </w:pPr>
            <w:r w:rsidRPr="00AA5F28">
              <w:rPr>
                <w:sz w:val="18"/>
                <w:szCs w:val="18"/>
              </w:rPr>
              <w:t>0</w:t>
            </w:r>
          </w:p>
        </w:tc>
        <w:tc>
          <w:tcPr>
            <w:tcW w:w="0" w:type="auto"/>
          </w:tcPr>
          <w:p w:rsidR="00CC6C29" w:rsidRPr="00AA5F28" w:rsidRDefault="00CC6C29" w:rsidP="00FC2B36">
            <w:pPr>
              <w:pStyle w:val="Compact"/>
              <w:spacing w:before="40" w:after="40"/>
              <w:rPr>
                <w:sz w:val="18"/>
                <w:szCs w:val="18"/>
              </w:rPr>
            </w:pPr>
            <w:r>
              <w:rPr>
                <w:sz w:val="18"/>
                <w:szCs w:val="18"/>
              </w:rPr>
              <w:t>E</w:t>
            </w:r>
            <w:r w:rsidRPr="00AA5F28">
              <w:rPr>
                <w:sz w:val="18"/>
                <w:szCs w:val="18"/>
              </w:rPr>
              <w:t>nglish</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2.7</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3.8</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5.4</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7.6</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10.5</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14.3</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19.3</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25.5</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32.8</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41.2</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50.0</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58.8</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67.1</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74.5</w:t>
            </w:r>
          </w:p>
        </w:tc>
        <w:tc>
          <w:tcPr>
            <w:tcW w:w="0" w:type="auto"/>
            <w:tcMar>
              <w:left w:w="115" w:type="dxa"/>
              <w:right w:w="0" w:type="dxa"/>
            </w:tcMar>
            <w:vAlign w:val="top"/>
          </w:tcPr>
          <w:p w:rsidR="00CC6C29" w:rsidRPr="00AA5F28" w:rsidRDefault="00CC6C29" w:rsidP="00FC2B36">
            <w:pPr>
              <w:pStyle w:val="Compact"/>
              <w:spacing w:before="40" w:after="40"/>
              <w:jc w:val="right"/>
              <w:rPr>
                <w:sz w:val="18"/>
                <w:szCs w:val="18"/>
              </w:rPr>
            </w:pPr>
            <w:r w:rsidRPr="00AA5F28">
              <w:rPr>
                <w:sz w:val="18"/>
                <w:szCs w:val="18"/>
              </w:rPr>
              <w:t>80.7</w:t>
            </w:r>
          </w:p>
        </w:tc>
      </w:tr>
      <w:tr w:rsidR="00CC6C29" w:rsidRPr="00AA5F28" w:rsidTr="00FC2B36">
        <w:tc>
          <w:tcPr>
            <w:tcW w:w="0" w:type="auto"/>
          </w:tcPr>
          <w:p w:rsidR="00CC6C29" w:rsidRPr="00AA5F28" w:rsidRDefault="00CC6C29" w:rsidP="00FC2B36">
            <w:pPr>
              <w:pStyle w:val="Compact"/>
              <w:spacing w:before="40" w:after="40"/>
              <w:jc w:val="right"/>
              <w:rPr>
                <w:sz w:val="18"/>
                <w:szCs w:val="18"/>
              </w:rPr>
            </w:pPr>
            <w:r w:rsidRPr="00AA5F28">
              <w:rPr>
                <w:sz w:val="18"/>
                <w:szCs w:val="18"/>
              </w:rPr>
              <w:t>2</w:t>
            </w:r>
          </w:p>
        </w:tc>
        <w:tc>
          <w:tcPr>
            <w:tcW w:w="0" w:type="auto"/>
          </w:tcPr>
          <w:p w:rsidR="00CC6C29" w:rsidRPr="00AA5F28" w:rsidRDefault="00CC6C29" w:rsidP="00FC2B36">
            <w:pPr>
              <w:pStyle w:val="Compact"/>
              <w:spacing w:before="40" w:after="40"/>
              <w:rPr>
                <w:sz w:val="18"/>
                <w:szCs w:val="18"/>
              </w:rPr>
            </w:pPr>
            <w:r>
              <w:rPr>
                <w:sz w:val="18"/>
                <w:szCs w:val="18"/>
              </w:rPr>
              <w:t>E</w:t>
            </w:r>
            <w:r w:rsidRPr="00AA5F28">
              <w:rPr>
                <w:sz w:val="18"/>
                <w:szCs w:val="18"/>
              </w:rPr>
              <w:t>nglish</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4.0</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5.4</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7.1</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9.4</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12.3</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15.9</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20.3</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25.6</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31.7</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38.5</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45.8</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53.3</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60.6</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67.5</w:t>
            </w:r>
          </w:p>
        </w:tc>
        <w:tc>
          <w:tcPr>
            <w:tcW w:w="0" w:type="auto"/>
            <w:tcMar>
              <w:left w:w="115" w:type="dxa"/>
              <w:right w:w="0" w:type="dxa"/>
            </w:tcMar>
            <w:vAlign w:val="top"/>
          </w:tcPr>
          <w:p w:rsidR="00CC6C29" w:rsidRPr="00AA5F28" w:rsidRDefault="00CC6C29" w:rsidP="00FC2B36">
            <w:pPr>
              <w:pStyle w:val="Compact"/>
              <w:spacing w:before="40" w:after="40"/>
              <w:jc w:val="right"/>
              <w:rPr>
                <w:sz w:val="18"/>
                <w:szCs w:val="18"/>
              </w:rPr>
            </w:pPr>
            <w:r w:rsidRPr="00AA5F28">
              <w:rPr>
                <w:sz w:val="18"/>
                <w:szCs w:val="18"/>
              </w:rPr>
              <w:t>73.7</w:t>
            </w:r>
          </w:p>
        </w:tc>
      </w:tr>
      <w:tr w:rsidR="00CC6C29" w:rsidRPr="00AA5F28" w:rsidTr="00FC2B36">
        <w:tc>
          <w:tcPr>
            <w:tcW w:w="0" w:type="auto"/>
          </w:tcPr>
          <w:p w:rsidR="00CC6C29" w:rsidRPr="00AA5F28" w:rsidRDefault="00CC6C29" w:rsidP="00FC2B36">
            <w:pPr>
              <w:pStyle w:val="Compact"/>
              <w:spacing w:before="40" w:after="40"/>
              <w:jc w:val="right"/>
              <w:rPr>
                <w:sz w:val="18"/>
                <w:szCs w:val="18"/>
              </w:rPr>
            </w:pPr>
            <w:r w:rsidRPr="00AA5F28">
              <w:rPr>
                <w:sz w:val="18"/>
                <w:szCs w:val="18"/>
              </w:rPr>
              <w:t>-2</w:t>
            </w:r>
          </w:p>
        </w:tc>
        <w:tc>
          <w:tcPr>
            <w:tcW w:w="0" w:type="auto"/>
          </w:tcPr>
          <w:p w:rsidR="00CC6C29" w:rsidRPr="00AA5F28" w:rsidRDefault="00CC6C29" w:rsidP="00FC2B36">
            <w:pPr>
              <w:pStyle w:val="Compact"/>
              <w:spacing w:before="40" w:after="40"/>
              <w:rPr>
                <w:sz w:val="18"/>
                <w:szCs w:val="18"/>
              </w:rPr>
            </w:pPr>
            <w:r>
              <w:rPr>
                <w:sz w:val="18"/>
                <w:szCs w:val="18"/>
              </w:rPr>
              <w:t>S</w:t>
            </w:r>
            <w:r w:rsidRPr="00AA5F28">
              <w:rPr>
                <w:sz w:val="18"/>
                <w:szCs w:val="18"/>
              </w:rPr>
              <w:t>panish</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3.7</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5.0</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6.9</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9.3</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12.5</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16.6</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21.7</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27.9</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35.0</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42.8</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51.0</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59.2</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66.9</w:t>
            </w:r>
          </w:p>
        </w:tc>
        <w:tc>
          <w:tcPr>
            <w:tcW w:w="0" w:type="auto"/>
          </w:tcPr>
          <w:p w:rsidR="00CC6C29" w:rsidRPr="00AA5F28" w:rsidRDefault="00CC6C29" w:rsidP="00FC2B36">
            <w:pPr>
              <w:pStyle w:val="Compact"/>
              <w:spacing w:before="40" w:after="40"/>
              <w:jc w:val="right"/>
              <w:rPr>
                <w:sz w:val="18"/>
                <w:szCs w:val="18"/>
              </w:rPr>
            </w:pPr>
            <w:r w:rsidRPr="00AA5F28">
              <w:rPr>
                <w:sz w:val="18"/>
                <w:szCs w:val="18"/>
              </w:rPr>
              <w:t>73.8</w:t>
            </w:r>
          </w:p>
        </w:tc>
        <w:tc>
          <w:tcPr>
            <w:tcW w:w="0" w:type="auto"/>
            <w:tcMar>
              <w:left w:w="115" w:type="dxa"/>
              <w:right w:w="0" w:type="dxa"/>
            </w:tcMar>
            <w:vAlign w:val="top"/>
          </w:tcPr>
          <w:p w:rsidR="00CC6C29" w:rsidRPr="00AA5F28" w:rsidRDefault="00CC6C29" w:rsidP="00FC2B36">
            <w:pPr>
              <w:pStyle w:val="Compact"/>
              <w:spacing w:before="40" w:after="40"/>
              <w:jc w:val="right"/>
              <w:rPr>
                <w:sz w:val="18"/>
                <w:szCs w:val="18"/>
              </w:rPr>
            </w:pPr>
            <w:r w:rsidRPr="00AA5F28">
              <w:rPr>
                <w:sz w:val="18"/>
                <w:szCs w:val="18"/>
              </w:rPr>
              <w:t>79.6</w:t>
            </w:r>
          </w:p>
        </w:tc>
      </w:tr>
      <w:tr w:rsidR="00CC6C29" w:rsidRPr="00AA5F28" w:rsidTr="00FC2B36">
        <w:tc>
          <w:tcPr>
            <w:tcW w:w="0" w:type="auto"/>
            <w:tcBorders>
              <w:bottom w:val="nil"/>
            </w:tcBorders>
          </w:tcPr>
          <w:p w:rsidR="00CC6C29" w:rsidRPr="00AA5F28" w:rsidRDefault="00CC6C29" w:rsidP="00FC2B36">
            <w:pPr>
              <w:pStyle w:val="Compact"/>
              <w:spacing w:before="40" w:after="40"/>
              <w:jc w:val="right"/>
              <w:rPr>
                <w:sz w:val="18"/>
                <w:szCs w:val="18"/>
              </w:rPr>
            </w:pPr>
            <w:r w:rsidRPr="00AA5F28">
              <w:rPr>
                <w:sz w:val="18"/>
                <w:szCs w:val="18"/>
              </w:rPr>
              <w:t>0</w:t>
            </w:r>
          </w:p>
        </w:tc>
        <w:tc>
          <w:tcPr>
            <w:tcW w:w="0" w:type="auto"/>
            <w:tcBorders>
              <w:bottom w:val="nil"/>
            </w:tcBorders>
          </w:tcPr>
          <w:p w:rsidR="00CC6C29" w:rsidRPr="00AA5F28" w:rsidRDefault="00CC6C29" w:rsidP="00FC2B36">
            <w:pPr>
              <w:pStyle w:val="Compact"/>
              <w:spacing w:before="40" w:after="40"/>
              <w:rPr>
                <w:sz w:val="18"/>
                <w:szCs w:val="18"/>
              </w:rPr>
            </w:pPr>
            <w:r>
              <w:rPr>
                <w:sz w:val="18"/>
                <w:szCs w:val="18"/>
              </w:rPr>
              <w:t>S</w:t>
            </w:r>
            <w:r w:rsidRPr="00AA5F28">
              <w:rPr>
                <w:sz w:val="18"/>
                <w:szCs w:val="18"/>
              </w:rPr>
              <w:t>panish</w:t>
            </w:r>
          </w:p>
        </w:tc>
        <w:tc>
          <w:tcPr>
            <w:tcW w:w="0" w:type="auto"/>
            <w:tcBorders>
              <w:bottom w:val="nil"/>
            </w:tcBorders>
          </w:tcPr>
          <w:p w:rsidR="00CC6C29" w:rsidRPr="00AA5F28" w:rsidRDefault="00CC6C29" w:rsidP="00FC2B36">
            <w:pPr>
              <w:pStyle w:val="Compact"/>
              <w:spacing w:before="40" w:after="40"/>
              <w:jc w:val="right"/>
              <w:rPr>
                <w:sz w:val="18"/>
                <w:szCs w:val="18"/>
              </w:rPr>
            </w:pPr>
            <w:r w:rsidRPr="00AA5F28">
              <w:rPr>
                <w:sz w:val="18"/>
                <w:szCs w:val="18"/>
              </w:rPr>
              <w:t>3.0</w:t>
            </w:r>
          </w:p>
        </w:tc>
        <w:tc>
          <w:tcPr>
            <w:tcW w:w="0" w:type="auto"/>
            <w:tcBorders>
              <w:bottom w:val="nil"/>
            </w:tcBorders>
          </w:tcPr>
          <w:p w:rsidR="00CC6C29" w:rsidRPr="00AA5F28" w:rsidRDefault="00CC6C29" w:rsidP="00FC2B36">
            <w:pPr>
              <w:pStyle w:val="Compact"/>
              <w:spacing w:before="40" w:after="40"/>
              <w:jc w:val="right"/>
              <w:rPr>
                <w:sz w:val="18"/>
                <w:szCs w:val="18"/>
              </w:rPr>
            </w:pPr>
            <w:r w:rsidRPr="00AA5F28">
              <w:rPr>
                <w:sz w:val="18"/>
                <w:szCs w:val="18"/>
              </w:rPr>
              <w:t>4.5</w:t>
            </w:r>
          </w:p>
        </w:tc>
        <w:tc>
          <w:tcPr>
            <w:tcW w:w="0" w:type="auto"/>
            <w:tcBorders>
              <w:bottom w:val="nil"/>
            </w:tcBorders>
          </w:tcPr>
          <w:p w:rsidR="00CC6C29" w:rsidRPr="00AA5F28" w:rsidRDefault="00CC6C29" w:rsidP="00FC2B36">
            <w:pPr>
              <w:pStyle w:val="Compact"/>
              <w:spacing w:before="40" w:after="40"/>
              <w:jc w:val="right"/>
              <w:rPr>
                <w:sz w:val="18"/>
                <w:szCs w:val="18"/>
              </w:rPr>
            </w:pPr>
            <w:r w:rsidRPr="00AA5F28">
              <w:rPr>
                <w:sz w:val="18"/>
                <w:szCs w:val="18"/>
              </w:rPr>
              <w:t>6.5</w:t>
            </w:r>
          </w:p>
        </w:tc>
        <w:tc>
          <w:tcPr>
            <w:tcW w:w="0" w:type="auto"/>
            <w:tcBorders>
              <w:bottom w:val="nil"/>
            </w:tcBorders>
          </w:tcPr>
          <w:p w:rsidR="00CC6C29" w:rsidRPr="00AA5F28" w:rsidRDefault="00CC6C29" w:rsidP="00FC2B36">
            <w:pPr>
              <w:pStyle w:val="Compact"/>
              <w:spacing w:before="40" w:after="40"/>
              <w:jc w:val="right"/>
              <w:rPr>
                <w:sz w:val="18"/>
                <w:szCs w:val="18"/>
              </w:rPr>
            </w:pPr>
            <w:r w:rsidRPr="00AA5F28">
              <w:rPr>
                <w:sz w:val="18"/>
                <w:szCs w:val="18"/>
              </w:rPr>
              <w:t>9.5</w:t>
            </w:r>
          </w:p>
        </w:tc>
        <w:tc>
          <w:tcPr>
            <w:tcW w:w="0" w:type="auto"/>
            <w:tcBorders>
              <w:bottom w:val="nil"/>
            </w:tcBorders>
          </w:tcPr>
          <w:p w:rsidR="00CC6C29" w:rsidRPr="00AA5F28" w:rsidRDefault="00CC6C29" w:rsidP="00FC2B36">
            <w:pPr>
              <w:pStyle w:val="Compact"/>
              <w:spacing w:before="40" w:after="40"/>
              <w:jc w:val="right"/>
              <w:rPr>
                <w:sz w:val="18"/>
                <w:szCs w:val="18"/>
              </w:rPr>
            </w:pPr>
            <w:r w:rsidRPr="00AA5F28">
              <w:rPr>
                <w:sz w:val="18"/>
                <w:szCs w:val="18"/>
              </w:rPr>
              <w:t>13.7</w:t>
            </w:r>
          </w:p>
        </w:tc>
        <w:tc>
          <w:tcPr>
            <w:tcW w:w="0" w:type="auto"/>
            <w:tcBorders>
              <w:bottom w:val="nil"/>
            </w:tcBorders>
          </w:tcPr>
          <w:p w:rsidR="00CC6C29" w:rsidRPr="00AA5F28" w:rsidRDefault="00CC6C29" w:rsidP="00FC2B36">
            <w:pPr>
              <w:pStyle w:val="Compact"/>
              <w:spacing w:before="40" w:after="40"/>
              <w:jc w:val="right"/>
              <w:rPr>
                <w:sz w:val="18"/>
                <w:szCs w:val="18"/>
              </w:rPr>
            </w:pPr>
            <w:r w:rsidRPr="00AA5F28">
              <w:rPr>
                <w:sz w:val="18"/>
                <w:szCs w:val="18"/>
              </w:rPr>
              <w:t>19.2</w:t>
            </w:r>
          </w:p>
        </w:tc>
        <w:tc>
          <w:tcPr>
            <w:tcW w:w="0" w:type="auto"/>
            <w:tcBorders>
              <w:bottom w:val="nil"/>
            </w:tcBorders>
          </w:tcPr>
          <w:p w:rsidR="00CC6C29" w:rsidRPr="00AA5F28" w:rsidRDefault="00CC6C29" w:rsidP="00FC2B36">
            <w:pPr>
              <w:pStyle w:val="Compact"/>
              <w:spacing w:before="40" w:after="40"/>
              <w:jc w:val="right"/>
              <w:rPr>
                <w:sz w:val="18"/>
                <w:szCs w:val="18"/>
              </w:rPr>
            </w:pPr>
            <w:r w:rsidRPr="00AA5F28">
              <w:rPr>
                <w:sz w:val="18"/>
                <w:szCs w:val="18"/>
              </w:rPr>
              <w:t>26.3</w:t>
            </w:r>
          </w:p>
        </w:tc>
        <w:tc>
          <w:tcPr>
            <w:tcW w:w="0" w:type="auto"/>
            <w:tcBorders>
              <w:bottom w:val="nil"/>
            </w:tcBorders>
          </w:tcPr>
          <w:p w:rsidR="00CC6C29" w:rsidRPr="00AA5F28" w:rsidRDefault="00CC6C29" w:rsidP="00FC2B36">
            <w:pPr>
              <w:pStyle w:val="Compact"/>
              <w:spacing w:before="40" w:after="40"/>
              <w:jc w:val="right"/>
              <w:rPr>
                <w:sz w:val="18"/>
                <w:szCs w:val="18"/>
              </w:rPr>
            </w:pPr>
            <w:r w:rsidRPr="00AA5F28">
              <w:rPr>
                <w:sz w:val="18"/>
                <w:szCs w:val="18"/>
              </w:rPr>
              <w:t>34.9</w:t>
            </w:r>
          </w:p>
        </w:tc>
        <w:tc>
          <w:tcPr>
            <w:tcW w:w="0" w:type="auto"/>
            <w:tcBorders>
              <w:bottom w:val="nil"/>
            </w:tcBorders>
          </w:tcPr>
          <w:p w:rsidR="00CC6C29" w:rsidRPr="00AA5F28" w:rsidRDefault="00CC6C29" w:rsidP="00FC2B36">
            <w:pPr>
              <w:pStyle w:val="Compact"/>
              <w:spacing w:before="40" w:after="40"/>
              <w:jc w:val="right"/>
              <w:rPr>
                <w:sz w:val="18"/>
                <w:szCs w:val="18"/>
              </w:rPr>
            </w:pPr>
            <w:r w:rsidRPr="00AA5F28">
              <w:rPr>
                <w:sz w:val="18"/>
                <w:szCs w:val="18"/>
              </w:rPr>
              <w:t>44.7</w:t>
            </w:r>
          </w:p>
        </w:tc>
        <w:tc>
          <w:tcPr>
            <w:tcW w:w="0" w:type="auto"/>
            <w:tcBorders>
              <w:bottom w:val="nil"/>
            </w:tcBorders>
          </w:tcPr>
          <w:p w:rsidR="00CC6C29" w:rsidRPr="00AA5F28" w:rsidRDefault="00CC6C29" w:rsidP="00FC2B36">
            <w:pPr>
              <w:pStyle w:val="Compact"/>
              <w:spacing w:before="40" w:after="40"/>
              <w:jc w:val="right"/>
              <w:rPr>
                <w:sz w:val="18"/>
                <w:szCs w:val="18"/>
              </w:rPr>
            </w:pPr>
            <w:r w:rsidRPr="00AA5F28">
              <w:rPr>
                <w:sz w:val="18"/>
                <w:szCs w:val="18"/>
              </w:rPr>
              <w:t>54.8</w:t>
            </w:r>
          </w:p>
        </w:tc>
        <w:tc>
          <w:tcPr>
            <w:tcW w:w="0" w:type="auto"/>
            <w:tcBorders>
              <w:bottom w:val="nil"/>
            </w:tcBorders>
          </w:tcPr>
          <w:p w:rsidR="00CC6C29" w:rsidRPr="00AA5F28" w:rsidRDefault="00CC6C29" w:rsidP="00FC2B36">
            <w:pPr>
              <w:pStyle w:val="Compact"/>
              <w:spacing w:before="40" w:after="40"/>
              <w:jc w:val="right"/>
              <w:rPr>
                <w:sz w:val="18"/>
                <w:szCs w:val="18"/>
              </w:rPr>
            </w:pPr>
            <w:r w:rsidRPr="00AA5F28">
              <w:rPr>
                <w:sz w:val="18"/>
                <w:szCs w:val="18"/>
              </w:rPr>
              <w:t>64.6</w:t>
            </w:r>
          </w:p>
        </w:tc>
        <w:tc>
          <w:tcPr>
            <w:tcW w:w="0" w:type="auto"/>
            <w:tcBorders>
              <w:bottom w:val="nil"/>
            </w:tcBorders>
          </w:tcPr>
          <w:p w:rsidR="00CC6C29" w:rsidRPr="00AA5F28" w:rsidRDefault="00CC6C29" w:rsidP="00FC2B36">
            <w:pPr>
              <w:pStyle w:val="Compact"/>
              <w:spacing w:before="40" w:after="40"/>
              <w:jc w:val="right"/>
              <w:rPr>
                <w:sz w:val="18"/>
                <w:szCs w:val="18"/>
              </w:rPr>
            </w:pPr>
            <w:r w:rsidRPr="00AA5F28">
              <w:rPr>
                <w:sz w:val="18"/>
                <w:szCs w:val="18"/>
              </w:rPr>
              <w:t>73.2</w:t>
            </w:r>
          </w:p>
        </w:tc>
        <w:tc>
          <w:tcPr>
            <w:tcW w:w="0" w:type="auto"/>
            <w:tcBorders>
              <w:bottom w:val="nil"/>
            </w:tcBorders>
          </w:tcPr>
          <w:p w:rsidR="00CC6C29" w:rsidRPr="00AA5F28" w:rsidRDefault="00CC6C29" w:rsidP="00FC2B36">
            <w:pPr>
              <w:pStyle w:val="Compact"/>
              <w:spacing w:before="40" w:after="40"/>
              <w:jc w:val="right"/>
              <w:rPr>
                <w:sz w:val="18"/>
                <w:szCs w:val="18"/>
              </w:rPr>
            </w:pPr>
            <w:r w:rsidRPr="00AA5F28">
              <w:rPr>
                <w:sz w:val="18"/>
                <w:szCs w:val="18"/>
              </w:rPr>
              <w:t>80.4</w:t>
            </w:r>
          </w:p>
        </w:tc>
        <w:tc>
          <w:tcPr>
            <w:tcW w:w="0" w:type="auto"/>
            <w:tcBorders>
              <w:bottom w:val="nil"/>
            </w:tcBorders>
          </w:tcPr>
          <w:p w:rsidR="00CC6C29" w:rsidRPr="00AA5F28" w:rsidRDefault="00CC6C29" w:rsidP="00FC2B36">
            <w:pPr>
              <w:pStyle w:val="Compact"/>
              <w:spacing w:before="40" w:after="40"/>
              <w:jc w:val="right"/>
              <w:rPr>
                <w:sz w:val="18"/>
                <w:szCs w:val="18"/>
              </w:rPr>
            </w:pPr>
            <w:r w:rsidRPr="00AA5F28">
              <w:rPr>
                <w:sz w:val="18"/>
                <w:szCs w:val="18"/>
              </w:rPr>
              <w:t>86.1</w:t>
            </w:r>
          </w:p>
        </w:tc>
        <w:tc>
          <w:tcPr>
            <w:tcW w:w="0" w:type="auto"/>
            <w:tcBorders>
              <w:bottom w:val="nil"/>
            </w:tcBorders>
            <w:tcMar>
              <w:left w:w="115" w:type="dxa"/>
              <w:right w:w="0" w:type="dxa"/>
            </w:tcMar>
            <w:vAlign w:val="top"/>
          </w:tcPr>
          <w:p w:rsidR="00CC6C29" w:rsidRPr="00AA5F28" w:rsidRDefault="00CC6C29" w:rsidP="00FC2B36">
            <w:pPr>
              <w:pStyle w:val="Compact"/>
              <w:spacing w:before="40" w:after="40"/>
              <w:jc w:val="right"/>
              <w:rPr>
                <w:sz w:val="18"/>
                <w:szCs w:val="18"/>
              </w:rPr>
            </w:pPr>
            <w:r w:rsidRPr="00AA5F28">
              <w:rPr>
                <w:sz w:val="18"/>
                <w:szCs w:val="18"/>
              </w:rPr>
              <w:t>90.3</w:t>
            </w:r>
          </w:p>
        </w:tc>
      </w:tr>
      <w:tr w:rsidR="00CC6C29" w:rsidRPr="00AA5F28" w:rsidTr="00FC2B36">
        <w:trPr>
          <w:cnfStyle w:val="010000000000" w:firstRow="0" w:lastRow="1" w:firstColumn="0" w:lastColumn="0" w:oddVBand="0" w:evenVBand="0" w:oddHBand="0" w:evenHBand="0" w:firstRowFirstColumn="0" w:firstRowLastColumn="0" w:lastRowFirstColumn="0" w:lastRowLastColumn="0"/>
        </w:trPr>
        <w:tc>
          <w:tcPr>
            <w:tcW w:w="0" w:type="auto"/>
            <w:tcBorders>
              <w:top w:val="nil"/>
              <w:bottom w:val="single" w:sz="12" w:space="0" w:color="auto"/>
            </w:tcBorders>
          </w:tcPr>
          <w:p w:rsidR="00CC6C29" w:rsidRPr="00AA5F28" w:rsidRDefault="00CC6C29" w:rsidP="00FC2B36">
            <w:pPr>
              <w:pStyle w:val="Compact"/>
              <w:spacing w:before="40" w:after="40"/>
              <w:jc w:val="right"/>
              <w:rPr>
                <w:sz w:val="18"/>
                <w:szCs w:val="18"/>
              </w:rPr>
            </w:pPr>
            <w:r w:rsidRPr="00AA5F28">
              <w:rPr>
                <w:sz w:val="18"/>
                <w:szCs w:val="18"/>
              </w:rPr>
              <w:t>2</w:t>
            </w:r>
          </w:p>
        </w:tc>
        <w:tc>
          <w:tcPr>
            <w:tcW w:w="0" w:type="auto"/>
            <w:tcBorders>
              <w:top w:val="nil"/>
              <w:bottom w:val="single" w:sz="12" w:space="0" w:color="auto"/>
            </w:tcBorders>
          </w:tcPr>
          <w:p w:rsidR="00CC6C29" w:rsidRPr="00AA5F28" w:rsidRDefault="00CC6C29" w:rsidP="00FC2B36">
            <w:pPr>
              <w:pStyle w:val="Compact"/>
              <w:spacing w:before="40" w:after="40"/>
              <w:rPr>
                <w:sz w:val="18"/>
                <w:szCs w:val="18"/>
              </w:rPr>
            </w:pPr>
            <w:r>
              <w:rPr>
                <w:sz w:val="18"/>
                <w:szCs w:val="18"/>
              </w:rPr>
              <w:t>S</w:t>
            </w:r>
            <w:r w:rsidRPr="00AA5F28">
              <w:rPr>
                <w:sz w:val="18"/>
                <w:szCs w:val="18"/>
              </w:rPr>
              <w:t>panish</w:t>
            </w:r>
          </w:p>
        </w:tc>
        <w:tc>
          <w:tcPr>
            <w:tcW w:w="0" w:type="auto"/>
            <w:tcBorders>
              <w:top w:val="nil"/>
              <w:bottom w:val="single" w:sz="12" w:space="0" w:color="auto"/>
            </w:tcBorders>
          </w:tcPr>
          <w:p w:rsidR="00CC6C29" w:rsidRPr="00AA5F28" w:rsidRDefault="00CC6C29" w:rsidP="00FC2B36">
            <w:pPr>
              <w:pStyle w:val="Compact"/>
              <w:spacing w:before="40" w:after="40"/>
              <w:jc w:val="right"/>
              <w:rPr>
                <w:sz w:val="18"/>
                <w:szCs w:val="18"/>
              </w:rPr>
            </w:pPr>
            <w:r w:rsidRPr="00AA5F28">
              <w:rPr>
                <w:sz w:val="18"/>
                <w:szCs w:val="18"/>
              </w:rPr>
              <w:t>2.1</w:t>
            </w:r>
          </w:p>
        </w:tc>
        <w:tc>
          <w:tcPr>
            <w:tcW w:w="0" w:type="auto"/>
            <w:tcBorders>
              <w:top w:val="nil"/>
              <w:bottom w:val="single" w:sz="12" w:space="0" w:color="auto"/>
            </w:tcBorders>
          </w:tcPr>
          <w:p w:rsidR="00CC6C29" w:rsidRPr="00AA5F28" w:rsidRDefault="00CC6C29" w:rsidP="00FC2B36">
            <w:pPr>
              <w:pStyle w:val="Compact"/>
              <w:spacing w:before="40" w:after="40"/>
              <w:jc w:val="right"/>
              <w:rPr>
                <w:sz w:val="18"/>
                <w:szCs w:val="18"/>
              </w:rPr>
            </w:pPr>
            <w:r w:rsidRPr="00AA5F28">
              <w:rPr>
                <w:sz w:val="18"/>
                <w:szCs w:val="18"/>
              </w:rPr>
              <w:t>3.6</w:t>
            </w:r>
          </w:p>
        </w:tc>
        <w:tc>
          <w:tcPr>
            <w:tcW w:w="0" w:type="auto"/>
            <w:tcBorders>
              <w:top w:val="nil"/>
              <w:bottom w:val="single" w:sz="12" w:space="0" w:color="auto"/>
            </w:tcBorders>
          </w:tcPr>
          <w:p w:rsidR="00CC6C29" w:rsidRPr="00AA5F28" w:rsidRDefault="00CC6C29" w:rsidP="00FC2B36">
            <w:pPr>
              <w:pStyle w:val="Compact"/>
              <w:spacing w:before="40" w:after="40"/>
              <w:jc w:val="right"/>
              <w:rPr>
                <w:sz w:val="18"/>
                <w:szCs w:val="18"/>
              </w:rPr>
            </w:pPr>
            <w:r w:rsidRPr="00AA5F28">
              <w:rPr>
                <w:sz w:val="18"/>
                <w:szCs w:val="18"/>
              </w:rPr>
              <w:t>6.0</w:t>
            </w:r>
          </w:p>
        </w:tc>
        <w:tc>
          <w:tcPr>
            <w:tcW w:w="0" w:type="auto"/>
            <w:tcBorders>
              <w:top w:val="nil"/>
              <w:bottom w:val="single" w:sz="12" w:space="0" w:color="auto"/>
            </w:tcBorders>
          </w:tcPr>
          <w:p w:rsidR="00CC6C29" w:rsidRPr="00AA5F28" w:rsidRDefault="00CC6C29" w:rsidP="00FC2B36">
            <w:pPr>
              <w:pStyle w:val="Compact"/>
              <w:spacing w:before="40" w:after="40"/>
              <w:jc w:val="right"/>
              <w:rPr>
                <w:sz w:val="18"/>
                <w:szCs w:val="18"/>
              </w:rPr>
            </w:pPr>
            <w:r w:rsidRPr="00AA5F28">
              <w:rPr>
                <w:sz w:val="18"/>
                <w:szCs w:val="18"/>
              </w:rPr>
              <w:t>9.9</w:t>
            </w:r>
          </w:p>
        </w:tc>
        <w:tc>
          <w:tcPr>
            <w:tcW w:w="0" w:type="auto"/>
            <w:tcBorders>
              <w:top w:val="nil"/>
              <w:bottom w:val="single" w:sz="12" w:space="0" w:color="auto"/>
            </w:tcBorders>
          </w:tcPr>
          <w:p w:rsidR="00CC6C29" w:rsidRPr="00AA5F28" w:rsidRDefault="00CC6C29" w:rsidP="00FC2B36">
            <w:pPr>
              <w:pStyle w:val="Compact"/>
              <w:spacing w:before="40" w:after="40"/>
              <w:jc w:val="right"/>
              <w:rPr>
                <w:sz w:val="18"/>
                <w:szCs w:val="18"/>
              </w:rPr>
            </w:pPr>
            <w:r w:rsidRPr="00AA5F28">
              <w:rPr>
                <w:sz w:val="18"/>
                <w:szCs w:val="18"/>
              </w:rPr>
              <w:t>15.8</w:t>
            </w:r>
          </w:p>
        </w:tc>
        <w:tc>
          <w:tcPr>
            <w:tcW w:w="0" w:type="auto"/>
            <w:tcBorders>
              <w:top w:val="nil"/>
              <w:bottom w:val="single" w:sz="12" w:space="0" w:color="auto"/>
            </w:tcBorders>
          </w:tcPr>
          <w:p w:rsidR="00CC6C29" w:rsidRPr="00AA5F28" w:rsidRDefault="00CC6C29" w:rsidP="00FC2B36">
            <w:pPr>
              <w:pStyle w:val="Compact"/>
              <w:spacing w:before="40" w:after="40"/>
              <w:jc w:val="right"/>
              <w:rPr>
                <w:sz w:val="18"/>
                <w:szCs w:val="18"/>
              </w:rPr>
            </w:pPr>
            <w:r w:rsidRPr="00AA5F28">
              <w:rPr>
                <w:sz w:val="18"/>
                <w:szCs w:val="18"/>
              </w:rPr>
              <w:t>24.3</w:t>
            </w:r>
          </w:p>
        </w:tc>
        <w:tc>
          <w:tcPr>
            <w:tcW w:w="0" w:type="auto"/>
            <w:tcBorders>
              <w:top w:val="nil"/>
              <w:bottom w:val="single" w:sz="12" w:space="0" w:color="auto"/>
            </w:tcBorders>
          </w:tcPr>
          <w:p w:rsidR="00CC6C29" w:rsidRPr="00AA5F28" w:rsidRDefault="00CC6C29" w:rsidP="00FC2B36">
            <w:pPr>
              <w:pStyle w:val="Compact"/>
              <w:spacing w:before="40" w:after="40"/>
              <w:jc w:val="right"/>
              <w:rPr>
                <w:sz w:val="18"/>
                <w:szCs w:val="18"/>
              </w:rPr>
            </w:pPr>
            <w:r w:rsidRPr="00AA5F28">
              <w:rPr>
                <w:sz w:val="18"/>
                <w:szCs w:val="18"/>
              </w:rPr>
              <w:t>35.4</w:t>
            </w:r>
          </w:p>
        </w:tc>
        <w:tc>
          <w:tcPr>
            <w:tcW w:w="0" w:type="auto"/>
            <w:tcBorders>
              <w:top w:val="nil"/>
              <w:bottom w:val="single" w:sz="12" w:space="0" w:color="auto"/>
            </w:tcBorders>
          </w:tcPr>
          <w:p w:rsidR="00CC6C29" w:rsidRPr="00AA5F28" w:rsidRDefault="00CC6C29" w:rsidP="00FC2B36">
            <w:pPr>
              <w:pStyle w:val="Compact"/>
              <w:spacing w:before="40" w:after="40"/>
              <w:jc w:val="right"/>
              <w:rPr>
                <w:sz w:val="18"/>
                <w:szCs w:val="18"/>
              </w:rPr>
            </w:pPr>
            <w:r w:rsidRPr="00AA5F28">
              <w:rPr>
                <w:sz w:val="18"/>
                <w:szCs w:val="18"/>
              </w:rPr>
              <w:t>48.3</w:t>
            </w:r>
          </w:p>
        </w:tc>
        <w:tc>
          <w:tcPr>
            <w:tcW w:w="0" w:type="auto"/>
            <w:tcBorders>
              <w:top w:val="nil"/>
              <w:bottom w:val="single" w:sz="12" w:space="0" w:color="auto"/>
            </w:tcBorders>
          </w:tcPr>
          <w:p w:rsidR="00CC6C29" w:rsidRPr="00AA5F28" w:rsidRDefault="00CC6C29" w:rsidP="00FC2B36">
            <w:pPr>
              <w:pStyle w:val="Compact"/>
              <w:spacing w:before="40" w:after="40"/>
              <w:jc w:val="right"/>
              <w:rPr>
                <w:sz w:val="18"/>
                <w:szCs w:val="18"/>
              </w:rPr>
            </w:pPr>
            <w:r w:rsidRPr="00AA5F28">
              <w:rPr>
                <w:sz w:val="18"/>
                <w:szCs w:val="18"/>
              </w:rPr>
              <w:t>61.5</w:t>
            </w:r>
          </w:p>
        </w:tc>
        <w:tc>
          <w:tcPr>
            <w:tcW w:w="0" w:type="auto"/>
            <w:tcBorders>
              <w:top w:val="nil"/>
              <w:bottom w:val="single" w:sz="12" w:space="0" w:color="auto"/>
            </w:tcBorders>
          </w:tcPr>
          <w:p w:rsidR="00CC6C29" w:rsidRPr="00AA5F28" w:rsidRDefault="00CC6C29" w:rsidP="00FC2B36">
            <w:pPr>
              <w:pStyle w:val="Compact"/>
              <w:spacing w:before="40" w:after="40"/>
              <w:jc w:val="right"/>
              <w:rPr>
                <w:sz w:val="18"/>
                <w:szCs w:val="18"/>
              </w:rPr>
            </w:pPr>
            <w:r w:rsidRPr="00AA5F28">
              <w:rPr>
                <w:sz w:val="18"/>
                <w:szCs w:val="18"/>
              </w:rPr>
              <w:t>73.2</w:t>
            </w:r>
          </w:p>
        </w:tc>
        <w:tc>
          <w:tcPr>
            <w:tcW w:w="0" w:type="auto"/>
            <w:tcBorders>
              <w:top w:val="nil"/>
              <w:bottom w:val="single" w:sz="12" w:space="0" w:color="auto"/>
            </w:tcBorders>
          </w:tcPr>
          <w:p w:rsidR="00CC6C29" w:rsidRPr="00AA5F28" w:rsidRDefault="00CC6C29" w:rsidP="00FC2B36">
            <w:pPr>
              <w:pStyle w:val="Compact"/>
              <w:spacing w:before="40" w:after="40"/>
              <w:jc w:val="right"/>
              <w:rPr>
                <w:sz w:val="18"/>
                <w:szCs w:val="18"/>
              </w:rPr>
            </w:pPr>
            <w:r w:rsidRPr="00AA5F28">
              <w:rPr>
                <w:sz w:val="18"/>
                <w:szCs w:val="18"/>
              </w:rPr>
              <w:t>82.4</w:t>
            </w:r>
          </w:p>
        </w:tc>
        <w:tc>
          <w:tcPr>
            <w:tcW w:w="0" w:type="auto"/>
            <w:tcBorders>
              <w:top w:val="nil"/>
              <w:bottom w:val="single" w:sz="12" w:space="0" w:color="auto"/>
            </w:tcBorders>
          </w:tcPr>
          <w:p w:rsidR="00CC6C29" w:rsidRPr="00AA5F28" w:rsidRDefault="00CC6C29" w:rsidP="00FC2B36">
            <w:pPr>
              <w:pStyle w:val="Compact"/>
              <w:spacing w:before="40" w:after="40"/>
              <w:jc w:val="right"/>
              <w:rPr>
                <w:sz w:val="18"/>
                <w:szCs w:val="18"/>
              </w:rPr>
            </w:pPr>
            <w:r w:rsidRPr="00AA5F28">
              <w:rPr>
                <w:sz w:val="18"/>
                <w:szCs w:val="18"/>
              </w:rPr>
              <w:t>88.9</w:t>
            </w:r>
          </w:p>
        </w:tc>
        <w:tc>
          <w:tcPr>
            <w:tcW w:w="0" w:type="auto"/>
            <w:tcBorders>
              <w:top w:val="nil"/>
              <w:bottom w:val="single" w:sz="12" w:space="0" w:color="auto"/>
            </w:tcBorders>
          </w:tcPr>
          <w:p w:rsidR="00CC6C29" w:rsidRPr="00AA5F28" w:rsidRDefault="00CC6C29" w:rsidP="00FC2B36">
            <w:pPr>
              <w:pStyle w:val="Compact"/>
              <w:spacing w:before="40" w:after="40"/>
              <w:jc w:val="right"/>
              <w:rPr>
                <w:sz w:val="18"/>
                <w:szCs w:val="18"/>
              </w:rPr>
            </w:pPr>
            <w:r w:rsidRPr="00AA5F28">
              <w:rPr>
                <w:sz w:val="18"/>
                <w:szCs w:val="18"/>
              </w:rPr>
              <w:t>93.2</w:t>
            </w:r>
          </w:p>
        </w:tc>
        <w:tc>
          <w:tcPr>
            <w:tcW w:w="0" w:type="auto"/>
            <w:tcBorders>
              <w:top w:val="nil"/>
              <w:bottom w:val="single" w:sz="12" w:space="0" w:color="auto"/>
            </w:tcBorders>
          </w:tcPr>
          <w:p w:rsidR="00CC6C29" w:rsidRPr="00AA5F28" w:rsidRDefault="00CC6C29" w:rsidP="00FC2B36">
            <w:pPr>
              <w:pStyle w:val="Compact"/>
              <w:spacing w:before="40" w:after="40"/>
              <w:jc w:val="right"/>
              <w:rPr>
                <w:sz w:val="18"/>
                <w:szCs w:val="18"/>
              </w:rPr>
            </w:pPr>
            <w:r w:rsidRPr="00AA5F28">
              <w:rPr>
                <w:sz w:val="18"/>
                <w:szCs w:val="18"/>
              </w:rPr>
              <w:t>95.9</w:t>
            </w:r>
          </w:p>
        </w:tc>
        <w:tc>
          <w:tcPr>
            <w:tcW w:w="0" w:type="auto"/>
            <w:tcBorders>
              <w:top w:val="nil"/>
              <w:bottom w:val="single" w:sz="12" w:space="0" w:color="auto"/>
            </w:tcBorders>
            <w:tcMar>
              <w:left w:w="115" w:type="dxa"/>
              <w:right w:w="0" w:type="dxa"/>
            </w:tcMar>
            <w:vAlign w:val="top"/>
          </w:tcPr>
          <w:p w:rsidR="00CC6C29" w:rsidRPr="00AA5F28" w:rsidRDefault="00CC6C29" w:rsidP="00FC2B36">
            <w:pPr>
              <w:pStyle w:val="Compact"/>
              <w:spacing w:before="40" w:after="40"/>
              <w:jc w:val="right"/>
              <w:rPr>
                <w:sz w:val="18"/>
                <w:szCs w:val="18"/>
              </w:rPr>
            </w:pPr>
            <w:r w:rsidRPr="00AA5F28">
              <w:rPr>
                <w:sz w:val="18"/>
                <w:szCs w:val="18"/>
              </w:rPr>
              <w:t>97.6</w:t>
            </w:r>
          </w:p>
        </w:tc>
      </w:tr>
    </w:tbl>
    <w:p w:rsidR="00CC6C29" w:rsidRDefault="00CC6C29" w:rsidP="00CC6C29">
      <w:pPr>
        <w:pStyle w:val="BodyText"/>
        <w:spacing w:line="240" w:lineRule="auto"/>
        <w:ind w:firstLine="0"/>
      </w:pPr>
    </w:p>
    <w:p w:rsidR="00CC6C29" w:rsidRDefault="00CC6C29" w:rsidP="00CC6C29">
      <w:pPr>
        <w:pStyle w:val="BodyText"/>
        <w:ind w:firstLine="0"/>
      </w:pPr>
      <w:r>
        <w:t>One can again observe that the probability of ‘voiceless’ responses varies minimally at each proficiency level in the “English” context. The differences are more pronounced in the “Spanish” context beginning around the middle region of the continuum, which represents a boundary shift to the left. Additionally, Figure 7 illustrates the relationship between VOT, context and proficiency by plotting the identification functions faceting by context. This plot underscores the fact that the perceptual categorization of the participants only changes in the Spanish context.</w:t>
      </w:r>
    </w:p>
    <w:p w:rsidR="00CC6C29" w:rsidRDefault="00CC6C29" w:rsidP="00CC6C29">
      <w:pPr>
        <w:pStyle w:val="CaptionedFigure"/>
      </w:pPr>
      <w:r>
        <w:rPr>
          <w:noProof/>
        </w:rPr>
        <w:lastRenderedPageBreak/>
        <w:drawing>
          <wp:inline distT="0" distB="0" distL="0" distR="0" wp14:anchorId="667BF95F" wp14:editId="3D1A9F82">
            <wp:extent cx="5969000" cy="2984500"/>
            <wp:effectExtent l="0" t="0" r="0" b="0"/>
            <wp:docPr id="8" name="Picture" descr="Figure 7.   Conditional effects of ‘voiceless’ responses as a function of VOT and proficiency (z-LexTALE) in the English and Spanish contexts."/>
            <wp:cNvGraphicFramePr/>
            <a:graphic xmlns:a="http://schemas.openxmlformats.org/drawingml/2006/main">
              <a:graphicData uri="http://schemas.openxmlformats.org/drawingml/2006/picture">
                <pic:pic xmlns:pic="http://schemas.openxmlformats.org/drawingml/2006/picture">
                  <pic:nvPicPr>
                    <pic:cNvPr id="0" name="Picture" descr="/Users/casillas/academia/research/in_progress/dpbe_l2_replication/docs/manuscript/includes/figs/2afc/plot_2afc_3way.png"/>
                    <pic:cNvPicPr>
                      <a:picLocks noChangeAspect="1" noChangeArrowheads="1"/>
                    </pic:cNvPicPr>
                  </pic:nvPicPr>
                  <pic:blipFill>
                    <a:blip r:embed="rId7"/>
                    <a:stretch>
                      <a:fillRect/>
                    </a:stretch>
                  </pic:blipFill>
                  <pic:spPr bwMode="auto">
                    <a:xfrm>
                      <a:off x="0" y="0"/>
                      <a:ext cx="5969000" cy="2984500"/>
                    </a:xfrm>
                    <a:prstGeom prst="rect">
                      <a:avLst/>
                    </a:prstGeom>
                    <a:noFill/>
                    <a:ln w="9525">
                      <a:noFill/>
                      <a:headEnd/>
                      <a:tailEnd/>
                    </a:ln>
                  </pic:spPr>
                </pic:pic>
              </a:graphicData>
            </a:graphic>
          </wp:inline>
        </w:drawing>
      </w:r>
    </w:p>
    <w:p w:rsidR="00CC6C29" w:rsidRDefault="00CC6C29" w:rsidP="00CC6C29">
      <w:pPr>
        <w:pStyle w:val="ImageCaption"/>
        <w:spacing w:before="0" w:after="0" w:line="240" w:lineRule="auto"/>
      </w:pPr>
      <w:r>
        <w:rPr>
          <w:i/>
        </w:rPr>
        <w:t>Figure</w:t>
      </w:r>
      <w:r>
        <w:t xml:space="preserve"> </w:t>
      </w:r>
      <w:r>
        <w:rPr>
          <w:i/>
        </w:rPr>
        <w:t xml:space="preserve">7.  </w:t>
      </w:r>
      <w:r>
        <w:t xml:space="preserve"> Conditional effects of ‘voiceless’ responses as a function of VOT and proficiency (z-LexTALE) in the English and Spanish contexts.</w:t>
      </w:r>
    </w:p>
    <w:p w:rsidR="00CC6C29" w:rsidRDefault="00CC6C29" w:rsidP="00CC6C29">
      <w:pPr>
        <w:pStyle w:val="ImageCaption"/>
        <w:spacing w:before="0" w:after="0" w:line="240" w:lineRule="auto"/>
      </w:pPr>
    </w:p>
    <w:p w:rsidR="00CC6C29" w:rsidRDefault="00CC6C29" w:rsidP="00CC6C29">
      <w:pPr>
        <w:pStyle w:val="BodyText"/>
      </w:pPr>
      <w:r>
        <w:t>As a compliment to the model-based visualization provided in Figures 3 and 7, as well as the numeric summaries provided in Tables 1 and 2, we additionally illustrate the boundary shift using the raw data in Figure 8. Given that we operationalize proficiency as a continuous variable, we plot the raw data by trichotimizing the z-LexTALE scores using the lower and upper thirds of the distribution (see Gelman &amp; Park, 2009).</w:t>
      </w:r>
    </w:p>
    <w:p w:rsidR="00CC6C29" w:rsidRDefault="00CC6C29" w:rsidP="00CC6C29">
      <w:pPr>
        <w:pStyle w:val="CaptionedFigure"/>
      </w:pPr>
      <w:r>
        <w:rPr>
          <w:noProof/>
        </w:rPr>
        <w:lastRenderedPageBreak/>
        <w:drawing>
          <wp:inline distT="0" distB="0" distL="0" distR="0" wp14:anchorId="41660A94" wp14:editId="02B0AD21">
            <wp:extent cx="5969000" cy="2709007"/>
            <wp:effectExtent l="0" t="0" r="0" b="0"/>
            <wp:docPr id="9" name="Picture" descr="Figure 8.   Proportion of ‘voiceless’ responses as a function of VOT and language context for low, medium and high z-LexTALE scores. Points represent mean values ± 95% bootstrapped confidence intervals."/>
            <wp:cNvGraphicFramePr/>
            <a:graphic xmlns:a="http://schemas.openxmlformats.org/drawingml/2006/main">
              <a:graphicData uri="http://schemas.openxmlformats.org/drawingml/2006/picture">
                <pic:pic xmlns:pic="http://schemas.openxmlformats.org/drawingml/2006/picture">
                  <pic:nvPicPr>
                    <pic:cNvPr id="0" name="Picture" descr="/Users/casillas/academia/research/in_progress/dpbe_l2_replication/docs/manuscript/includes/figs/supplementary_materials/plot_raw_data.png"/>
                    <pic:cNvPicPr>
                      <a:picLocks noChangeAspect="1" noChangeArrowheads="1"/>
                    </pic:cNvPicPr>
                  </pic:nvPicPr>
                  <pic:blipFill>
                    <a:blip r:embed="rId8"/>
                    <a:stretch>
                      <a:fillRect/>
                    </a:stretch>
                  </pic:blipFill>
                  <pic:spPr bwMode="auto">
                    <a:xfrm>
                      <a:off x="0" y="0"/>
                      <a:ext cx="5969000" cy="2709007"/>
                    </a:xfrm>
                    <a:prstGeom prst="rect">
                      <a:avLst/>
                    </a:prstGeom>
                    <a:noFill/>
                    <a:ln w="9525">
                      <a:noFill/>
                      <a:headEnd/>
                      <a:tailEnd/>
                    </a:ln>
                  </pic:spPr>
                </pic:pic>
              </a:graphicData>
            </a:graphic>
          </wp:inline>
        </w:drawing>
      </w:r>
    </w:p>
    <w:p w:rsidR="00CC6C29" w:rsidRDefault="00CC6C29" w:rsidP="00CC6C29">
      <w:pPr>
        <w:pStyle w:val="ImageCaption"/>
        <w:spacing w:before="0" w:after="0" w:line="240" w:lineRule="auto"/>
      </w:pPr>
      <w:r>
        <w:rPr>
          <w:i/>
        </w:rPr>
        <w:t>Figure</w:t>
      </w:r>
      <w:r>
        <w:t xml:space="preserve"> </w:t>
      </w:r>
      <w:r>
        <w:rPr>
          <w:i/>
        </w:rPr>
        <w:t xml:space="preserve">8.  </w:t>
      </w:r>
      <w:r>
        <w:t xml:space="preserve"> Proportion of ‘voiceless’ responses as a function of VOT and language context for low, medium and high z-LexTALE scores. Points represent mean values ± 95% bootstrapped confidence intervals.</w:t>
      </w:r>
    </w:p>
    <w:p w:rsidR="00CC6C29" w:rsidRDefault="00CC6C29" w:rsidP="00CC6C29">
      <w:pPr>
        <w:pStyle w:val="ImageCaption"/>
        <w:spacing w:before="0" w:after="0" w:line="240" w:lineRule="auto"/>
      </w:pPr>
    </w:p>
    <w:p w:rsidR="00CC6C29" w:rsidRDefault="00CC6C29" w:rsidP="00CC6C29">
      <w:pPr>
        <w:pStyle w:val="BodyText"/>
        <w:ind w:firstLine="0"/>
      </w:pPr>
      <w:r>
        <w:t>The visualization of the raw data support the general conclusion from the statistical analysis: there is a shift to the left of the identification function in the “Spanish” context at higher z-LexTALE scores. That is, we observe increased ‘voiceless’ responses at higher proficiency levels when the participants believe they are hearing Spanish. Additionally, we calculated the point at which the probability of ‘voiceless’ responses reached 50% in each condition using the following formula:</w:t>
      </w:r>
    </w:p>
    <w:p w:rsidR="00CC6C29" w:rsidRPr="00C635BB" w:rsidRDefault="00CC6C29" w:rsidP="00CC6C29">
      <w:pPr>
        <w:pStyle w:val="BodyText"/>
        <w:rPr>
          <w:rFonts w:cs="Times New Roman"/>
        </w:rPr>
      </w:pPr>
      <m:oMathPara>
        <m:oMathParaPr>
          <m:jc m:val="center"/>
        </m:oMathParaPr>
        <m:oMath>
          <m:r>
            <m:rPr>
              <m:nor/>
            </m:rPr>
            <w:rPr>
              <w:rFonts w:cs="Times New Roman"/>
            </w:rPr>
            <m:t>C</m:t>
          </m:r>
          <m:sSub>
            <m:sSubPr>
              <m:ctrlPr>
                <w:rPr>
                  <w:rFonts w:ascii="Cambria Math" w:hAnsi="Cambria Math" w:cs="Times New Roman"/>
                </w:rPr>
              </m:ctrlPr>
            </m:sSubPr>
            <m:e>
              <m:r>
                <m:rPr>
                  <m:nor/>
                </m:rPr>
                <w:rPr>
                  <w:rFonts w:cs="Times New Roman"/>
                </w:rPr>
                <m:t>O</m:t>
              </m:r>
            </m:e>
            <m:sub>
              <m:r>
                <m:rPr>
                  <m:nor/>
                </m:rPr>
                <w:rPr>
                  <w:rFonts w:cs="Times New Roman"/>
                </w:rPr>
                <m:t>i</m:t>
              </m:r>
            </m:sub>
          </m:sSub>
          <m:r>
            <m:rPr>
              <m:nor/>
            </m:rPr>
            <w:rPr>
              <w:rFonts w:cs="Times New Roman"/>
            </w:rPr>
            <m:t>=</m:t>
          </m:r>
          <m:f>
            <m:fPr>
              <m:ctrlPr>
                <w:rPr>
                  <w:rFonts w:ascii="Cambria Math" w:hAnsi="Cambria Math" w:cs="Times New Roman"/>
                </w:rPr>
              </m:ctrlPr>
            </m:fPr>
            <m:num>
              <m:r>
                <m:rPr>
                  <m:nor/>
                </m:rPr>
                <w:rPr>
                  <w:rFonts w:cs="Times New Roman"/>
                </w:rPr>
                <m:t>β</m:t>
              </m:r>
              <m:sSub>
                <m:sSubPr>
                  <m:ctrlPr>
                    <w:rPr>
                      <w:rFonts w:ascii="Cambria Math" w:hAnsi="Cambria Math" w:cs="Times New Roman"/>
                    </w:rPr>
                  </m:ctrlPr>
                </m:sSubPr>
                <m:e>
                  <m:r>
                    <m:rPr>
                      <m:nor/>
                    </m:rPr>
                    <w:rPr>
                      <w:rFonts w:cs="Times New Roman"/>
                    </w:rPr>
                    <m:t>0</m:t>
                  </m:r>
                </m:e>
                <m:sub>
                  <m:r>
                    <m:rPr>
                      <m:nor/>
                    </m:rPr>
                    <w:rPr>
                      <w:rFonts w:cs="Times New Roman"/>
                    </w:rPr>
                    <m:t>i</m:t>
                  </m:r>
                </m:sub>
              </m:sSub>
            </m:num>
            <m:den>
              <m:r>
                <m:rPr>
                  <m:nor/>
                </m:rPr>
                <w:rPr>
                  <w:rFonts w:cs="Times New Roman"/>
                </w:rPr>
                <m:t>β</m:t>
              </m:r>
              <m:sSub>
                <m:sSubPr>
                  <m:ctrlPr>
                    <w:rPr>
                      <w:rFonts w:ascii="Cambria Math" w:hAnsi="Cambria Math" w:cs="Times New Roman"/>
                    </w:rPr>
                  </m:ctrlPr>
                </m:sSubPr>
                <m:e>
                  <m:r>
                    <m:rPr>
                      <m:nor/>
                    </m:rPr>
                    <w:rPr>
                      <w:rFonts w:cs="Times New Roman"/>
                    </w:rPr>
                    <m:t>vot</m:t>
                  </m:r>
                </m:e>
                <m:sub>
                  <m:r>
                    <m:rPr>
                      <m:nor/>
                    </m:rPr>
                    <w:rPr>
                      <w:rFonts w:cs="Times New Roman"/>
                    </w:rPr>
                    <m:t>i</m:t>
                  </m:r>
                </m:sub>
              </m:sSub>
            </m:den>
          </m:f>
          <m:r>
            <m:rPr>
              <m:nor/>
            </m:rPr>
            <w:rPr>
              <w:rFonts w:cs="Times New Roman"/>
            </w:rPr>
            <m:t xml:space="preserve">× </m:t>
          </m:r>
          <m:r>
            <m:rPr>
              <m:nor/>
            </m:rPr>
            <m:t>-</m:t>
          </m:r>
          <m:r>
            <m:rPr>
              <m:nor/>
            </m:rPr>
            <w:rPr>
              <w:rFonts w:cs="Times New Roman"/>
            </w:rPr>
            <m:t>1</m:t>
          </m:r>
        </m:oMath>
      </m:oMathPara>
    </w:p>
    <w:p w:rsidR="00CC6C29" w:rsidRDefault="00CC6C29" w:rsidP="00CC6C29">
      <w:pPr>
        <w:pStyle w:val="FirstParagraph"/>
        <w:ind w:firstLine="0"/>
      </w:pPr>
      <w:r>
        <w:t>where the boundary crossover point (</w:t>
      </w:r>
      <w:r>
        <w:rPr>
          <w:i/>
        </w:rPr>
        <w:t>CO</w:t>
      </w:r>
      <w:r>
        <w:rPr>
          <w:i/>
          <w:vertAlign w:val="subscript"/>
        </w:rPr>
        <w:t>i</w:t>
      </w:r>
      <w:r>
        <w:t>) is the intercept (β</w:t>
      </w:r>
      <w:r>
        <w:rPr>
          <w:vertAlign w:val="subscript"/>
        </w:rPr>
        <w:t>0</w:t>
      </w:r>
      <w:r>
        <w:t>) divided by the slope (β</w:t>
      </w:r>
      <w:r>
        <w:rPr>
          <w:vertAlign w:val="subscript"/>
        </w:rPr>
        <w:t>vot</w:t>
      </w:r>
      <w:r>
        <w:t>) multiplied by −1. Figure 9 plots the crossover points in each condition. Importantly, one can observe that the “English” 50% crossover point is constant at approximately 13 ms, while the “Spanish” crossover point shifts to left at medium and high proficiency.</w:t>
      </w:r>
    </w:p>
    <w:p w:rsidR="00CC6C29" w:rsidRDefault="00CC6C29" w:rsidP="00CC6C29">
      <w:pPr>
        <w:pStyle w:val="CaptionedFigure"/>
      </w:pPr>
      <w:r>
        <w:rPr>
          <w:noProof/>
        </w:rPr>
        <w:lastRenderedPageBreak/>
        <w:drawing>
          <wp:inline distT="0" distB="0" distL="0" distR="0" wp14:anchorId="4EEE8AE7" wp14:editId="30539770">
            <wp:extent cx="5969000" cy="2709007"/>
            <wp:effectExtent l="0" t="0" r="0" b="0"/>
            <wp:docPr id="10" name="Picture" descr="Figure 9.   Proportion of ‘voiceless’ responses as a function of VOT, context and proficiency. Vertical discontinuous lines represent the 50% crossover point for Spanish (blue) and English (red)."/>
            <wp:cNvGraphicFramePr/>
            <a:graphic xmlns:a="http://schemas.openxmlformats.org/drawingml/2006/main">
              <a:graphicData uri="http://schemas.openxmlformats.org/drawingml/2006/picture">
                <pic:pic xmlns:pic="http://schemas.openxmlformats.org/drawingml/2006/picture">
                  <pic:nvPicPr>
                    <pic:cNvPr id="0" name="Picture" descr="/Users/casillas/academia/research/in_progress/dpbe_l2_replication/docs/manuscript/includes/figs/supplementary_materials/plot_boundaries.png"/>
                    <pic:cNvPicPr>
                      <a:picLocks noChangeAspect="1" noChangeArrowheads="1"/>
                    </pic:cNvPicPr>
                  </pic:nvPicPr>
                  <pic:blipFill>
                    <a:blip r:embed="rId9"/>
                    <a:stretch>
                      <a:fillRect/>
                    </a:stretch>
                  </pic:blipFill>
                  <pic:spPr bwMode="auto">
                    <a:xfrm>
                      <a:off x="0" y="0"/>
                      <a:ext cx="5969000" cy="2709007"/>
                    </a:xfrm>
                    <a:prstGeom prst="rect">
                      <a:avLst/>
                    </a:prstGeom>
                    <a:noFill/>
                    <a:ln w="9525">
                      <a:noFill/>
                      <a:headEnd/>
                      <a:tailEnd/>
                    </a:ln>
                  </pic:spPr>
                </pic:pic>
              </a:graphicData>
            </a:graphic>
          </wp:inline>
        </w:drawing>
      </w:r>
    </w:p>
    <w:p w:rsidR="00CC6C29" w:rsidRDefault="00CC6C29" w:rsidP="00CC6C29">
      <w:pPr>
        <w:pStyle w:val="ImageCaption"/>
        <w:spacing w:before="0" w:after="0" w:line="240" w:lineRule="auto"/>
      </w:pPr>
      <w:r>
        <w:rPr>
          <w:i/>
        </w:rPr>
        <w:t>Figure</w:t>
      </w:r>
      <w:r>
        <w:t xml:space="preserve"> </w:t>
      </w:r>
      <w:r>
        <w:rPr>
          <w:i/>
        </w:rPr>
        <w:t xml:space="preserve">9.  </w:t>
      </w:r>
      <w:r>
        <w:t xml:space="preserve"> Proportion of ‘voiceless’ responses as a function of VOT, context and proficiency. Vertical discontinuous lines represent the 50% crossover point for Spanish (blue) and English (red).</w:t>
      </w:r>
    </w:p>
    <w:p w:rsidR="00CC6C29" w:rsidRDefault="00CC6C29" w:rsidP="00CC6C29">
      <w:pPr>
        <w:pStyle w:val="ImageCaption"/>
        <w:spacing w:before="0" w:after="0" w:line="240" w:lineRule="auto"/>
      </w:pPr>
    </w:p>
    <w:p w:rsidR="00CC6C29" w:rsidRDefault="00CC6C29" w:rsidP="00CC6C29">
      <w:pPr>
        <w:pStyle w:val="BodyText"/>
      </w:pPr>
      <w:r>
        <w:t>Another option for scrutinizing phoneme boundaries is to use the posterior distribution from the omnibus model to calculate an entire distribution of plausible 50% crossover points for each language. The contour plot in the left panel of Figure 10 plots 6,000 draws from the posterior at the average proficiency level (z-LexTALE = 0). The lighter the color the more plausible the values for the English and Spanish boundaries. We can see that the center of gravity of the distribution falls at approximately 12.95 ms for English and 9.29 ms for Spanish. Thus, at the average proficiency level, the most plausible Spanish boundary is lower (i.e., further to the left) than the most plausible English boundary. We can quantify and summarize the difference between the two boundaries by subtracting the 6,000 most plausible Spanish boundaries from the 6,000 most plausible English boundaries. We see that at the average proficiency level there is strong evidence that the difference is greater than 0 (x̄ = 3.68, HDI = [1.32, 6.03]). The right panel of Figure 10 plots the distribution of the differences between English and Spanish boundaries, along with summary statistics.</w:t>
      </w:r>
    </w:p>
    <w:p w:rsidR="00CC6C29" w:rsidRDefault="00CC6C29" w:rsidP="00CC6C29">
      <w:pPr>
        <w:pStyle w:val="CaptionedFigure"/>
      </w:pPr>
      <w:r>
        <w:rPr>
          <w:noProof/>
        </w:rPr>
        <w:lastRenderedPageBreak/>
        <w:drawing>
          <wp:inline distT="0" distB="0" distL="0" distR="0" wp14:anchorId="11E5742A" wp14:editId="2AA625E2">
            <wp:extent cx="5969000" cy="2245480"/>
            <wp:effectExtent l="0" t="0" r="0" b="0"/>
            <wp:docPr id="11" name="Picture" descr="Figure 10.   Posterior estimates of Spanish and English boundaries (left panel) and boundary differences (right panel)."/>
            <wp:cNvGraphicFramePr/>
            <a:graphic xmlns:a="http://schemas.openxmlformats.org/drawingml/2006/main">
              <a:graphicData uri="http://schemas.openxmlformats.org/drawingml/2006/picture">
                <pic:pic xmlns:pic="http://schemas.openxmlformats.org/drawingml/2006/picture">
                  <pic:nvPicPr>
                    <pic:cNvPr id="0" name="Picture" descr="/Users/casillas/academia/research/in_progress/dpbe_l2_replication/docs/manuscript/includes/figs/supplementary_materials/plot_pop_posterior.png"/>
                    <pic:cNvPicPr>
                      <a:picLocks noChangeAspect="1" noChangeArrowheads="1"/>
                    </pic:cNvPicPr>
                  </pic:nvPicPr>
                  <pic:blipFill>
                    <a:blip r:embed="rId10"/>
                    <a:stretch>
                      <a:fillRect/>
                    </a:stretch>
                  </pic:blipFill>
                  <pic:spPr bwMode="auto">
                    <a:xfrm>
                      <a:off x="0" y="0"/>
                      <a:ext cx="5969000" cy="2245480"/>
                    </a:xfrm>
                    <a:prstGeom prst="rect">
                      <a:avLst/>
                    </a:prstGeom>
                    <a:noFill/>
                    <a:ln w="9525">
                      <a:noFill/>
                      <a:headEnd/>
                      <a:tailEnd/>
                    </a:ln>
                  </pic:spPr>
                </pic:pic>
              </a:graphicData>
            </a:graphic>
          </wp:inline>
        </w:drawing>
      </w:r>
    </w:p>
    <w:p w:rsidR="00CC6C29" w:rsidRDefault="00CC6C29" w:rsidP="00CC6C29">
      <w:pPr>
        <w:pStyle w:val="ImageCaption"/>
        <w:spacing w:before="0" w:after="0" w:line="240" w:lineRule="auto"/>
      </w:pPr>
      <w:r>
        <w:rPr>
          <w:i/>
        </w:rPr>
        <w:t>Figure</w:t>
      </w:r>
      <w:r>
        <w:t xml:space="preserve"> </w:t>
      </w:r>
      <w:r>
        <w:rPr>
          <w:i/>
        </w:rPr>
        <w:t xml:space="preserve">10.  </w:t>
      </w:r>
      <w:r>
        <w:t xml:space="preserve"> Posterior estimates of Spanish and English boundaries (left panel) and boundary differences (right panel).</w:t>
      </w:r>
    </w:p>
    <w:p w:rsidR="00CC6C29" w:rsidRDefault="00CC6C29" w:rsidP="00CC6C29">
      <w:pPr>
        <w:pStyle w:val="ImageCaption"/>
        <w:spacing w:before="0" w:after="0" w:line="240" w:lineRule="auto"/>
      </w:pPr>
    </w:p>
    <w:p w:rsidR="00CC6C29" w:rsidRDefault="00CC6C29" w:rsidP="00CC6C29">
      <w:pPr>
        <w:pStyle w:val="BodyText"/>
        <w:ind w:firstLine="720"/>
      </w:pPr>
      <w:r>
        <w:t>In the next step of our analysis we conditioned the difference between the two boundaries, the phonemic boundary effect, on proficiency. The results of the model are summarized graphically in Figure 5 of the manuscript and numerically in Table 3 below.</w:t>
      </w:r>
    </w:p>
    <w:p w:rsidR="00CC6C29" w:rsidRDefault="00CC6C29" w:rsidP="00CC6C29">
      <w:pPr>
        <w:pStyle w:val="TableCaption"/>
        <w:spacing w:after="240" w:line="240" w:lineRule="auto"/>
      </w:pPr>
      <w:r>
        <w:t>Table 3: Summary of the posterior distribution modeling the phonemic boundary effect as a function of z-LexTALE. The table includes posterior means, the 95% HDI, the percentage of the HDI within the ROPE, and the maximum probability of effect (MPE).</w:t>
      </w:r>
    </w:p>
    <w:tbl>
      <w:tblPr>
        <w:tblStyle w:val="Table"/>
        <w:tblW w:w="0" w:type="pct"/>
        <w:jc w:val="center"/>
        <w:tblLook w:val="07E0" w:firstRow="1" w:lastRow="1" w:firstColumn="1" w:lastColumn="1" w:noHBand="1" w:noVBand="1"/>
      </w:tblPr>
      <w:tblGrid>
        <w:gridCol w:w="1389"/>
        <w:gridCol w:w="1056"/>
        <w:gridCol w:w="1472"/>
        <w:gridCol w:w="830"/>
        <w:gridCol w:w="609"/>
      </w:tblGrid>
      <w:tr w:rsidR="00CC6C29" w:rsidTr="00FC2B36">
        <w:trPr>
          <w:cnfStyle w:val="100000000000" w:firstRow="1" w:lastRow="0" w:firstColumn="0" w:lastColumn="0" w:oddVBand="0" w:evenVBand="0" w:oddHBand="0" w:evenHBand="0" w:firstRowFirstColumn="0" w:firstRowLastColumn="0" w:lastRowFirstColumn="0" w:lastRowLastColumn="0"/>
          <w:jc w:val="center"/>
        </w:trPr>
        <w:tc>
          <w:tcPr>
            <w:tcW w:w="0" w:type="auto"/>
            <w:tcBorders>
              <w:top w:val="single" w:sz="12" w:space="0" w:color="auto"/>
              <w:bottom w:val="single" w:sz="2" w:space="0" w:color="auto"/>
            </w:tcBorders>
            <w:tcMar>
              <w:left w:w="0" w:type="dxa"/>
              <w:right w:w="115" w:type="dxa"/>
            </w:tcMar>
            <w:vAlign w:val="bottom"/>
          </w:tcPr>
          <w:p w:rsidR="00CC6C29" w:rsidRDefault="00CC6C29" w:rsidP="00FC2B36">
            <w:pPr>
              <w:pStyle w:val="Compact"/>
              <w:spacing w:before="40" w:after="40"/>
            </w:pPr>
            <w:r>
              <w:t>Parameter</w:t>
            </w:r>
          </w:p>
        </w:tc>
        <w:tc>
          <w:tcPr>
            <w:tcW w:w="0" w:type="auto"/>
            <w:tcBorders>
              <w:top w:val="single" w:sz="12" w:space="0" w:color="auto"/>
              <w:bottom w:val="single" w:sz="2" w:space="0" w:color="auto"/>
            </w:tcBorders>
            <w:vAlign w:val="bottom"/>
          </w:tcPr>
          <w:p w:rsidR="00CC6C29" w:rsidRDefault="00CC6C29" w:rsidP="00FC2B36">
            <w:pPr>
              <w:pStyle w:val="Compact"/>
              <w:spacing w:before="40" w:after="40"/>
              <w:jc w:val="right"/>
            </w:pPr>
            <w:r>
              <w:t>Estimate</w:t>
            </w:r>
          </w:p>
        </w:tc>
        <w:tc>
          <w:tcPr>
            <w:tcW w:w="0" w:type="auto"/>
            <w:tcBorders>
              <w:top w:val="single" w:sz="12" w:space="0" w:color="auto"/>
              <w:bottom w:val="single" w:sz="2" w:space="0" w:color="auto"/>
            </w:tcBorders>
            <w:vAlign w:val="bottom"/>
          </w:tcPr>
          <w:p w:rsidR="00CC6C29" w:rsidRDefault="00CC6C29" w:rsidP="00FC2B36">
            <w:pPr>
              <w:pStyle w:val="Compact"/>
              <w:spacing w:before="40" w:after="40"/>
              <w:jc w:val="right"/>
            </w:pPr>
            <w:r>
              <w:t>HDI</w:t>
            </w:r>
          </w:p>
        </w:tc>
        <w:tc>
          <w:tcPr>
            <w:tcW w:w="0" w:type="auto"/>
            <w:tcBorders>
              <w:top w:val="single" w:sz="12" w:space="0" w:color="auto"/>
              <w:bottom w:val="single" w:sz="2" w:space="0" w:color="auto"/>
            </w:tcBorders>
            <w:vAlign w:val="bottom"/>
          </w:tcPr>
          <w:p w:rsidR="00CC6C29" w:rsidRDefault="00CC6C29" w:rsidP="00FC2B36">
            <w:pPr>
              <w:pStyle w:val="Compact"/>
              <w:spacing w:before="40" w:after="40"/>
              <w:jc w:val="right"/>
            </w:pPr>
            <w:r>
              <w:t>ROPE</w:t>
            </w:r>
          </w:p>
        </w:tc>
        <w:tc>
          <w:tcPr>
            <w:tcW w:w="0" w:type="auto"/>
            <w:tcBorders>
              <w:top w:val="single" w:sz="12" w:space="0" w:color="auto"/>
              <w:bottom w:val="single" w:sz="2" w:space="0" w:color="auto"/>
            </w:tcBorders>
            <w:tcMar>
              <w:left w:w="115" w:type="dxa"/>
              <w:right w:w="0" w:type="dxa"/>
            </w:tcMar>
            <w:vAlign w:val="bottom"/>
          </w:tcPr>
          <w:p w:rsidR="00CC6C29" w:rsidRDefault="00CC6C29" w:rsidP="00FC2B36">
            <w:pPr>
              <w:pStyle w:val="Compact"/>
              <w:spacing w:before="40" w:after="40"/>
              <w:jc w:val="right"/>
            </w:pPr>
            <w:r>
              <w:t>MPE</w:t>
            </w:r>
          </w:p>
        </w:tc>
      </w:tr>
      <w:tr w:rsidR="00CC6C29" w:rsidTr="00FC2B36">
        <w:trPr>
          <w:jc w:val="center"/>
        </w:trPr>
        <w:tc>
          <w:tcPr>
            <w:tcW w:w="0" w:type="auto"/>
            <w:tcBorders>
              <w:top w:val="single" w:sz="2" w:space="0" w:color="auto"/>
              <w:bottom w:val="nil"/>
            </w:tcBorders>
          </w:tcPr>
          <w:p w:rsidR="00CC6C29" w:rsidRDefault="00CC6C29" w:rsidP="00FC2B36">
            <w:pPr>
              <w:pStyle w:val="Compact"/>
              <w:spacing w:before="40" w:after="40"/>
            </w:pPr>
            <w:r>
              <w:t>Intercept</w:t>
            </w:r>
          </w:p>
        </w:tc>
        <w:tc>
          <w:tcPr>
            <w:tcW w:w="0" w:type="auto"/>
            <w:tcBorders>
              <w:top w:val="single" w:sz="2" w:space="0" w:color="auto"/>
              <w:bottom w:val="nil"/>
            </w:tcBorders>
          </w:tcPr>
          <w:p w:rsidR="00CC6C29" w:rsidRDefault="00CC6C29" w:rsidP="00FC2B36">
            <w:pPr>
              <w:pStyle w:val="Compact"/>
              <w:spacing w:before="40" w:after="40"/>
              <w:jc w:val="right"/>
            </w:pPr>
            <w:r>
              <w:t>0.03</w:t>
            </w:r>
          </w:p>
        </w:tc>
        <w:tc>
          <w:tcPr>
            <w:tcW w:w="0" w:type="auto"/>
            <w:tcBorders>
              <w:top w:val="single" w:sz="2" w:space="0" w:color="auto"/>
              <w:bottom w:val="nil"/>
            </w:tcBorders>
          </w:tcPr>
          <w:p w:rsidR="00CC6C29" w:rsidRDefault="00CC6C29" w:rsidP="00FC2B36">
            <w:pPr>
              <w:pStyle w:val="Compact"/>
              <w:spacing w:before="40" w:after="40"/>
              <w:jc w:val="right"/>
            </w:pPr>
            <w:r>
              <w:t>[−0.05, 0.10]</w:t>
            </w:r>
          </w:p>
        </w:tc>
        <w:tc>
          <w:tcPr>
            <w:tcW w:w="0" w:type="auto"/>
            <w:tcBorders>
              <w:top w:val="single" w:sz="2" w:space="0" w:color="auto"/>
              <w:bottom w:val="nil"/>
            </w:tcBorders>
          </w:tcPr>
          <w:p w:rsidR="00CC6C29" w:rsidRDefault="00CC6C29" w:rsidP="00FC2B36">
            <w:pPr>
              <w:pStyle w:val="Compact"/>
              <w:spacing w:before="40" w:after="40"/>
              <w:jc w:val="right"/>
            </w:pPr>
            <w:r>
              <w:t>0.39</w:t>
            </w:r>
          </w:p>
        </w:tc>
        <w:tc>
          <w:tcPr>
            <w:tcW w:w="0" w:type="auto"/>
            <w:tcBorders>
              <w:top w:val="single" w:sz="2" w:space="0" w:color="auto"/>
              <w:bottom w:val="nil"/>
            </w:tcBorders>
            <w:tcMar>
              <w:left w:w="115" w:type="dxa"/>
              <w:right w:w="0" w:type="dxa"/>
            </w:tcMar>
          </w:tcPr>
          <w:p w:rsidR="00CC6C29" w:rsidRDefault="00CC6C29" w:rsidP="00FC2B36">
            <w:pPr>
              <w:pStyle w:val="Compact"/>
              <w:spacing w:before="40" w:after="40"/>
              <w:jc w:val="right"/>
            </w:pPr>
            <w:r>
              <w:t>0.77</w:t>
            </w:r>
          </w:p>
        </w:tc>
      </w:tr>
      <w:tr w:rsidR="00CC6C29" w:rsidTr="00FC2B36">
        <w:trPr>
          <w:cnfStyle w:val="010000000000" w:firstRow="0" w:lastRow="1" w:firstColumn="0" w:lastColumn="0" w:oddVBand="0" w:evenVBand="0" w:oddHBand="0" w:evenHBand="0" w:firstRowFirstColumn="0" w:firstRowLastColumn="0" w:lastRowFirstColumn="0" w:lastRowLastColumn="0"/>
          <w:jc w:val="center"/>
        </w:trPr>
        <w:tc>
          <w:tcPr>
            <w:tcW w:w="0" w:type="auto"/>
            <w:tcBorders>
              <w:top w:val="nil"/>
              <w:bottom w:val="single" w:sz="12" w:space="0" w:color="auto"/>
            </w:tcBorders>
          </w:tcPr>
          <w:p w:rsidR="00CC6C29" w:rsidRDefault="00CC6C29" w:rsidP="00FC2B36">
            <w:pPr>
              <w:pStyle w:val="Compact"/>
              <w:spacing w:before="40" w:after="40"/>
            </w:pPr>
            <w:r>
              <w:t>z-LexTALE</w:t>
            </w:r>
          </w:p>
        </w:tc>
        <w:tc>
          <w:tcPr>
            <w:tcW w:w="0" w:type="auto"/>
            <w:tcBorders>
              <w:top w:val="nil"/>
              <w:bottom w:val="single" w:sz="12" w:space="0" w:color="auto"/>
            </w:tcBorders>
          </w:tcPr>
          <w:p w:rsidR="00CC6C29" w:rsidRDefault="00CC6C29" w:rsidP="00FC2B36">
            <w:pPr>
              <w:pStyle w:val="Compact"/>
              <w:spacing w:before="40" w:after="40"/>
              <w:jc w:val="right"/>
            </w:pPr>
            <w:r>
              <w:t>0.16</w:t>
            </w:r>
          </w:p>
        </w:tc>
        <w:tc>
          <w:tcPr>
            <w:tcW w:w="0" w:type="auto"/>
            <w:tcBorders>
              <w:top w:val="nil"/>
              <w:bottom w:val="single" w:sz="12" w:space="0" w:color="auto"/>
            </w:tcBorders>
          </w:tcPr>
          <w:p w:rsidR="00CC6C29" w:rsidRDefault="00CC6C29" w:rsidP="00FC2B36">
            <w:pPr>
              <w:pStyle w:val="Compact"/>
              <w:spacing w:before="40" w:after="40"/>
              <w:jc w:val="right"/>
            </w:pPr>
            <w:r>
              <w:t>[0.03, 0.28]</w:t>
            </w:r>
          </w:p>
        </w:tc>
        <w:tc>
          <w:tcPr>
            <w:tcW w:w="0" w:type="auto"/>
            <w:tcBorders>
              <w:top w:val="nil"/>
              <w:bottom w:val="single" w:sz="12" w:space="0" w:color="auto"/>
            </w:tcBorders>
          </w:tcPr>
          <w:p w:rsidR="00CC6C29" w:rsidRDefault="00CC6C29" w:rsidP="00FC2B36">
            <w:pPr>
              <w:pStyle w:val="Compact"/>
              <w:spacing w:before="40" w:after="40"/>
              <w:jc w:val="right"/>
            </w:pPr>
            <w:r>
              <w:t>0.00</w:t>
            </w:r>
          </w:p>
        </w:tc>
        <w:tc>
          <w:tcPr>
            <w:tcW w:w="0" w:type="auto"/>
            <w:tcBorders>
              <w:top w:val="nil"/>
              <w:bottom w:val="single" w:sz="12" w:space="0" w:color="auto"/>
            </w:tcBorders>
            <w:tcMar>
              <w:left w:w="115" w:type="dxa"/>
              <w:right w:w="0" w:type="dxa"/>
            </w:tcMar>
          </w:tcPr>
          <w:p w:rsidR="00CC6C29" w:rsidRDefault="00CC6C29" w:rsidP="00FC2B36">
            <w:pPr>
              <w:pStyle w:val="Compact"/>
              <w:spacing w:before="40" w:after="40"/>
              <w:jc w:val="right"/>
            </w:pPr>
            <w:r>
              <w:t>0.99</w:t>
            </w:r>
          </w:p>
        </w:tc>
      </w:tr>
    </w:tbl>
    <w:p w:rsidR="00CC6C29" w:rsidRDefault="00CC6C29" w:rsidP="00CC6C29">
      <w:pPr>
        <w:pStyle w:val="BodyText"/>
        <w:spacing w:line="240" w:lineRule="auto"/>
        <w:ind w:firstLine="677"/>
      </w:pPr>
    </w:p>
    <w:p w:rsidR="00CC6C29" w:rsidRDefault="00CC6C29" w:rsidP="00CC6C29">
      <w:pPr>
        <w:pStyle w:val="BodyText"/>
      </w:pPr>
      <w:r>
        <w:t>The contour plot in the left panel of Figure 11 plots 6,000 draws from the posterior. The lighter the color the more plausible the values for the joint density of the intercept and the slope of the model. We can see that the center of gravity of the distribution falls at approximately 0.16 standardized units on the horizontal access. The right panel of Figure 11 plots the marginal density of β-LexTALE and provides further evidence that the slope is a non-zero, positive value outside the established ROPE.</w:t>
      </w:r>
    </w:p>
    <w:p w:rsidR="00CC6C29" w:rsidRDefault="00CC6C29" w:rsidP="00CC6C29">
      <w:pPr>
        <w:pStyle w:val="CaptionedFigure"/>
      </w:pPr>
      <w:r>
        <w:rPr>
          <w:noProof/>
        </w:rPr>
        <w:lastRenderedPageBreak/>
        <w:drawing>
          <wp:inline distT="0" distB="0" distL="0" distR="0" wp14:anchorId="4308128A" wp14:editId="27BBFDE5">
            <wp:extent cx="5969000" cy="2245480"/>
            <wp:effectExtent l="0" t="0" r="0" b="0"/>
            <wp:docPr id="12" name="Picture" descr="Figure 11.   Joint density of the posterior distribution of the model fitting phonemic boundary effect as a function of proficiency (left panel) and the marginal density of the posterior distribution of β-LexTALE, along with the HDI and ROPE (right panel)."/>
            <wp:cNvGraphicFramePr/>
            <a:graphic xmlns:a="http://schemas.openxmlformats.org/drawingml/2006/main">
              <a:graphicData uri="http://schemas.openxmlformats.org/drawingml/2006/picture">
                <pic:pic xmlns:pic="http://schemas.openxmlformats.org/drawingml/2006/picture">
                  <pic:nvPicPr>
                    <pic:cNvPr id="0" name="Picture" descr="/Users/casillas/academia/research/in_progress/dpbe_l2_replication/docs/manuscript/includes/figs/supplementary_materials/plot_pbe_posterior.png"/>
                    <pic:cNvPicPr>
                      <a:picLocks noChangeAspect="1" noChangeArrowheads="1"/>
                    </pic:cNvPicPr>
                  </pic:nvPicPr>
                  <pic:blipFill>
                    <a:blip r:embed="rId11"/>
                    <a:stretch>
                      <a:fillRect/>
                    </a:stretch>
                  </pic:blipFill>
                  <pic:spPr bwMode="auto">
                    <a:xfrm>
                      <a:off x="0" y="0"/>
                      <a:ext cx="5969000" cy="2245480"/>
                    </a:xfrm>
                    <a:prstGeom prst="rect">
                      <a:avLst/>
                    </a:prstGeom>
                    <a:noFill/>
                    <a:ln w="9525">
                      <a:noFill/>
                      <a:headEnd/>
                      <a:tailEnd/>
                    </a:ln>
                  </pic:spPr>
                </pic:pic>
              </a:graphicData>
            </a:graphic>
          </wp:inline>
        </w:drawing>
      </w:r>
    </w:p>
    <w:p w:rsidR="00CC6C29" w:rsidRDefault="00CC6C29" w:rsidP="00CC6C29">
      <w:pPr>
        <w:pStyle w:val="ImageCaption"/>
        <w:spacing w:before="0" w:after="0" w:line="240" w:lineRule="auto"/>
      </w:pPr>
      <w:r>
        <w:rPr>
          <w:i/>
        </w:rPr>
        <w:t>Figure</w:t>
      </w:r>
      <w:r>
        <w:t xml:space="preserve"> </w:t>
      </w:r>
      <w:r>
        <w:rPr>
          <w:i/>
        </w:rPr>
        <w:t xml:space="preserve">11.  </w:t>
      </w:r>
      <w:r>
        <w:t xml:space="preserve"> Joint density of the posterior distribution of the model fitting phonemic boundary effect as a function of proficiency (left panel) and the marginal density of the posterior distribution of β-LexTALE, along with the HDI and ROPE (right panel).</w:t>
      </w:r>
    </w:p>
    <w:p w:rsidR="00CC6C29" w:rsidRDefault="00CC6C29" w:rsidP="00CC6C29">
      <w:pPr>
        <w:pStyle w:val="ImageCaption"/>
        <w:spacing w:before="0" w:after="0" w:line="240" w:lineRule="auto"/>
      </w:pPr>
    </w:p>
    <w:p w:rsidR="00CC6C29" w:rsidRDefault="00CC6C29" w:rsidP="00CC6C29">
      <w:pPr>
        <w:pStyle w:val="BodyText"/>
      </w:pPr>
      <w:r>
        <w:t>Some researchers have used rank boundaries to assess perceptual categorization when dealing with a distribution of 50% crossovers that are non-normal (see Gonzales et al., 2019). For the sake of completeness we include plots illustrating rank boundaries from group estimates (Figure 12) and individual posterior distributions derived from the random effects of the omnibus model (Figure 13).</w:t>
      </w:r>
    </w:p>
    <w:p w:rsidR="00CC6C29" w:rsidRDefault="00CC6C29" w:rsidP="00CC6C29">
      <w:pPr>
        <w:pStyle w:val="CaptionedFigure"/>
      </w:pPr>
      <w:r>
        <w:rPr>
          <w:noProof/>
        </w:rPr>
        <w:lastRenderedPageBreak/>
        <w:drawing>
          <wp:inline distT="0" distB="0" distL="0" distR="0" wp14:anchorId="7207F1C9" wp14:editId="35D3A3AE">
            <wp:extent cx="5969000" cy="2709007"/>
            <wp:effectExtent l="0" t="0" r="0" b="0"/>
            <wp:docPr id="13" name="Picture" descr="Figure 12.   Rank boundaries derived from the posterior means of the random effects output of the omnibus model. Blue and red circles represent Spanish and English individual boundaries, respectively. Triangles represent means ± 95% bootstrapped confidence intervals."/>
            <wp:cNvGraphicFramePr/>
            <a:graphic xmlns:a="http://schemas.openxmlformats.org/drawingml/2006/main">
              <a:graphicData uri="http://schemas.openxmlformats.org/drawingml/2006/picture">
                <pic:pic xmlns:pic="http://schemas.openxmlformats.org/drawingml/2006/picture">
                  <pic:nvPicPr>
                    <pic:cNvPr id="0" name="Picture" descr="/Users/casillas/academia/research/in_progress/dpbe_l2_replication/docs/manuscript/includes/figs/supplementary_materials/plot_group_rank.png"/>
                    <pic:cNvPicPr>
                      <a:picLocks noChangeAspect="1" noChangeArrowheads="1"/>
                    </pic:cNvPicPr>
                  </pic:nvPicPr>
                  <pic:blipFill>
                    <a:blip r:embed="rId12"/>
                    <a:stretch>
                      <a:fillRect/>
                    </a:stretch>
                  </pic:blipFill>
                  <pic:spPr bwMode="auto">
                    <a:xfrm>
                      <a:off x="0" y="0"/>
                      <a:ext cx="5969000" cy="2709007"/>
                    </a:xfrm>
                    <a:prstGeom prst="rect">
                      <a:avLst/>
                    </a:prstGeom>
                    <a:noFill/>
                    <a:ln w="9525">
                      <a:noFill/>
                      <a:headEnd/>
                      <a:tailEnd/>
                    </a:ln>
                  </pic:spPr>
                </pic:pic>
              </a:graphicData>
            </a:graphic>
          </wp:inline>
        </w:drawing>
      </w:r>
    </w:p>
    <w:p w:rsidR="00CC6C29" w:rsidRDefault="00CC6C29" w:rsidP="00CC6C29">
      <w:pPr>
        <w:pStyle w:val="ImageCaption"/>
        <w:spacing w:before="0" w:after="0" w:line="240" w:lineRule="auto"/>
      </w:pPr>
      <w:r>
        <w:rPr>
          <w:i/>
        </w:rPr>
        <w:t>Figure</w:t>
      </w:r>
      <w:r>
        <w:t xml:space="preserve"> </w:t>
      </w:r>
      <w:r>
        <w:rPr>
          <w:i/>
        </w:rPr>
        <w:t xml:space="preserve">12.  </w:t>
      </w:r>
      <w:r>
        <w:t xml:space="preserve"> Rank boundaries derived from the posterior means of the random effects output of the omnibus model. Blue and red circles represent Spanish and English individual boundaries, respectively. Triangles represent means ± 95% bootstrapped confidence intervals.</w:t>
      </w:r>
    </w:p>
    <w:p w:rsidR="00CC6C29" w:rsidRDefault="00CC6C29" w:rsidP="00CC6C29">
      <w:pPr>
        <w:pStyle w:val="ImageCaption"/>
        <w:spacing w:before="0" w:after="0" w:line="240" w:lineRule="auto"/>
      </w:pPr>
    </w:p>
    <w:p w:rsidR="00CC6C29" w:rsidRDefault="00CC6C29" w:rsidP="00CC6C29">
      <w:pPr>
        <w:pStyle w:val="CaptionedFigure"/>
      </w:pPr>
      <w:r>
        <w:rPr>
          <w:noProof/>
        </w:rPr>
        <w:drawing>
          <wp:inline distT="0" distB="0" distL="0" distR="0" wp14:anchorId="133B2733" wp14:editId="5F5B92F6">
            <wp:extent cx="5969000" cy="3581399"/>
            <wp:effectExtent l="0" t="0" r="0" b="0"/>
            <wp:docPr id="14" name="Picture" descr="Figure 13.   Rank boundaries derived from the posterior means of the random effects output of the omnibus model as function of proficiency. Blue and red circles represent Spanish and English individual boundaries, respectively. Squares represent means ± 95% bootstrapped confidence intervals."/>
            <wp:cNvGraphicFramePr/>
            <a:graphic xmlns:a="http://schemas.openxmlformats.org/drawingml/2006/main">
              <a:graphicData uri="http://schemas.openxmlformats.org/drawingml/2006/picture">
                <pic:pic xmlns:pic="http://schemas.openxmlformats.org/drawingml/2006/picture">
                  <pic:nvPicPr>
                    <pic:cNvPr id="0" name="Picture" descr="/Users/casillas/academia/research/in_progress/dpbe_l2_replication/docs/manuscript/includes/figs/supplementary_materials/plot_group_prof_rank.png"/>
                    <pic:cNvPicPr>
                      <a:picLocks noChangeAspect="1" noChangeArrowheads="1"/>
                    </pic:cNvPicPr>
                  </pic:nvPicPr>
                  <pic:blipFill>
                    <a:blip r:embed="rId13"/>
                    <a:stretch>
                      <a:fillRect/>
                    </a:stretch>
                  </pic:blipFill>
                  <pic:spPr bwMode="auto">
                    <a:xfrm>
                      <a:off x="0" y="0"/>
                      <a:ext cx="5969000" cy="3581399"/>
                    </a:xfrm>
                    <a:prstGeom prst="rect">
                      <a:avLst/>
                    </a:prstGeom>
                    <a:noFill/>
                    <a:ln w="9525">
                      <a:noFill/>
                      <a:headEnd/>
                      <a:tailEnd/>
                    </a:ln>
                  </pic:spPr>
                </pic:pic>
              </a:graphicData>
            </a:graphic>
          </wp:inline>
        </w:drawing>
      </w:r>
    </w:p>
    <w:p w:rsidR="00CC6C29" w:rsidRDefault="00CC6C29" w:rsidP="00CC6C29">
      <w:pPr>
        <w:pStyle w:val="ImageCaption"/>
        <w:spacing w:before="0" w:after="0" w:line="240" w:lineRule="auto"/>
      </w:pPr>
      <w:r>
        <w:rPr>
          <w:i/>
        </w:rPr>
        <w:t>Figure</w:t>
      </w:r>
      <w:r>
        <w:t xml:space="preserve"> </w:t>
      </w:r>
      <w:r>
        <w:rPr>
          <w:i/>
        </w:rPr>
        <w:t xml:space="preserve">13.  </w:t>
      </w:r>
      <w:r>
        <w:t xml:space="preserve"> Rank boundaries derived from the posterior means of the random effects output of the omnibus model as function of proficiency. Blue and red circles represent Spanish and English individual boundaries, respectively. Squares represent means ± 95% bootstrapped confidence intervals.</w:t>
      </w:r>
    </w:p>
    <w:p w:rsidR="00CC6C29" w:rsidRDefault="00CC6C29" w:rsidP="00CC6C29">
      <w:pPr>
        <w:pStyle w:val="BodyText"/>
      </w:pPr>
      <w:r>
        <w:lastRenderedPageBreak/>
        <w:t>The figures depict a scenario that corroborates the previous analyses. At the average proficiency level, the “Spanish” boundary is shifted to the left with regard to the “English” boundary. When proficiency is taken into consideration, boundary differences are negligible at low proficiency and more pronounced at higher levels.</w:t>
      </w:r>
    </w:p>
    <w:p w:rsidR="00CC6C29" w:rsidRDefault="00CC6C29" w:rsidP="00CC6C29">
      <w:pPr>
        <w:pStyle w:val="BodyText"/>
      </w:pPr>
      <w:r>
        <w:br w:type="page"/>
      </w:r>
    </w:p>
    <w:p w:rsidR="00CC6C29" w:rsidRDefault="00CC6C29" w:rsidP="00CC6C29">
      <w:pPr>
        <w:pStyle w:val="Heading2"/>
      </w:pPr>
      <w:bookmarkStart w:id="4" w:name="reproducibility-information"/>
      <w:r>
        <w:lastRenderedPageBreak/>
        <w:t>Reproducibility information</w:t>
      </w:r>
      <w:bookmarkEnd w:id="4"/>
    </w:p>
    <w:p w:rsidR="00CC6C29" w:rsidRDefault="00CC6C29" w:rsidP="00CC6C29">
      <w:pPr>
        <w:pStyle w:val="FirstParagraph"/>
        <w:ind w:firstLine="0"/>
      </w:pPr>
      <w:r>
        <w:rPr>
          <w:b/>
        </w:rPr>
        <w:t>About this document</w:t>
      </w:r>
    </w:p>
    <w:p w:rsidR="00CC6C29" w:rsidRDefault="00CC6C29" w:rsidP="00CC6C29">
      <w:pPr>
        <w:pStyle w:val="BodyText"/>
        <w:ind w:firstLine="0"/>
      </w:pPr>
      <w:r>
        <w:t xml:space="preserve">This document was written in RMarkdown using </w:t>
      </w:r>
      <w:r>
        <w:rPr>
          <w:rStyle w:val="VerbatimChar"/>
        </w:rPr>
        <w:t>papaja</w:t>
      </w:r>
      <w:r>
        <w:t xml:space="preserve"> (Aust &amp; Barth, 2018).</w:t>
      </w:r>
    </w:p>
    <w:p w:rsidR="00CC6C29" w:rsidRDefault="00CC6C29" w:rsidP="00CC6C29">
      <w:pPr>
        <w:pStyle w:val="BodyText"/>
        <w:ind w:firstLine="0"/>
      </w:pPr>
      <w:r>
        <w:rPr>
          <w:b/>
        </w:rPr>
        <w:t>Session info</w:t>
      </w:r>
    </w:p>
    <w:p w:rsidR="00CC6C29" w:rsidRDefault="00CC6C29" w:rsidP="00CC6C29">
      <w:pPr>
        <w:pStyle w:val="SourceCode"/>
        <w:spacing w:line="240" w:lineRule="auto"/>
      </w:pPr>
      <w:r>
        <w:rPr>
          <w:rStyle w:val="VerbatimChar"/>
        </w:rPr>
        <w:t xml:space="preserve"> </w:t>
      </w:r>
      <w:r>
        <w:br/>
      </w:r>
      <w:r>
        <w:rPr>
          <w:rStyle w:val="VerbatimChar"/>
        </w:rPr>
        <w:t xml:space="preserve"> version  R version 4.0.0 (2020-04-24)</w:t>
      </w:r>
      <w:r>
        <w:br/>
      </w:r>
      <w:r>
        <w:rPr>
          <w:rStyle w:val="VerbatimChar"/>
        </w:rPr>
        <w:t xml:space="preserve"> os       macOS Catalina 10.15.4      </w:t>
      </w:r>
      <w:r>
        <w:br/>
      </w:r>
      <w:r>
        <w:rPr>
          <w:rStyle w:val="VerbatimChar"/>
        </w:rPr>
        <w:t xml:space="preserve"> system   x86_64, darwin17.0          </w:t>
      </w:r>
      <w:r>
        <w:br/>
      </w:r>
      <w:r>
        <w:rPr>
          <w:rStyle w:val="VerbatimChar"/>
        </w:rPr>
        <w:t xml:space="preserve"> ui       X11                         </w:t>
      </w:r>
      <w:r>
        <w:br/>
      </w:r>
      <w:r>
        <w:rPr>
          <w:rStyle w:val="VerbatimChar"/>
        </w:rPr>
        <w:t xml:space="preserve"> language (EN)                        </w:t>
      </w:r>
      <w:r>
        <w:br/>
      </w:r>
      <w:r>
        <w:rPr>
          <w:rStyle w:val="VerbatimChar"/>
        </w:rPr>
        <w:t xml:space="preserve"> collate  en_US.UTF-8                 </w:t>
      </w:r>
      <w:r>
        <w:br/>
      </w:r>
      <w:r>
        <w:rPr>
          <w:rStyle w:val="VerbatimChar"/>
        </w:rPr>
        <w:t xml:space="preserve"> ctype    en_US.UTF-8                 </w:t>
      </w:r>
      <w:r>
        <w:br/>
      </w:r>
      <w:r>
        <w:rPr>
          <w:rStyle w:val="VerbatimChar"/>
        </w:rPr>
        <w:t xml:space="preserve"> tz       America/New_York            </w:t>
      </w:r>
      <w:r>
        <w:br/>
      </w:r>
      <w:r>
        <w:rPr>
          <w:rStyle w:val="VerbatimChar"/>
        </w:rPr>
        <w:t xml:space="preserve"> date     2020-05-31                  </w:t>
      </w:r>
    </w:p>
    <w:p w:rsidR="00CC6C29" w:rsidRDefault="00CC6C29" w:rsidP="00CC6C29">
      <w:pPr>
        <w:pStyle w:val="SourceCode"/>
        <w:spacing w:line="240" w:lineRule="auto"/>
      </w:pPr>
      <w:r>
        <w:rPr>
          <w:rStyle w:val="VerbatimChar"/>
        </w:rPr>
        <w:t xml:space="preserve">               loadedversion       date</w:t>
      </w:r>
      <w:r>
        <w:br/>
      </w:r>
      <w:r>
        <w:rPr>
          <w:rStyle w:val="VerbatimChar"/>
        </w:rPr>
        <w:t>abind                  1.4-5 2016-07-21</w:t>
      </w:r>
      <w:r>
        <w:br/>
      </w:r>
      <w:r>
        <w:rPr>
          <w:rStyle w:val="VerbatimChar"/>
        </w:rPr>
        <w:t>arrayhelpers           1.1-0 2020-02-04</w:t>
      </w:r>
      <w:r>
        <w:br/>
      </w:r>
      <w:r>
        <w:rPr>
          <w:rStyle w:val="VerbatimChar"/>
        </w:rPr>
        <w:t>assertthat             0.2.1 2019-03-21</w:t>
      </w:r>
      <w:r>
        <w:br/>
      </w:r>
      <w:r>
        <w:rPr>
          <w:rStyle w:val="VerbatimChar"/>
        </w:rPr>
        <w:t>backports              1.1.7 2020-05-13</w:t>
      </w:r>
      <w:r>
        <w:br/>
      </w:r>
      <w:r>
        <w:rPr>
          <w:rStyle w:val="VerbatimChar"/>
        </w:rPr>
        <w:t>base64enc              0.1-3 2015-07-28</w:t>
      </w:r>
      <w:r>
        <w:br/>
      </w:r>
      <w:r>
        <w:rPr>
          <w:rStyle w:val="VerbatimChar"/>
        </w:rPr>
        <w:t>bayesplot              1.7.1 2019-12-01</w:t>
      </w:r>
      <w:r>
        <w:br/>
      </w:r>
      <w:r>
        <w:rPr>
          <w:rStyle w:val="VerbatimChar"/>
        </w:rPr>
        <w:t>bayestestR             0.6.0 2020-04-20</w:t>
      </w:r>
      <w:r>
        <w:br/>
      </w:r>
      <w:r>
        <w:rPr>
          <w:rStyle w:val="VerbatimChar"/>
        </w:rPr>
        <w:t>beeswarm               0.2.3 2016-04-25</w:t>
      </w:r>
      <w:r>
        <w:br/>
      </w:r>
      <w:r>
        <w:rPr>
          <w:rStyle w:val="VerbatimChar"/>
        </w:rPr>
        <w:t>bookdown                0.19 2020-05-15</w:t>
      </w:r>
      <w:r>
        <w:br/>
      </w:r>
      <w:r>
        <w:rPr>
          <w:rStyle w:val="VerbatimChar"/>
        </w:rPr>
        <w:t>bridgesampling         1.0-0 2020-02-26</w:t>
      </w:r>
      <w:r>
        <w:br/>
      </w:r>
      <w:r>
        <w:rPr>
          <w:rStyle w:val="VerbatimChar"/>
        </w:rPr>
        <w:t>brms                  2.12.0 2020-02-23</w:t>
      </w:r>
      <w:r>
        <w:br/>
      </w:r>
      <w:r>
        <w:rPr>
          <w:rStyle w:val="VerbatimChar"/>
        </w:rPr>
        <w:t>Brobdingnag            1.2-6 2018-08-13</w:t>
      </w:r>
      <w:r>
        <w:br/>
      </w:r>
      <w:r>
        <w:rPr>
          <w:rStyle w:val="VerbatimChar"/>
        </w:rPr>
        <w:t>broom                  0.5.6 2020-04-20</w:t>
      </w:r>
      <w:r>
        <w:br/>
      </w:r>
      <w:r>
        <w:rPr>
          <w:rStyle w:val="VerbatimChar"/>
        </w:rPr>
        <w:t>callr                  3.4.3 2020-03-28</w:t>
      </w:r>
      <w:r>
        <w:br/>
      </w:r>
      <w:r>
        <w:rPr>
          <w:rStyle w:val="VerbatimChar"/>
        </w:rPr>
        <w:t>cli                    2.0.2 2020-02-28</w:t>
      </w:r>
      <w:r>
        <w:br/>
      </w:r>
      <w:r>
        <w:rPr>
          <w:rStyle w:val="VerbatimChar"/>
        </w:rPr>
        <w:t>coda                  0.19-3 2019-07-05</w:t>
      </w:r>
      <w:r>
        <w:br/>
      </w:r>
      <w:r>
        <w:rPr>
          <w:rStyle w:val="VerbatimChar"/>
        </w:rPr>
        <w:t>codetools             0.2-16 2018-12-24</w:t>
      </w:r>
      <w:r>
        <w:br/>
      </w:r>
      <w:r>
        <w:rPr>
          <w:rStyle w:val="VerbatimChar"/>
        </w:rPr>
        <w:t>colorspace             1.4-1 2019-03-18</w:t>
      </w:r>
      <w:r>
        <w:br/>
      </w:r>
      <w:r>
        <w:rPr>
          <w:rStyle w:val="VerbatimChar"/>
        </w:rPr>
        <w:t>colourpicker             1.0 2017-09-27</w:t>
      </w:r>
      <w:r>
        <w:br/>
      </w:r>
      <w:r>
        <w:rPr>
          <w:rStyle w:val="VerbatimChar"/>
        </w:rPr>
        <w:t>crayon                 1.3.4 2017-09-16</w:t>
      </w:r>
      <w:r>
        <w:br/>
      </w:r>
      <w:r>
        <w:rPr>
          <w:rStyle w:val="VerbatimChar"/>
        </w:rPr>
        <w:t>crosstalk            1.1.0.1 2020-03-13</w:t>
      </w:r>
      <w:r>
        <w:br/>
      </w:r>
      <w:r>
        <w:rPr>
          <w:rStyle w:val="VerbatimChar"/>
        </w:rPr>
        <w:t>desc                   1.2.0 2018-05-01</w:t>
      </w:r>
      <w:r>
        <w:br/>
      </w:r>
      <w:r>
        <w:rPr>
          <w:rStyle w:val="VerbatimChar"/>
        </w:rPr>
        <w:t>devtools               2.3.0 2020-04-10</w:t>
      </w:r>
      <w:r>
        <w:br/>
      </w:r>
      <w:r>
        <w:rPr>
          <w:rStyle w:val="VerbatimChar"/>
        </w:rPr>
        <w:t>digest                0.6.25 2020-02-23</w:t>
      </w:r>
      <w:r>
        <w:br/>
      </w:r>
      <w:r>
        <w:rPr>
          <w:rStyle w:val="VerbatimChar"/>
        </w:rPr>
        <w:t>dplyr                  0.8.5 2020-03-07</w:t>
      </w:r>
      <w:r>
        <w:br/>
      </w:r>
      <w:r>
        <w:rPr>
          <w:rStyle w:val="VerbatimChar"/>
        </w:rPr>
        <w:t>DT                      0.13 2020-03-23</w:t>
      </w:r>
      <w:r>
        <w:br/>
      </w:r>
      <w:r>
        <w:rPr>
          <w:rStyle w:val="VerbatimChar"/>
        </w:rPr>
        <w:t>dygraphs             1.1.1.6 2018-07-11</w:t>
      </w:r>
      <w:r>
        <w:br/>
      </w:r>
      <w:r>
        <w:rPr>
          <w:rStyle w:val="VerbatimChar"/>
        </w:rPr>
        <w:lastRenderedPageBreak/>
        <w:t>ellipsis               0.3.1 2020-05-15</w:t>
      </w:r>
      <w:r>
        <w:br/>
      </w:r>
      <w:r>
        <w:rPr>
          <w:rStyle w:val="VerbatimChar"/>
        </w:rPr>
        <w:t>evaluate                0.14 2019-05-28</w:t>
      </w:r>
      <w:r>
        <w:br/>
      </w:r>
      <w:r>
        <w:rPr>
          <w:rStyle w:val="VerbatimChar"/>
        </w:rPr>
        <w:t>fansi                  0.4.1 2020-01-08</w:t>
      </w:r>
      <w:r>
        <w:br/>
      </w:r>
      <w:r>
        <w:rPr>
          <w:rStyle w:val="VerbatimChar"/>
        </w:rPr>
        <w:t>fastmap                1.0.1 2019-10-08</w:t>
      </w:r>
      <w:r>
        <w:br/>
      </w:r>
      <w:r>
        <w:rPr>
          <w:rStyle w:val="VerbatimChar"/>
        </w:rPr>
        <w:t>forcats                0.5.0 2020-03-01</w:t>
      </w:r>
      <w:r>
        <w:br/>
      </w:r>
      <w:r>
        <w:rPr>
          <w:rStyle w:val="VerbatimChar"/>
        </w:rPr>
        <w:t>fs                     1.4.1 2020-04-04</w:t>
      </w:r>
      <w:r>
        <w:br/>
      </w:r>
      <w:r>
        <w:rPr>
          <w:rStyle w:val="VerbatimChar"/>
        </w:rPr>
        <w:t>future                1.17.0 2020-04-18</w:t>
      </w:r>
      <w:r>
        <w:br/>
      </w:r>
      <w:r>
        <w:rPr>
          <w:rStyle w:val="VerbatimChar"/>
        </w:rPr>
        <w:t>generics               0.0.2 2018-11-29</w:t>
      </w:r>
      <w:r>
        <w:br/>
      </w:r>
      <w:r>
        <w:rPr>
          <w:rStyle w:val="VerbatimChar"/>
        </w:rPr>
        <w:t>ggbeeswarm             0.6.0 2017-08-07</w:t>
      </w:r>
      <w:r>
        <w:br/>
      </w:r>
      <w:r>
        <w:rPr>
          <w:rStyle w:val="VerbatimChar"/>
        </w:rPr>
        <w:t>ggdag                  0.2.2 2020-02-13</w:t>
      </w:r>
      <w:r>
        <w:br/>
      </w:r>
      <w:r>
        <w:rPr>
          <w:rStyle w:val="VerbatimChar"/>
        </w:rPr>
        <w:t>ggplot2                3.3.0 2020-03-05</w:t>
      </w:r>
      <w:r>
        <w:br/>
      </w:r>
      <w:r>
        <w:rPr>
          <w:rStyle w:val="VerbatimChar"/>
        </w:rPr>
        <w:t>ggridges               0.5.2 2020-01-12</w:t>
      </w:r>
      <w:r>
        <w:br/>
      </w:r>
      <w:r>
        <w:rPr>
          <w:rStyle w:val="VerbatimChar"/>
        </w:rPr>
        <w:t>globals               0.12.5 2019-12-07</w:t>
      </w:r>
      <w:r>
        <w:br/>
      </w:r>
      <w:r>
        <w:rPr>
          <w:rStyle w:val="VerbatimChar"/>
        </w:rPr>
        <w:t>glue                   1.4.1 2020-05-13</w:t>
      </w:r>
      <w:r>
        <w:br/>
      </w:r>
      <w:r>
        <w:rPr>
          <w:rStyle w:val="VerbatimChar"/>
        </w:rPr>
        <w:t>gridExtra                2.3 2017-09-09</w:t>
      </w:r>
      <w:r>
        <w:br/>
      </w:r>
      <w:r>
        <w:rPr>
          <w:rStyle w:val="VerbatimChar"/>
        </w:rPr>
        <w:t>gtable                 0.3.0 2019-03-25</w:t>
      </w:r>
      <w:r>
        <w:br/>
      </w:r>
      <w:r>
        <w:rPr>
          <w:rStyle w:val="VerbatimChar"/>
        </w:rPr>
        <w:t>gtools                 3.8.2 2020-03-31</w:t>
      </w:r>
      <w:r>
        <w:br/>
      </w:r>
      <w:r>
        <w:rPr>
          <w:rStyle w:val="VerbatimChar"/>
        </w:rPr>
        <w:t>here                     0.1 2017-05-28</w:t>
      </w:r>
      <w:r>
        <w:br/>
      </w:r>
      <w:r>
        <w:rPr>
          <w:rStyle w:val="VerbatimChar"/>
        </w:rPr>
        <w:t>highr                    0.8 2019-03-20</w:t>
      </w:r>
      <w:r>
        <w:br/>
      </w:r>
      <w:r>
        <w:rPr>
          <w:rStyle w:val="VerbatimChar"/>
        </w:rPr>
        <w:t>hms                    0.5.3 2020-01-08</w:t>
      </w:r>
      <w:r>
        <w:br/>
      </w:r>
      <w:r>
        <w:rPr>
          <w:rStyle w:val="VerbatimChar"/>
        </w:rPr>
        <w:t>htmltools              0.4.0 2019-10-04</w:t>
      </w:r>
      <w:r>
        <w:br/>
      </w:r>
      <w:r>
        <w:rPr>
          <w:rStyle w:val="VerbatimChar"/>
        </w:rPr>
        <w:t>htmlwidgets            1.5.1 2019-10-08</w:t>
      </w:r>
      <w:r>
        <w:br/>
      </w:r>
      <w:r>
        <w:rPr>
          <w:rStyle w:val="VerbatimChar"/>
        </w:rPr>
        <w:t>httpuv                 1.5.2 2019-09-11</w:t>
      </w:r>
      <w:r>
        <w:br/>
      </w:r>
      <w:r>
        <w:rPr>
          <w:rStyle w:val="VerbatimChar"/>
        </w:rPr>
        <w:t>igraph                 1.2.5 2020-03-19</w:t>
      </w:r>
      <w:r>
        <w:br/>
      </w:r>
      <w:r>
        <w:rPr>
          <w:rStyle w:val="VerbatimChar"/>
        </w:rPr>
        <w:t>inline                0.3.15 2018-05-18</w:t>
      </w:r>
      <w:r>
        <w:br/>
      </w:r>
      <w:r>
        <w:rPr>
          <w:rStyle w:val="VerbatimChar"/>
        </w:rPr>
        <w:t>insight                0.8.4 2020-05-13</w:t>
      </w:r>
      <w:r>
        <w:br/>
      </w:r>
      <w:r>
        <w:rPr>
          <w:rStyle w:val="VerbatimChar"/>
        </w:rPr>
        <w:t>knitr                   1.28 2020-02-06</w:t>
      </w:r>
      <w:r>
        <w:br/>
      </w:r>
      <w:r>
        <w:rPr>
          <w:rStyle w:val="VerbatimChar"/>
        </w:rPr>
        <w:t>later                  1.0.0 2019-10-04</w:t>
      </w:r>
      <w:r>
        <w:br/>
      </w:r>
      <w:r>
        <w:rPr>
          <w:rStyle w:val="VerbatimChar"/>
        </w:rPr>
        <w:t>lattice              0.20-41 2020-04-02</w:t>
      </w:r>
      <w:r>
        <w:br/>
      </w:r>
      <w:r>
        <w:rPr>
          <w:rStyle w:val="VerbatimChar"/>
        </w:rPr>
        <w:t>lifecycle              0.2.0 2020-03-06</w:t>
      </w:r>
      <w:r>
        <w:br/>
      </w:r>
      <w:r>
        <w:rPr>
          <w:rStyle w:val="VerbatimChar"/>
        </w:rPr>
        <w:t>listenv                0.8.0 2019-12-05</w:t>
      </w:r>
      <w:r>
        <w:br/>
      </w:r>
      <w:r>
        <w:rPr>
          <w:rStyle w:val="VerbatimChar"/>
        </w:rPr>
        <w:t>loo                    2.2.0 2019-12-19</w:t>
      </w:r>
      <w:r>
        <w:br/>
      </w:r>
      <w:r>
        <w:rPr>
          <w:rStyle w:val="VerbatimChar"/>
        </w:rPr>
        <w:t>magrittr                 1.5 2014-11-22</w:t>
      </w:r>
      <w:r>
        <w:br/>
      </w:r>
      <w:r>
        <w:rPr>
          <w:rStyle w:val="VerbatimChar"/>
        </w:rPr>
        <w:t>markdown                 1.1 2019-08-07</w:t>
      </w:r>
      <w:r>
        <w:br/>
      </w:r>
      <w:r>
        <w:rPr>
          <w:rStyle w:val="VerbatimChar"/>
        </w:rPr>
        <w:t>Matrix                1.2-18 2019-11-27</w:t>
      </w:r>
      <w:r>
        <w:br/>
      </w:r>
      <w:r>
        <w:rPr>
          <w:rStyle w:val="VerbatimChar"/>
        </w:rPr>
        <w:t>matrixStats           0.56.0 2020-03-13</w:t>
      </w:r>
      <w:r>
        <w:br/>
      </w:r>
      <w:r>
        <w:rPr>
          <w:rStyle w:val="VerbatimChar"/>
        </w:rPr>
        <w:t>memoise                1.1.0 2017-04-21</w:t>
      </w:r>
      <w:r>
        <w:br/>
      </w:r>
      <w:r>
        <w:rPr>
          <w:rStyle w:val="VerbatimChar"/>
        </w:rPr>
        <w:t>mime                     0.9 2020-02-04</w:t>
      </w:r>
      <w:r>
        <w:br/>
      </w:r>
      <w:r>
        <w:rPr>
          <w:rStyle w:val="VerbatimChar"/>
        </w:rPr>
        <w:t>miniUI               0.1.1.1 2018-05-18</w:t>
      </w:r>
      <w:r>
        <w:br/>
      </w:r>
      <w:r>
        <w:rPr>
          <w:rStyle w:val="VerbatimChar"/>
        </w:rPr>
        <w:t>munsell                0.5.0 2018-06-12</w:t>
      </w:r>
      <w:r>
        <w:br/>
      </w:r>
      <w:r>
        <w:rPr>
          <w:rStyle w:val="VerbatimChar"/>
        </w:rPr>
        <w:t>mvtnorm                1.1-0 2020-02-24</w:t>
      </w:r>
      <w:r>
        <w:br/>
      </w:r>
      <w:r>
        <w:rPr>
          <w:rStyle w:val="VerbatimChar"/>
        </w:rPr>
        <w:t>nlme                 3.1-147 2020-04-13</w:t>
      </w:r>
      <w:r>
        <w:br/>
      </w:r>
      <w:r>
        <w:rPr>
          <w:rStyle w:val="VerbatimChar"/>
        </w:rPr>
        <w:t>papaja            0.1.0.9942 2020-05-19</w:t>
      </w:r>
      <w:r>
        <w:br/>
      </w:r>
      <w:r>
        <w:rPr>
          <w:rStyle w:val="VerbatimChar"/>
        </w:rPr>
        <w:t>patchwork              1.0.0 2019-12-01</w:t>
      </w:r>
      <w:r>
        <w:br/>
      </w:r>
      <w:r>
        <w:rPr>
          <w:rStyle w:val="VerbatimChar"/>
        </w:rPr>
        <w:t>pillar                 1.4.4 2020-05-05</w:t>
      </w:r>
      <w:r>
        <w:br/>
      </w:r>
      <w:r>
        <w:rPr>
          <w:rStyle w:val="VerbatimChar"/>
        </w:rPr>
        <w:t>pkgbuild               1.0.8 2020-05-07</w:t>
      </w:r>
      <w:r>
        <w:br/>
      </w:r>
      <w:r>
        <w:rPr>
          <w:rStyle w:val="VerbatimChar"/>
        </w:rPr>
        <w:t>pkgconfig              2.0.3 2019-09-22</w:t>
      </w:r>
      <w:r>
        <w:br/>
      </w:r>
      <w:r>
        <w:rPr>
          <w:rStyle w:val="VerbatimChar"/>
        </w:rPr>
        <w:t>pkgload                1.0.2 2018-10-29</w:t>
      </w:r>
      <w:r>
        <w:br/>
      </w:r>
      <w:r>
        <w:rPr>
          <w:rStyle w:val="VerbatimChar"/>
        </w:rPr>
        <w:t>plyr                   1.8.6 2020-03-03</w:t>
      </w:r>
      <w:r>
        <w:br/>
      </w:r>
      <w:r>
        <w:rPr>
          <w:rStyle w:val="VerbatimChar"/>
        </w:rPr>
        <w:t>png                    0.1-7 2013-12-03</w:t>
      </w:r>
      <w:r>
        <w:br/>
      </w:r>
      <w:r>
        <w:rPr>
          <w:rStyle w:val="VerbatimChar"/>
        </w:rPr>
        <w:t>prettyunits            1.1.1 2020-01-24</w:t>
      </w:r>
      <w:r>
        <w:br/>
      </w:r>
      <w:r>
        <w:rPr>
          <w:rStyle w:val="VerbatimChar"/>
        </w:rPr>
        <w:lastRenderedPageBreak/>
        <w:t>processx               3.4.2 2020-02-09</w:t>
      </w:r>
      <w:r>
        <w:br/>
      </w:r>
      <w:r>
        <w:rPr>
          <w:rStyle w:val="VerbatimChar"/>
        </w:rPr>
        <w:t>promises               1.1.0 2019-10-04</w:t>
      </w:r>
      <w:r>
        <w:br/>
      </w:r>
      <w:r>
        <w:rPr>
          <w:rStyle w:val="VerbatimChar"/>
        </w:rPr>
        <w:t>ps                     1.3.3 2020-05-08</w:t>
      </w:r>
      <w:r>
        <w:br/>
      </w:r>
      <w:r>
        <w:rPr>
          <w:rStyle w:val="VerbatimChar"/>
        </w:rPr>
        <w:t>purrr                  0.3.4 2020-04-17</w:t>
      </w:r>
      <w:r>
        <w:br/>
      </w:r>
      <w:r>
        <w:rPr>
          <w:rStyle w:val="VerbatimChar"/>
        </w:rPr>
        <w:t>R6                     2.4.1 2019-11-12</w:t>
      </w:r>
      <w:r>
        <w:br/>
      </w:r>
      <w:r>
        <w:rPr>
          <w:rStyle w:val="VerbatimChar"/>
        </w:rPr>
        <w:t>Rcpp                 1.0.4.6 2020-04-09</w:t>
      </w:r>
      <w:r>
        <w:br/>
      </w:r>
      <w:r>
        <w:rPr>
          <w:rStyle w:val="VerbatimChar"/>
        </w:rPr>
        <w:t>readr                  1.3.1 2018-12-21</w:t>
      </w:r>
      <w:r>
        <w:br/>
      </w:r>
      <w:r>
        <w:rPr>
          <w:rStyle w:val="VerbatimChar"/>
        </w:rPr>
        <w:t>remotes                2.1.1 2020-02-15</w:t>
      </w:r>
      <w:r>
        <w:br/>
      </w:r>
      <w:r>
        <w:rPr>
          <w:rStyle w:val="VerbatimChar"/>
        </w:rPr>
        <w:t>reshape2               1.4.4 2020-04-09</w:t>
      </w:r>
      <w:r>
        <w:br/>
      </w:r>
      <w:r>
        <w:rPr>
          <w:rStyle w:val="VerbatimChar"/>
        </w:rPr>
        <w:t>rlang                  0.4.6 2020-05-02</w:t>
      </w:r>
      <w:r>
        <w:br/>
      </w:r>
      <w:r>
        <w:rPr>
          <w:rStyle w:val="VerbatimChar"/>
        </w:rPr>
        <w:t>rmarkdown              2.1.4 2020-05-17</w:t>
      </w:r>
      <w:r>
        <w:br/>
      </w:r>
      <w:r>
        <w:rPr>
          <w:rStyle w:val="VerbatimChar"/>
        </w:rPr>
        <w:t>rprojroot              1.3-2 2018-01-03</w:t>
      </w:r>
      <w:r>
        <w:br/>
      </w:r>
      <w:r>
        <w:rPr>
          <w:rStyle w:val="VerbatimChar"/>
        </w:rPr>
        <w:t>rsconnect             0.8.16 2019-12-13</w:t>
      </w:r>
      <w:r>
        <w:br/>
      </w:r>
      <w:r>
        <w:rPr>
          <w:rStyle w:val="VerbatimChar"/>
        </w:rPr>
        <w:t>rstan                 2.19.3 2020-02-11</w:t>
      </w:r>
      <w:r>
        <w:br/>
      </w:r>
      <w:r>
        <w:rPr>
          <w:rStyle w:val="VerbatimChar"/>
        </w:rPr>
        <w:t>rstantools             2.0.0 2019-09-15</w:t>
      </w:r>
      <w:r>
        <w:br/>
      </w:r>
      <w:r>
        <w:rPr>
          <w:rStyle w:val="VerbatimChar"/>
        </w:rPr>
        <w:t>scales                 1.1.1 2020-05-11</w:t>
      </w:r>
      <w:r>
        <w:br/>
      </w:r>
      <w:r>
        <w:rPr>
          <w:rStyle w:val="VerbatimChar"/>
        </w:rPr>
        <w:t>sessioninfo            1.1.1 2018-11-05</w:t>
      </w:r>
      <w:r>
        <w:br/>
      </w:r>
      <w:r>
        <w:rPr>
          <w:rStyle w:val="VerbatimChar"/>
        </w:rPr>
        <w:t>shiny                1.4.0.2 2020-03-13</w:t>
      </w:r>
      <w:r>
        <w:br/>
      </w:r>
      <w:r>
        <w:rPr>
          <w:rStyle w:val="VerbatimChar"/>
        </w:rPr>
        <w:t>shinyjs                  1.1 2020-01-13</w:t>
      </w:r>
      <w:r>
        <w:br/>
      </w:r>
      <w:r>
        <w:rPr>
          <w:rStyle w:val="VerbatimChar"/>
        </w:rPr>
        <w:t>shinystan              2.5.0 2018-05-01</w:t>
      </w:r>
      <w:r>
        <w:br/>
      </w:r>
      <w:r>
        <w:rPr>
          <w:rStyle w:val="VerbatimChar"/>
        </w:rPr>
        <w:t>shinythemes            1.1.2 2018-11-06</w:t>
      </w:r>
      <w:r>
        <w:br/>
      </w:r>
      <w:r>
        <w:rPr>
          <w:rStyle w:val="VerbatimChar"/>
        </w:rPr>
        <w:t>StanHeaders           2.19.2 2020-02-11</w:t>
      </w:r>
      <w:r>
        <w:br/>
      </w:r>
      <w:r>
        <w:rPr>
          <w:rStyle w:val="VerbatimChar"/>
        </w:rPr>
        <w:t>stringi                1.4.6 2020-02-17</w:t>
      </w:r>
      <w:r>
        <w:br/>
      </w:r>
      <w:r>
        <w:rPr>
          <w:rStyle w:val="VerbatimChar"/>
        </w:rPr>
        <w:t>stringr                1.4.0 2019-02-10</w:t>
      </w:r>
      <w:r>
        <w:br/>
      </w:r>
      <w:r>
        <w:rPr>
          <w:rStyle w:val="VerbatimChar"/>
        </w:rPr>
        <w:t>svUnit                 1.0.3 2020-04-20</w:t>
      </w:r>
      <w:r>
        <w:br/>
      </w:r>
      <w:r>
        <w:rPr>
          <w:rStyle w:val="VerbatimChar"/>
        </w:rPr>
        <w:t>testthat               2.3.2 2020-03-02</w:t>
      </w:r>
      <w:r>
        <w:br/>
      </w:r>
      <w:r>
        <w:rPr>
          <w:rStyle w:val="VerbatimChar"/>
        </w:rPr>
        <w:t>threejs                0.3.3 2020-01-21</w:t>
      </w:r>
      <w:r>
        <w:br/>
      </w:r>
      <w:r>
        <w:rPr>
          <w:rStyle w:val="VerbatimChar"/>
        </w:rPr>
        <w:t>tibble                 3.0.1 2020-04-20</w:t>
      </w:r>
      <w:r>
        <w:br/>
      </w:r>
      <w:r>
        <w:rPr>
          <w:rStyle w:val="VerbatimChar"/>
        </w:rPr>
        <w:t>tidybayes              2.0.3 2020-04-04</w:t>
      </w:r>
      <w:r>
        <w:br/>
      </w:r>
      <w:r>
        <w:rPr>
          <w:rStyle w:val="VerbatimChar"/>
        </w:rPr>
        <w:t>tidygraph              1.2.0 2020-05-12</w:t>
      </w:r>
      <w:r>
        <w:br/>
      </w:r>
      <w:r>
        <w:rPr>
          <w:rStyle w:val="VerbatimChar"/>
        </w:rPr>
        <w:t>tidyr                  1.1.0 2020-05-20</w:t>
      </w:r>
      <w:r>
        <w:br/>
      </w:r>
      <w:r>
        <w:rPr>
          <w:rStyle w:val="VerbatimChar"/>
        </w:rPr>
        <w:t>tidyselect             1.1.0 2020-05-11</w:t>
      </w:r>
      <w:r>
        <w:br/>
      </w:r>
      <w:r>
        <w:rPr>
          <w:rStyle w:val="VerbatimChar"/>
        </w:rPr>
        <w:t>usethis                1.6.1 2020-04-29</w:t>
      </w:r>
      <w:r>
        <w:br/>
      </w:r>
      <w:r>
        <w:rPr>
          <w:rStyle w:val="VerbatimChar"/>
        </w:rPr>
        <w:t>vctrs                  0.3.0 2020-05-11</w:t>
      </w:r>
      <w:r>
        <w:br/>
      </w:r>
      <w:r>
        <w:rPr>
          <w:rStyle w:val="VerbatimChar"/>
        </w:rPr>
        <w:t>vipor                  0.4.5 2017-03-22</w:t>
      </w:r>
      <w:r>
        <w:br/>
      </w:r>
      <w:r>
        <w:rPr>
          <w:rStyle w:val="VerbatimChar"/>
        </w:rPr>
        <w:t>withr                  2.2.0 2020-04-20</w:t>
      </w:r>
      <w:r>
        <w:br/>
      </w:r>
      <w:r>
        <w:rPr>
          <w:rStyle w:val="VerbatimChar"/>
        </w:rPr>
        <w:t>xfun                    0.14 2020-05-20</w:t>
      </w:r>
      <w:r>
        <w:br/>
      </w:r>
      <w:r>
        <w:rPr>
          <w:rStyle w:val="VerbatimChar"/>
        </w:rPr>
        <w:t>xtable                 1.8-4 2019-04-21</w:t>
      </w:r>
      <w:r>
        <w:br/>
      </w:r>
      <w:r>
        <w:rPr>
          <w:rStyle w:val="VerbatimChar"/>
        </w:rPr>
        <w:t>xts                   0.12-0 2020-01-19</w:t>
      </w:r>
      <w:r>
        <w:br/>
      </w:r>
      <w:r>
        <w:rPr>
          <w:rStyle w:val="VerbatimChar"/>
        </w:rPr>
        <w:t>yaml                   2.2.1 2020-02-01</w:t>
      </w:r>
      <w:r>
        <w:br/>
      </w:r>
      <w:r>
        <w:rPr>
          <w:rStyle w:val="VerbatimChar"/>
        </w:rPr>
        <w:t>zoo                    1.8-8 2020-05-02</w:t>
      </w:r>
    </w:p>
    <w:p w:rsidR="00CC6C29" w:rsidRDefault="00CC6C29" w:rsidP="00CC6C29">
      <w:pPr>
        <w:pStyle w:val="SourceCode"/>
      </w:pPr>
      <w:r>
        <w:rPr>
          <w:rStyle w:val="VerbatimChar"/>
        </w:rPr>
        <w:t>-05-02</w:t>
      </w:r>
    </w:p>
    <w:p w:rsidR="00A04107" w:rsidRDefault="00A04107"/>
    <w:sectPr w:rsidR="00A04107" w:rsidSect="00CB20D0">
      <w:headerReference w:type="even" r:id="rId14"/>
      <w:headerReference w:type="default" r:id="rId15"/>
      <w:headerReference w:type="first" r:id="rId16"/>
      <w:pgSz w:w="12240" w:h="15840"/>
      <w:pgMar w:top="1417" w:right="1417" w:bottom="1134" w:left="1417"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C6C29" w:rsidRDefault="00CC6C29" w:rsidP="00CC6C29">
      <w:pPr>
        <w:spacing w:before="0" w:after="0" w:line="240" w:lineRule="auto"/>
      </w:pPr>
      <w:r>
        <w:separator/>
      </w:r>
    </w:p>
  </w:endnote>
  <w:endnote w:type="continuationSeparator" w:id="0">
    <w:p w:rsidR="00CC6C29" w:rsidRDefault="00CC6C29" w:rsidP="00CC6C2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C6C29" w:rsidRDefault="00CC6C29" w:rsidP="00CC6C29">
      <w:pPr>
        <w:spacing w:before="0" w:after="0" w:line="240" w:lineRule="auto"/>
      </w:pPr>
      <w:r>
        <w:separator/>
      </w:r>
    </w:p>
  </w:footnote>
  <w:footnote w:type="continuationSeparator" w:id="0">
    <w:p w:rsidR="00CC6C29" w:rsidRDefault="00CC6C29" w:rsidP="00CC6C29">
      <w:pPr>
        <w:spacing w:before="0" w:after="0" w:line="240" w:lineRule="auto"/>
      </w:pPr>
      <w:r>
        <w:continuationSeparator/>
      </w:r>
    </w:p>
  </w:footnote>
  <w:footnote w:id="1">
    <w:p w:rsidR="00CC6C29" w:rsidRPr="006916AB" w:rsidRDefault="00CC6C29" w:rsidP="00CC6C29">
      <w:pPr>
        <w:pStyle w:val="FootnoteText"/>
        <w:spacing w:line="240" w:lineRule="auto"/>
        <w:rPr>
          <w:sz w:val="20"/>
          <w:szCs w:val="20"/>
        </w:rPr>
      </w:pPr>
      <w:r w:rsidRPr="006916AB">
        <w:rPr>
          <w:rStyle w:val="FootnoteReference"/>
          <w:sz w:val="20"/>
          <w:szCs w:val="20"/>
        </w:rPr>
        <w:footnoteRef/>
      </w:r>
      <w:r w:rsidRPr="006916AB">
        <w:rPr>
          <w:sz w:val="20"/>
          <w:szCs w:val="20"/>
        </w:rPr>
        <w:t xml:space="preserve"> Following Kruschke (2018), we established a ROPE of ± 0.05 for standardized values in logistic regression. For the linear model assessing phonemic boundaries the continuous variables were standardized to have a mean of 0 and a standard deviation of 0.5, thus the ROPE was ± 0.025 to reflect this difference. For non-standardized values in other contexts, Kruschke (2018) suggests a ROPE of ± 0.1—half of what is considered a small effect using Cohen’s D (Cohen, 1988, 2013)—, or calculating a rope using the following formula: </w:t>
      </w:r>
      <m:oMath>
        <m:f>
          <m:fPr>
            <m:ctrlPr>
              <w:rPr>
                <w:rFonts w:ascii="Cambria Math" w:hAnsi="Cambria Math" w:cs="Times New Roman"/>
                <w:sz w:val="20"/>
                <w:szCs w:val="20"/>
              </w:rPr>
            </m:ctrlPr>
          </m:fPr>
          <m:num>
            <m:sSub>
              <m:sSubPr>
                <m:ctrlPr>
                  <w:rPr>
                    <w:rFonts w:ascii="Cambria Math" w:hAnsi="Cambria Math" w:cs="Times New Roman"/>
                    <w:sz w:val="20"/>
                    <w:szCs w:val="20"/>
                  </w:rPr>
                </m:ctrlPr>
              </m:sSubPr>
              <m:e>
                <m:r>
                  <m:rPr>
                    <m:nor/>
                  </m:rPr>
                  <w:rPr>
                    <w:rFonts w:cs="Times New Roman"/>
                    <w:sz w:val="20"/>
                    <w:szCs w:val="20"/>
                  </w:rPr>
                  <m:t>μ</m:t>
                </m:r>
              </m:e>
              <m:sub>
                <m:r>
                  <m:rPr>
                    <m:nor/>
                  </m:rPr>
                  <w:rPr>
                    <w:rFonts w:cs="Times New Roman"/>
                    <w:sz w:val="20"/>
                    <w:szCs w:val="20"/>
                  </w:rPr>
                  <m:t>1</m:t>
                </m:r>
              </m:sub>
            </m:sSub>
            <m:r>
              <m:rPr>
                <m:nor/>
              </m:rPr>
              <w:rPr>
                <w:rFonts w:cs="Times New Roman"/>
                <w:sz w:val="20"/>
                <w:szCs w:val="20"/>
              </w:rPr>
              <m:t>-</m:t>
            </m:r>
            <m:sSub>
              <m:sSubPr>
                <m:ctrlPr>
                  <w:rPr>
                    <w:rFonts w:ascii="Cambria Math" w:hAnsi="Cambria Math" w:cs="Times New Roman"/>
                    <w:sz w:val="20"/>
                    <w:szCs w:val="20"/>
                  </w:rPr>
                </m:ctrlPr>
              </m:sSubPr>
              <m:e>
                <m:r>
                  <m:rPr>
                    <m:nor/>
                  </m:rPr>
                  <w:rPr>
                    <w:rFonts w:cs="Times New Roman"/>
                    <w:sz w:val="20"/>
                    <w:szCs w:val="20"/>
                  </w:rPr>
                  <m:t>μ</m:t>
                </m:r>
              </m:e>
              <m:sub>
                <m:r>
                  <m:rPr>
                    <m:nor/>
                  </m:rPr>
                  <w:rPr>
                    <w:rFonts w:cs="Times New Roman"/>
                    <w:sz w:val="20"/>
                    <w:szCs w:val="20"/>
                  </w:rPr>
                  <m:t>2</m:t>
                </m:r>
              </m:sub>
            </m:sSub>
          </m:num>
          <m:den>
            <m:rad>
              <m:radPr>
                <m:degHide m:val="1"/>
                <m:ctrlPr>
                  <w:rPr>
                    <w:rFonts w:ascii="Cambria Math" w:hAnsi="Cambria Math" w:cs="Times New Roman"/>
                    <w:sz w:val="20"/>
                    <w:szCs w:val="20"/>
                  </w:rPr>
                </m:ctrlPr>
              </m:radPr>
              <m:deg/>
              <m:e>
                <m:f>
                  <m:fPr>
                    <m:ctrlPr>
                      <w:rPr>
                        <w:rFonts w:ascii="Cambria Math" w:hAnsi="Cambria Math" w:cs="Times New Roman"/>
                        <w:sz w:val="20"/>
                        <w:szCs w:val="20"/>
                      </w:rPr>
                    </m:ctrlPr>
                  </m:fPr>
                  <m:num>
                    <m:sSubSup>
                      <m:sSubSupPr>
                        <m:ctrlPr>
                          <w:rPr>
                            <w:rFonts w:ascii="Cambria Math" w:hAnsi="Cambria Math" w:cs="Times New Roman"/>
                            <w:sz w:val="20"/>
                            <w:szCs w:val="20"/>
                          </w:rPr>
                        </m:ctrlPr>
                      </m:sSubSupPr>
                      <m:e>
                        <m:r>
                          <m:rPr>
                            <m:nor/>
                          </m:rPr>
                          <w:rPr>
                            <w:rFonts w:cs="Times New Roman"/>
                            <w:sz w:val="20"/>
                            <w:szCs w:val="20"/>
                          </w:rPr>
                          <m:t>σ</m:t>
                        </m:r>
                      </m:e>
                      <m:sub>
                        <m:r>
                          <m:rPr>
                            <m:nor/>
                          </m:rPr>
                          <w:rPr>
                            <w:rFonts w:cs="Times New Roman"/>
                            <w:sz w:val="20"/>
                            <w:szCs w:val="20"/>
                          </w:rPr>
                          <m:t>1</m:t>
                        </m:r>
                      </m:sub>
                      <m:sup>
                        <m:r>
                          <m:rPr>
                            <m:nor/>
                          </m:rPr>
                          <w:rPr>
                            <w:rFonts w:cs="Times New Roman"/>
                            <w:sz w:val="20"/>
                            <w:szCs w:val="20"/>
                          </w:rPr>
                          <m:t>2</m:t>
                        </m:r>
                      </m:sup>
                    </m:sSubSup>
                    <m:r>
                      <m:rPr>
                        <m:nor/>
                      </m:rPr>
                      <w:rPr>
                        <w:rFonts w:cs="Times New Roman"/>
                        <w:sz w:val="20"/>
                        <w:szCs w:val="20"/>
                      </w:rPr>
                      <m:t>+</m:t>
                    </m:r>
                    <m:sSubSup>
                      <m:sSubSupPr>
                        <m:ctrlPr>
                          <w:rPr>
                            <w:rFonts w:ascii="Cambria Math" w:hAnsi="Cambria Math" w:cs="Times New Roman"/>
                            <w:sz w:val="20"/>
                            <w:szCs w:val="20"/>
                          </w:rPr>
                        </m:ctrlPr>
                      </m:sSubSupPr>
                      <m:e>
                        <m:r>
                          <m:rPr>
                            <m:nor/>
                          </m:rPr>
                          <w:rPr>
                            <w:rFonts w:cs="Times New Roman"/>
                            <w:sz w:val="20"/>
                            <w:szCs w:val="20"/>
                          </w:rPr>
                          <m:t>σ</m:t>
                        </m:r>
                      </m:e>
                      <m:sub>
                        <m:r>
                          <m:rPr>
                            <m:nor/>
                          </m:rPr>
                          <w:rPr>
                            <w:rFonts w:cs="Times New Roman"/>
                            <w:sz w:val="20"/>
                            <w:szCs w:val="20"/>
                          </w:rPr>
                          <m:t>2</m:t>
                        </m:r>
                      </m:sub>
                      <m:sup>
                        <m:r>
                          <m:rPr>
                            <m:nor/>
                          </m:rPr>
                          <w:rPr>
                            <w:rFonts w:cs="Times New Roman"/>
                            <w:sz w:val="20"/>
                            <w:szCs w:val="20"/>
                          </w:rPr>
                          <m:t>2</m:t>
                        </m:r>
                      </m:sup>
                    </m:sSubSup>
                  </m:num>
                  <m:den>
                    <m:r>
                      <m:rPr>
                        <m:nor/>
                      </m:rPr>
                      <w:rPr>
                        <w:rFonts w:cs="Times New Roman"/>
                        <w:sz w:val="20"/>
                        <w:szCs w:val="20"/>
                      </w:rPr>
                      <m:t>2</m:t>
                    </m:r>
                  </m:den>
                </m:f>
              </m:e>
            </m:rad>
          </m:den>
        </m:f>
      </m:oMath>
      <w:r w:rsidRPr="006916AB">
        <w:rPr>
          <w:sz w:val="20"/>
          <w:szCs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509259971"/>
      <w:docPartObj>
        <w:docPartGallery w:val="Page Numbers (Top of Page)"/>
        <w:docPartUnique/>
      </w:docPartObj>
    </w:sdtPr>
    <w:sdtEndPr>
      <w:rPr>
        <w:rStyle w:val="PageNumber"/>
      </w:rPr>
    </w:sdtEndPr>
    <w:sdtContent>
      <w:p w:rsidR="00AF36ED" w:rsidRDefault="00CC6C29" w:rsidP="00EE504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AF36ED" w:rsidRDefault="00CC6C29" w:rsidP="00AF36ED">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922177194"/>
      <w:docPartObj>
        <w:docPartGallery w:val="Page Numbers (Top of Page)"/>
        <w:docPartUnique/>
      </w:docPartObj>
    </w:sdtPr>
    <w:sdtEndPr>
      <w:rPr>
        <w:rStyle w:val="PageNumber"/>
      </w:rPr>
    </w:sdtEndPr>
    <w:sdtContent>
      <w:p w:rsidR="00AF36ED" w:rsidRDefault="00CC6C29" w:rsidP="00EE504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p w:rsidR="00AF36ED" w:rsidRPr="00AF36ED" w:rsidRDefault="00CC6C29" w:rsidP="00572FF5">
    <w:pPr>
      <w:pStyle w:val="Header"/>
      <w:ind w:right="357"/>
      <w:rPr>
        <w:lang w:val="de-DE"/>
      </w:rPr>
    </w:pPr>
    <w:r w:rsidRPr="005036C4">
      <w:t>Perceptual categorization in adult L2 learners</w:t>
    </w:r>
    <w: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503596050"/>
      <w:docPartObj>
        <w:docPartGallery w:val="Page Numbers (Top of Page)"/>
        <w:docPartUnique/>
      </w:docPartObj>
    </w:sdtPr>
    <w:sdtEndPr>
      <w:rPr>
        <w:rStyle w:val="PageNumber"/>
      </w:rPr>
    </w:sdtEndPr>
    <w:sdtContent>
      <w:p w:rsidR="00CB20D0" w:rsidRDefault="00CC6C29" w:rsidP="00CB20D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CB20D0" w:rsidRPr="00CB20D0" w:rsidRDefault="00CC6C29" w:rsidP="00CB20D0">
    <w:pPr>
      <w:pStyle w:val="Header"/>
      <w:ind w:right="357"/>
      <w:rPr>
        <w:lang w:val="de-DE"/>
      </w:rPr>
    </w:pPr>
    <w:r w:rsidRPr="005036C4">
      <w:t xml:space="preserve">Running head: Perceptual categorization in adult L2 </w:t>
    </w:r>
    <w:r w:rsidRPr="005036C4">
      <w:t>learners</w:t>
    </w:r>
    <w:r>
      <w:ptab w:relativeTo="margin" w:alignment="right" w:leader="none"/>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6D1D"/>
    <w:rsid w:val="00A04107"/>
    <w:rsid w:val="00CC6C29"/>
    <w:rsid w:val="00EC6D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55607A9-3EB1-4507-9116-D3C3500FC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6C29"/>
    <w:pPr>
      <w:spacing w:before="120" w:after="240" w:line="480" w:lineRule="auto"/>
    </w:pPr>
    <w:rPr>
      <w:rFonts w:ascii="Times New Roman" w:hAnsi="Times New Roman"/>
      <w:sz w:val="24"/>
      <w:szCs w:val="24"/>
    </w:rPr>
  </w:style>
  <w:style w:type="paragraph" w:styleId="Heading1">
    <w:name w:val="heading 1"/>
    <w:basedOn w:val="Normal"/>
    <w:next w:val="BodyText"/>
    <w:link w:val="Heading1Char"/>
    <w:uiPriority w:val="9"/>
    <w:qFormat/>
    <w:rsid w:val="00CC6C29"/>
    <w:pPr>
      <w:keepNext/>
      <w:keepLines/>
      <w:spacing w:before="480" w:after="0"/>
      <w:jc w:val="center"/>
      <w:outlineLvl w:val="0"/>
    </w:pPr>
    <w:rPr>
      <w:rFonts w:eastAsiaTheme="majorEastAsia" w:cstheme="majorBidi"/>
      <w:b/>
      <w:bCs/>
      <w:szCs w:val="32"/>
    </w:rPr>
  </w:style>
  <w:style w:type="paragraph" w:styleId="Heading2">
    <w:name w:val="heading 2"/>
    <w:basedOn w:val="Heading1"/>
    <w:next w:val="BodyText"/>
    <w:link w:val="Heading2Char"/>
    <w:uiPriority w:val="9"/>
    <w:unhideWhenUsed/>
    <w:qFormat/>
    <w:rsid w:val="00CC6C29"/>
    <w:pPr>
      <w:spacing w:before="200"/>
      <w:jc w:val="left"/>
      <w:outlineLvl w:val="1"/>
    </w:pPr>
    <w:rPr>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C6C29"/>
    <w:rPr>
      <w:rFonts w:ascii="Times New Roman" w:eastAsiaTheme="majorEastAsia" w:hAnsi="Times New Roman" w:cstheme="majorBidi"/>
      <w:b/>
      <w:bCs/>
      <w:sz w:val="24"/>
      <w:szCs w:val="32"/>
    </w:rPr>
  </w:style>
  <w:style w:type="character" w:customStyle="1" w:styleId="Heading2Char">
    <w:name w:val="Heading 2 Char"/>
    <w:basedOn w:val="DefaultParagraphFont"/>
    <w:link w:val="Heading2"/>
    <w:uiPriority w:val="9"/>
    <w:rsid w:val="00CC6C29"/>
    <w:rPr>
      <w:rFonts w:ascii="Times New Roman" w:eastAsiaTheme="majorEastAsia" w:hAnsi="Times New Roman" w:cstheme="majorBidi"/>
      <w:b/>
      <w:sz w:val="24"/>
      <w:szCs w:val="32"/>
    </w:rPr>
  </w:style>
  <w:style w:type="paragraph" w:styleId="BodyText">
    <w:name w:val="Body Text"/>
    <w:basedOn w:val="Normal"/>
    <w:link w:val="BodyTextChar"/>
    <w:qFormat/>
    <w:rsid w:val="00CC6C29"/>
    <w:pPr>
      <w:spacing w:before="180"/>
      <w:ind w:firstLine="680"/>
    </w:pPr>
  </w:style>
  <w:style w:type="character" w:customStyle="1" w:styleId="BodyTextChar">
    <w:name w:val="Body Text Char"/>
    <w:basedOn w:val="DefaultParagraphFont"/>
    <w:link w:val="BodyText"/>
    <w:rsid w:val="00CC6C29"/>
    <w:rPr>
      <w:rFonts w:ascii="Times New Roman" w:hAnsi="Times New Roman"/>
      <w:sz w:val="24"/>
      <w:szCs w:val="24"/>
    </w:rPr>
  </w:style>
  <w:style w:type="paragraph" w:customStyle="1" w:styleId="FirstParagraph">
    <w:name w:val="First Paragraph"/>
    <w:basedOn w:val="BodyText"/>
    <w:next w:val="BodyText"/>
    <w:qFormat/>
    <w:rsid w:val="00CC6C29"/>
  </w:style>
  <w:style w:type="paragraph" w:customStyle="1" w:styleId="Compact">
    <w:name w:val="Compact"/>
    <w:basedOn w:val="BodyText"/>
    <w:qFormat/>
    <w:rsid w:val="00CC6C29"/>
    <w:pPr>
      <w:spacing w:after="180" w:line="240" w:lineRule="auto"/>
      <w:ind w:firstLine="0"/>
    </w:pPr>
  </w:style>
  <w:style w:type="paragraph" w:styleId="Title">
    <w:name w:val="Title"/>
    <w:basedOn w:val="Normal"/>
    <w:next w:val="BodyText"/>
    <w:link w:val="TitleChar"/>
    <w:qFormat/>
    <w:rsid w:val="00CC6C29"/>
    <w:pPr>
      <w:keepNext/>
      <w:keepLines/>
      <w:spacing w:before="2040"/>
      <w:jc w:val="center"/>
    </w:pPr>
    <w:rPr>
      <w:rFonts w:eastAsiaTheme="majorEastAsia" w:cstheme="majorBidi"/>
      <w:bCs/>
      <w:szCs w:val="36"/>
    </w:rPr>
  </w:style>
  <w:style w:type="character" w:customStyle="1" w:styleId="TitleChar">
    <w:name w:val="Title Char"/>
    <w:basedOn w:val="DefaultParagraphFont"/>
    <w:link w:val="Title"/>
    <w:rsid w:val="00CC6C29"/>
    <w:rPr>
      <w:rFonts w:ascii="Times New Roman" w:eastAsiaTheme="majorEastAsia" w:hAnsi="Times New Roman" w:cstheme="majorBidi"/>
      <w:bCs/>
      <w:sz w:val="24"/>
      <w:szCs w:val="36"/>
    </w:rPr>
  </w:style>
  <w:style w:type="paragraph" w:styleId="FootnoteText">
    <w:name w:val="footnote text"/>
    <w:basedOn w:val="Normal"/>
    <w:link w:val="FootnoteTextChar"/>
    <w:uiPriority w:val="9"/>
    <w:unhideWhenUsed/>
    <w:qFormat/>
    <w:rsid w:val="00CC6C29"/>
    <w:pPr>
      <w:spacing w:before="0"/>
    </w:pPr>
  </w:style>
  <w:style w:type="character" w:customStyle="1" w:styleId="FootnoteTextChar">
    <w:name w:val="Footnote Text Char"/>
    <w:basedOn w:val="DefaultParagraphFont"/>
    <w:link w:val="FootnoteText"/>
    <w:uiPriority w:val="9"/>
    <w:rsid w:val="00CC6C29"/>
    <w:rPr>
      <w:rFonts w:ascii="Times New Roman" w:hAnsi="Times New Roman"/>
      <w:sz w:val="24"/>
      <w:szCs w:val="24"/>
    </w:rPr>
  </w:style>
  <w:style w:type="table" w:customStyle="1" w:styleId="Table">
    <w:name w:val="Table"/>
    <w:basedOn w:val="TableNormal"/>
    <w:uiPriority w:val="99"/>
    <w:rsid w:val="00CC6C29"/>
    <w:pPr>
      <w:spacing w:after="0" w:line="240" w:lineRule="auto"/>
    </w:pPr>
    <w:rPr>
      <w:rFonts w:ascii="Times New Roman" w:hAnsi="Times New Roman"/>
      <w:sz w:val="24"/>
      <w:szCs w:val="24"/>
    </w:rPr>
    <w:tblPr>
      <w:tblBorders>
        <w:top w:val="single" w:sz="12" w:space="0" w:color="auto"/>
        <w:bottom w:val="single" w:sz="4" w:space="0" w:color="auto"/>
      </w:tblBorders>
    </w:tblPr>
    <w:tcPr>
      <w:vAlign w:val="center"/>
    </w:tcPr>
    <w:tblStylePr w:type="firstRow">
      <w:tblPr/>
      <w:tcPr>
        <w:tcBorders>
          <w:top w:val="single" w:sz="8" w:space="0" w:color="auto"/>
          <w:bottom w:val="single" w:sz="4" w:space="0" w:color="auto"/>
        </w:tcBorders>
      </w:tcPr>
    </w:tblStylePr>
    <w:tblStylePr w:type="lastRow">
      <w:tblPr/>
      <w:tcPr>
        <w:tcBorders>
          <w:bottom w:val="single" w:sz="4" w:space="0" w:color="auto"/>
        </w:tcBorders>
      </w:tcPr>
    </w:tblStylePr>
  </w:style>
  <w:style w:type="paragraph" w:customStyle="1" w:styleId="TableCaption">
    <w:name w:val="Table Caption"/>
    <w:basedOn w:val="Caption"/>
    <w:rsid w:val="00CC6C29"/>
    <w:pPr>
      <w:keepNext/>
      <w:spacing w:before="120" w:after="120" w:line="480" w:lineRule="auto"/>
    </w:pPr>
    <w:rPr>
      <w:iCs w:val="0"/>
      <w:color w:val="auto"/>
      <w:sz w:val="24"/>
      <w:szCs w:val="24"/>
    </w:rPr>
  </w:style>
  <w:style w:type="paragraph" w:customStyle="1" w:styleId="ImageCaption">
    <w:name w:val="Image Caption"/>
    <w:basedOn w:val="Caption"/>
    <w:rsid w:val="00CC6C29"/>
    <w:pPr>
      <w:spacing w:before="120" w:after="120" w:line="480" w:lineRule="auto"/>
    </w:pPr>
    <w:rPr>
      <w:i w:val="0"/>
      <w:iCs w:val="0"/>
      <w:color w:val="auto"/>
      <w:sz w:val="24"/>
      <w:szCs w:val="24"/>
    </w:rPr>
  </w:style>
  <w:style w:type="paragraph" w:customStyle="1" w:styleId="CaptionedFigure">
    <w:name w:val="Captioned Figure"/>
    <w:basedOn w:val="Normal"/>
    <w:rsid w:val="00CC6C29"/>
    <w:pPr>
      <w:keepNext/>
    </w:pPr>
  </w:style>
  <w:style w:type="character" w:customStyle="1" w:styleId="VerbatimChar">
    <w:name w:val="Verbatim Char"/>
    <w:basedOn w:val="DefaultParagraphFont"/>
    <w:link w:val="SourceCode"/>
    <w:rsid w:val="00CC6C29"/>
    <w:rPr>
      <w:rFonts w:ascii="Consolas" w:hAnsi="Consolas"/>
      <w:shd w:val="clear" w:color="auto" w:fill="F8F8F8"/>
    </w:rPr>
  </w:style>
  <w:style w:type="character" w:styleId="FootnoteReference">
    <w:name w:val="footnote reference"/>
    <w:basedOn w:val="DefaultParagraphFont"/>
    <w:rsid w:val="00CC6C29"/>
    <w:rPr>
      <w:vertAlign w:val="superscript"/>
    </w:rPr>
  </w:style>
  <w:style w:type="paragraph" w:customStyle="1" w:styleId="SourceCode">
    <w:name w:val="Source Code"/>
    <w:basedOn w:val="Normal"/>
    <w:link w:val="VerbatimChar"/>
    <w:rsid w:val="00CC6C29"/>
    <w:pPr>
      <w:shd w:val="clear" w:color="auto" w:fill="F8F8F8"/>
      <w:wordWrap w:val="0"/>
    </w:pPr>
    <w:rPr>
      <w:rFonts w:ascii="Consolas" w:hAnsi="Consolas"/>
      <w:sz w:val="22"/>
      <w:szCs w:val="22"/>
    </w:rPr>
  </w:style>
  <w:style w:type="paragraph" w:styleId="Header">
    <w:name w:val="header"/>
    <w:basedOn w:val="Normal"/>
    <w:link w:val="HeaderChar"/>
    <w:unhideWhenUsed/>
    <w:rsid w:val="00CC6C29"/>
    <w:pPr>
      <w:tabs>
        <w:tab w:val="center" w:pos="4536"/>
        <w:tab w:val="right" w:pos="9072"/>
      </w:tabs>
      <w:spacing w:after="0"/>
    </w:pPr>
  </w:style>
  <w:style w:type="character" w:customStyle="1" w:styleId="HeaderChar">
    <w:name w:val="Header Char"/>
    <w:basedOn w:val="DefaultParagraphFont"/>
    <w:link w:val="Header"/>
    <w:rsid w:val="00CC6C29"/>
    <w:rPr>
      <w:rFonts w:ascii="Times New Roman" w:hAnsi="Times New Roman"/>
      <w:sz w:val="24"/>
      <w:szCs w:val="24"/>
    </w:rPr>
  </w:style>
  <w:style w:type="character" w:styleId="PageNumber">
    <w:name w:val="page number"/>
    <w:basedOn w:val="DefaultParagraphFont"/>
    <w:semiHidden/>
    <w:unhideWhenUsed/>
    <w:rsid w:val="00CC6C29"/>
  </w:style>
  <w:style w:type="paragraph" w:styleId="Caption">
    <w:name w:val="caption"/>
    <w:basedOn w:val="Normal"/>
    <w:next w:val="Normal"/>
    <w:uiPriority w:val="35"/>
    <w:semiHidden/>
    <w:unhideWhenUsed/>
    <w:qFormat/>
    <w:rsid w:val="00CC6C29"/>
    <w:pPr>
      <w:spacing w:before="0"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eader" Target="header3.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header" Target="header2.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14</Pages>
  <Words>2619</Words>
  <Characters>14933</Characters>
  <Application>Microsoft Office Word</Application>
  <DocSecurity>0</DocSecurity>
  <Lines>124</Lines>
  <Paragraphs>35</Paragraphs>
  <ScaleCrop>false</ScaleCrop>
  <Company>Cambridge University Press</Company>
  <LinksUpToDate>false</LinksUpToDate>
  <CharactersWithSpaces>17517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Jamie Magyar</dc:creator>
  <cp:keywords/>
  <dc:description/>
  <cp:lastModifiedBy>Jamie Magyar</cp:lastModifiedBy>
  <cp:revision>2</cp:revision>
  <dcterms:created xsi:type="dcterms:W3CDTF">2020-06-09T15:38:00Z</dcterms:created>
  <dcterms:modified xsi:type="dcterms:W3CDTF">2020-06-09T15:38:00Z</dcterms:modified>
</cp:coreProperties>
</file>