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AE4" w:rsidRDefault="00414AE4" w:rsidP="00414AE4">
      <w:pPr>
        <w:spacing w:line="480" w:lineRule="auto"/>
        <w:jc w:val="center"/>
        <w:rPr>
          <w:rFonts w:ascii="Times New Roman" w:hAnsi="Times New Roman" w:cs="Times New Roman"/>
          <w:b/>
        </w:rPr>
      </w:pPr>
      <w:r>
        <w:rPr>
          <w:rFonts w:ascii="Times New Roman" w:hAnsi="Times New Roman" w:cs="Times New Roman" w:hint="eastAsia"/>
          <w:b/>
        </w:rPr>
        <w:t>R</w:t>
      </w:r>
      <w:r>
        <w:rPr>
          <w:rFonts w:ascii="Times New Roman" w:hAnsi="Times New Roman" w:cs="Times New Roman"/>
          <w:b/>
        </w:rPr>
        <w:t>esults of Power Analyses</w:t>
      </w:r>
    </w:p>
    <w:p w:rsidR="00414AE4" w:rsidRDefault="00414AE4" w:rsidP="00414AE4">
      <w:pPr>
        <w:spacing w:line="480" w:lineRule="auto"/>
        <w:rPr>
          <w:rFonts w:ascii="Times New Roman" w:hAnsi="Times New Roman" w:cs="Times New Roman"/>
          <w:b/>
        </w:rPr>
      </w:pPr>
      <w:r>
        <w:rPr>
          <w:rFonts w:ascii="Times New Roman" w:hAnsi="Times New Roman" w:cs="Times New Roman"/>
          <w:b/>
        </w:rPr>
        <w:t>Untimed Auditory Grammaticality Judgment Task</w:t>
      </w:r>
      <w:r w:rsidR="00426A5C">
        <w:rPr>
          <w:rFonts w:ascii="Times New Roman" w:hAnsi="Times New Roman" w:cs="Times New Roman"/>
          <w:b/>
        </w:rPr>
        <w:t xml:space="preserve"> (U-AGJT)</w:t>
      </w:r>
    </w:p>
    <w:p w:rsidR="00AD53BB" w:rsidRDefault="00F34F1C" w:rsidP="00426A5C">
      <w:pPr>
        <w:spacing w:line="480" w:lineRule="auto"/>
        <w:ind w:firstLine="720"/>
        <w:rPr>
          <w:rFonts w:ascii="Times New Roman" w:hAnsi="Times New Roman" w:cs="Times New Roman"/>
        </w:rPr>
      </w:pPr>
      <w:r>
        <w:rPr>
          <w:rFonts w:ascii="Times New Roman" w:hAnsi="Times New Roman" w:cs="Times New Roman"/>
        </w:rPr>
        <w:t>Currently, there are no studies of</w:t>
      </w:r>
      <w:r w:rsidR="005A04DE">
        <w:rPr>
          <w:rFonts w:ascii="Times New Roman" w:hAnsi="Times New Roman" w:cs="Times New Roman"/>
        </w:rPr>
        <w:t xml:space="preserve"> L2</w:t>
      </w:r>
      <w:r>
        <w:rPr>
          <w:rFonts w:ascii="Times New Roman" w:hAnsi="Times New Roman" w:cs="Times New Roman"/>
        </w:rPr>
        <w:t xml:space="preserve"> learning under incidental conditions that </w:t>
      </w:r>
      <w:r w:rsidR="00CD48D0">
        <w:rPr>
          <w:rFonts w:ascii="Times New Roman" w:hAnsi="Times New Roman" w:cs="Times New Roman"/>
        </w:rPr>
        <w:t>used</w:t>
      </w:r>
      <w:r>
        <w:rPr>
          <w:rFonts w:ascii="Times New Roman" w:hAnsi="Times New Roman" w:cs="Times New Roman"/>
        </w:rPr>
        <w:t xml:space="preserve"> a multivariate analysis of variance (MANOVA). This may be due to the fact that the studies often fall short of the sample size required to conduct such </w:t>
      </w:r>
      <w:r w:rsidR="00332357">
        <w:rPr>
          <w:rFonts w:ascii="Times New Roman" w:hAnsi="Times New Roman" w:cs="Times New Roman"/>
        </w:rPr>
        <w:t xml:space="preserve">higher-order </w:t>
      </w:r>
      <w:r>
        <w:rPr>
          <w:rFonts w:ascii="Times New Roman" w:hAnsi="Times New Roman" w:cs="Times New Roman"/>
        </w:rPr>
        <w:t xml:space="preserve">analytical </w:t>
      </w:r>
      <w:r w:rsidR="00187E22">
        <w:rPr>
          <w:rFonts w:ascii="Times New Roman" w:hAnsi="Times New Roman" w:cs="Times New Roman"/>
        </w:rPr>
        <w:t>procedure</w:t>
      </w:r>
      <w:r>
        <w:rPr>
          <w:rFonts w:ascii="Times New Roman" w:hAnsi="Times New Roman" w:cs="Times New Roman"/>
        </w:rPr>
        <w:t xml:space="preserve">. Hence, </w:t>
      </w:r>
      <w:r w:rsidR="00AD53BB">
        <w:rPr>
          <w:rFonts w:ascii="Times New Roman" w:hAnsi="Times New Roman" w:cs="Times New Roman"/>
        </w:rPr>
        <w:t xml:space="preserve">power analyses were </w:t>
      </w:r>
      <w:r w:rsidR="00187E22">
        <w:rPr>
          <w:rFonts w:ascii="Times New Roman" w:hAnsi="Times New Roman" w:cs="Times New Roman"/>
        </w:rPr>
        <w:t xml:space="preserve">only </w:t>
      </w:r>
      <w:r w:rsidR="00AD53BB">
        <w:rPr>
          <w:rFonts w:ascii="Times New Roman" w:hAnsi="Times New Roman" w:cs="Times New Roman"/>
        </w:rPr>
        <w:t xml:space="preserve">conducted for univariate ANOVAs. </w:t>
      </w:r>
      <w:r w:rsidR="00426A5C">
        <w:rPr>
          <w:rFonts w:ascii="Times New Roman" w:hAnsi="Times New Roman" w:cs="Times New Roman"/>
        </w:rPr>
        <w:t xml:space="preserve">As the original multivariate analysis </w:t>
      </w:r>
      <w:r w:rsidR="00332357">
        <w:rPr>
          <w:rFonts w:ascii="Times New Roman" w:hAnsi="Times New Roman" w:cs="Times New Roman"/>
        </w:rPr>
        <w:t xml:space="preserve">in the study </w:t>
      </w:r>
      <w:r w:rsidR="00426A5C">
        <w:rPr>
          <w:rFonts w:ascii="Times New Roman" w:hAnsi="Times New Roman" w:cs="Times New Roman"/>
        </w:rPr>
        <w:t>produced significant results for U-AGJT</w:t>
      </w:r>
      <w:r w:rsidR="00D7085D">
        <w:rPr>
          <w:rFonts w:ascii="Times New Roman" w:hAnsi="Times New Roman" w:cs="Times New Roman"/>
        </w:rPr>
        <w:t xml:space="preserve"> with all subsequent follow-up univariate </w:t>
      </w:r>
      <w:r w:rsidR="005A04DE">
        <w:rPr>
          <w:rFonts w:ascii="Times New Roman" w:hAnsi="Times New Roman" w:cs="Times New Roman"/>
        </w:rPr>
        <w:t>counterpart</w:t>
      </w:r>
      <w:r w:rsidR="00D7085D">
        <w:rPr>
          <w:rFonts w:ascii="Times New Roman" w:hAnsi="Times New Roman" w:cs="Times New Roman"/>
        </w:rPr>
        <w:t>s showing parallel</w:t>
      </w:r>
      <w:r w:rsidR="0060225A">
        <w:rPr>
          <w:rFonts w:ascii="Times New Roman" w:hAnsi="Times New Roman" w:cs="Times New Roman"/>
        </w:rPr>
        <w:t>ing</w:t>
      </w:r>
      <w:r w:rsidR="00D7085D">
        <w:rPr>
          <w:rFonts w:ascii="Times New Roman" w:hAnsi="Times New Roman" w:cs="Times New Roman"/>
        </w:rPr>
        <w:t xml:space="preserve"> results, this </w:t>
      </w:r>
      <w:r w:rsidR="00612C39">
        <w:rPr>
          <w:rFonts w:ascii="Times New Roman" w:hAnsi="Times New Roman" w:cs="Times New Roman"/>
        </w:rPr>
        <w:t>was considered as</w:t>
      </w:r>
      <w:r w:rsidR="00D7085D">
        <w:rPr>
          <w:rFonts w:ascii="Times New Roman" w:hAnsi="Times New Roman" w:cs="Times New Roman"/>
        </w:rPr>
        <w:t xml:space="preserve"> a negligible issue.</w:t>
      </w:r>
    </w:p>
    <w:p w:rsidR="00A15B37" w:rsidRDefault="00AD53BB" w:rsidP="00D7085D">
      <w:pPr>
        <w:spacing w:line="480" w:lineRule="auto"/>
        <w:ind w:firstLine="720"/>
        <w:rPr>
          <w:rFonts w:ascii="Times New Roman" w:hAnsi="Times New Roman" w:cs="Times New Roman"/>
        </w:rPr>
      </w:pPr>
      <w:r>
        <w:rPr>
          <w:rFonts w:ascii="Times New Roman" w:hAnsi="Times New Roman" w:cs="Times New Roman"/>
        </w:rPr>
        <w:t>Despite the fact that</w:t>
      </w:r>
      <w:r w:rsidR="00414AE4">
        <w:rPr>
          <w:rFonts w:ascii="Times New Roman" w:hAnsi="Times New Roman" w:cs="Times New Roman"/>
        </w:rPr>
        <w:t xml:space="preserve"> there is an abundance of experimental studies on L2 learning under incidental conditions, Hamrick (2014) was the only one that </w:t>
      </w:r>
      <w:r>
        <w:rPr>
          <w:rFonts w:ascii="Times New Roman" w:hAnsi="Times New Roman" w:cs="Times New Roman"/>
        </w:rPr>
        <w:t>adopted</w:t>
      </w:r>
      <w:r w:rsidR="00414AE4">
        <w:rPr>
          <w:rFonts w:ascii="Times New Roman" w:hAnsi="Times New Roman" w:cs="Times New Roman"/>
        </w:rPr>
        <w:t xml:space="preserve"> a trained control group</w:t>
      </w:r>
      <w:r>
        <w:rPr>
          <w:rFonts w:ascii="Times New Roman" w:hAnsi="Times New Roman" w:cs="Times New Roman"/>
        </w:rPr>
        <w:t xml:space="preserve"> </w:t>
      </w:r>
      <w:r w:rsidR="00414AE4">
        <w:rPr>
          <w:rFonts w:ascii="Times New Roman" w:hAnsi="Times New Roman" w:cs="Times New Roman"/>
        </w:rPr>
        <w:t xml:space="preserve">(as was the case in the present study). </w:t>
      </w:r>
      <w:r w:rsidR="00064EA4">
        <w:rPr>
          <w:rFonts w:ascii="Times New Roman" w:hAnsi="Times New Roman" w:cs="Times New Roman"/>
        </w:rPr>
        <w:t>Participants were 27 native speakers of English assigned to either the experimental (</w:t>
      </w:r>
      <w:r w:rsidR="00064EA4">
        <w:rPr>
          <w:rFonts w:ascii="Times New Roman" w:hAnsi="Times New Roman" w:cs="Times New Roman"/>
          <w:i/>
        </w:rPr>
        <w:t>n</w:t>
      </w:r>
      <w:r w:rsidR="00064EA4">
        <w:rPr>
          <w:rFonts w:ascii="Times New Roman" w:hAnsi="Times New Roman" w:cs="Times New Roman"/>
        </w:rPr>
        <w:t xml:space="preserve"> = 14) or the control group (</w:t>
      </w:r>
      <w:r w:rsidR="00064EA4">
        <w:rPr>
          <w:rFonts w:ascii="Times New Roman" w:hAnsi="Times New Roman" w:cs="Times New Roman"/>
          <w:i/>
        </w:rPr>
        <w:t xml:space="preserve">n </w:t>
      </w:r>
      <w:r w:rsidR="00064EA4">
        <w:rPr>
          <w:rFonts w:ascii="Times New Roman" w:hAnsi="Times New Roman" w:cs="Times New Roman"/>
        </w:rPr>
        <w:t>= 13). During the training phase, they were exposed to 96 sentences of a semi-artificial language</w:t>
      </w:r>
      <w:r w:rsidR="00780C28">
        <w:rPr>
          <w:rFonts w:ascii="Times New Roman" w:hAnsi="Times New Roman" w:cs="Times New Roman"/>
        </w:rPr>
        <w:t xml:space="preserve"> specifically</w:t>
      </w:r>
      <w:r w:rsidR="00064EA4">
        <w:rPr>
          <w:rFonts w:ascii="Times New Roman" w:hAnsi="Times New Roman" w:cs="Times New Roman"/>
        </w:rPr>
        <w:t xml:space="preserve"> devised for the study (see Hamrick, 2013 for materials). </w:t>
      </w:r>
      <w:r w:rsidR="00F34F1C">
        <w:rPr>
          <w:rFonts w:ascii="Times New Roman" w:hAnsi="Times New Roman" w:cs="Times New Roman"/>
        </w:rPr>
        <w:t xml:space="preserve">Learning was assessed immediately after the training by means of a recognition memory test, in which participants had to indicate whether they had heard each sentence before using a rating scale </w:t>
      </w:r>
      <w:r>
        <w:rPr>
          <w:rFonts w:ascii="Times New Roman" w:hAnsi="Times New Roman" w:cs="Times New Roman"/>
        </w:rPr>
        <w:t>ranging from</w:t>
      </w:r>
      <w:r w:rsidR="00F34F1C">
        <w:rPr>
          <w:rFonts w:ascii="Times New Roman" w:hAnsi="Times New Roman" w:cs="Times New Roman"/>
        </w:rPr>
        <w:t xml:space="preserve"> “</w:t>
      </w:r>
      <w:r w:rsidR="00F34F1C" w:rsidRPr="00F34F1C">
        <w:rPr>
          <w:rFonts w:ascii="Times New Roman" w:hAnsi="Times New Roman" w:cs="Times New Roman"/>
        </w:rPr>
        <w:t>1 (</w:t>
      </w:r>
      <w:r w:rsidR="00F34F1C" w:rsidRPr="00F34F1C">
        <w:rPr>
          <w:rFonts w:ascii="Times New Roman" w:hAnsi="Times New Roman" w:cs="Times New Roman"/>
          <w:i/>
        </w:rPr>
        <w:t>I have seen this sentence before and I am very sure</w:t>
      </w:r>
      <w:r w:rsidR="00F34F1C" w:rsidRPr="00F34F1C">
        <w:rPr>
          <w:rFonts w:ascii="Times New Roman" w:hAnsi="Times New Roman" w:cs="Times New Roman"/>
        </w:rPr>
        <w:t>) to 6 (</w:t>
      </w:r>
      <w:r w:rsidR="00F34F1C" w:rsidRPr="00F34F1C">
        <w:rPr>
          <w:rFonts w:ascii="Times New Roman" w:hAnsi="Times New Roman" w:cs="Times New Roman"/>
          <w:i/>
        </w:rPr>
        <w:t>I have not seen this sentence before and I am very sure</w:t>
      </w:r>
      <w:r w:rsidR="00F34F1C" w:rsidRPr="00F34F1C">
        <w:rPr>
          <w:rFonts w:ascii="Times New Roman" w:hAnsi="Times New Roman" w:cs="Times New Roman"/>
        </w:rPr>
        <w:t>)</w:t>
      </w:r>
      <w:r w:rsidR="00F34F1C">
        <w:rPr>
          <w:rFonts w:ascii="Times New Roman" w:hAnsi="Times New Roman" w:cs="Times New Roman"/>
        </w:rPr>
        <w:t xml:space="preserve"> [italics in original]” (p. 5). The dependent variable was a recognition difference score computed by subtracting his or her mean rating for old items from that for new items. A univariate </w:t>
      </w:r>
      <w:r>
        <w:rPr>
          <w:rFonts w:ascii="Times New Roman" w:hAnsi="Times New Roman" w:cs="Times New Roman"/>
        </w:rPr>
        <w:t xml:space="preserve">ANOVA with Group as a between-subjects factor showed a significant main effect of Group, </w:t>
      </w:r>
      <w:r>
        <w:rPr>
          <w:rFonts w:ascii="Times New Roman" w:hAnsi="Times New Roman" w:cs="Times New Roman"/>
          <w:i/>
        </w:rPr>
        <w:t>F</w:t>
      </w:r>
      <w:r>
        <w:rPr>
          <w:rFonts w:ascii="Times New Roman" w:hAnsi="Times New Roman" w:cs="Times New Roman"/>
        </w:rPr>
        <w:t xml:space="preserve">(1, 25) = 6.41, </w:t>
      </w:r>
      <w:r>
        <w:rPr>
          <w:rFonts w:ascii="Times New Roman" w:hAnsi="Times New Roman" w:cs="Times New Roman"/>
          <w:i/>
        </w:rPr>
        <w:t xml:space="preserve">p </w:t>
      </w:r>
      <w:r>
        <w:rPr>
          <w:rFonts w:ascii="Times New Roman" w:hAnsi="Times New Roman" w:cs="Times New Roman"/>
        </w:rPr>
        <w:t xml:space="preserve">= .01, </w:t>
      </w:r>
      <w:r w:rsidRPr="0077161C">
        <w:rPr>
          <w:rFonts w:ascii="Times New Roman" w:hAnsi="Times New Roman" w:cs="Times New Roman"/>
          <w:i/>
        </w:rPr>
        <w:t>η</w:t>
      </w:r>
      <w:r>
        <w:rPr>
          <w:rFonts w:ascii="Times New Roman" w:hAnsi="Times New Roman" w:cs="Times New Roman"/>
          <w:i/>
          <w:vertAlign w:val="subscript"/>
        </w:rPr>
        <w:t>p</w:t>
      </w:r>
      <w:r w:rsidRPr="0077161C">
        <w:rPr>
          <w:rFonts w:ascii="Times New Roman" w:hAnsi="Times New Roman" w:cs="Times New Roman"/>
          <w:i/>
          <w:vertAlign w:val="superscript"/>
        </w:rPr>
        <w:t>2</w:t>
      </w:r>
      <w:r>
        <w:rPr>
          <w:rFonts w:ascii="Times New Roman" w:hAnsi="Times New Roman" w:cs="Times New Roman"/>
        </w:rPr>
        <w:t xml:space="preserve"> = .21.</w:t>
      </w:r>
      <w:r>
        <w:rPr>
          <w:rFonts w:ascii="Times New Roman" w:hAnsi="Times New Roman" w:cs="Times New Roman"/>
          <w:vertAlign w:val="superscript"/>
        </w:rPr>
        <w:t>1</w:t>
      </w:r>
      <w:r w:rsidR="00482A20">
        <w:rPr>
          <w:rFonts w:ascii="Times New Roman" w:hAnsi="Times New Roman" w:cs="Times New Roman"/>
        </w:rPr>
        <w:t xml:space="preserve"> Based on the partial eta-squared, the sample size required was computed using G*Power</w:t>
      </w:r>
      <w:r w:rsidR="00396937">
        <w:rPr>
          <w:rFonts w:ascii="Times New Roman" w:hAnsi="Times New Roman" w:cs="Times New Roman"/>
        </w:rPr>
        <w:t xml:space="preserve"> (</w:t>
      </w:r>
      <w:r w:rsidR="00396937" w:rsidRPr="006A6162">
        <w:rPr>
          <w:rFonts w:ascii="Times New Roman" w:hAnsi="Times New Roman" w:cs="Times New Roman"/>
        </w:rPr>
        <w:t>Faul</w:t>
      </w:r>
      <w:r w:rsidR="00396937">
        <w:rPr>
          <w:rFonts w:ascii="Times New Roman" w:hAnsi="Times New Roman" w:cs="Times New Roman"/>
        </w:rPr>
        <w:t>,</w:t>
      </w:r>
      <w:r w:rsidR="00396937" w:rsidRPr="006A6162">
        <w:rPr>
          <w:rFonts w:ascii="Times New Roman" w:hAnsi="Times New Roman" w:cs="Times New Roman"/>
        </w:rPr>
        <w:t xml:space="preserve"> Erdfelder, Lang</w:t>
      </w:r>
      <w:r w:rsidR="00396937">
        <w:rPr>
          <w:rFonts w:ascii="Times New Roman" w:hAnsi="Times New Roman" w:cs="Times New Roman"/>
        </w:rPr>
        <w:t xml:space="preserve">, </w:t>
      </w:r>
      <w:r w:rsidR="00396937" w:rsidRPr="006A6162">
        <w:rPr>
          <w:rFonts w:ascii="Times New Roman" w:hAnsi="Times New Roman" w:cs="Times New Roman"/>
        </w:rPr>
        <w:t>&amp; Buchner</w:t>
      </w:r>
      <w:r w:rsidR="00396937">
        <w:rPr>
          <w:rFonts w:ascii="Times New Roman" w:hAnsi="Times New Roman" w:cs="Times New Roman"/>
        </w:rPr>
        <w:t>, 2007). In the present study (</w:t>
      </w:r>
      <w:r w:rsidR="00396937">
        <w:rPr>
          <w:rFonts w:ascii="Times New Roman" w:hAnsi="Times New Roman" w:cs="Times New Roman"/>
          <w:i/>
        </w:rPr>
        <w:t xml:space="preserve">N </w:t>
      </w:r>
      <w:r w:rsidR="00396937">
        <w:rPr>
          <w:rFonts w:ascii="Times New Roman" w:hAnsi="Times New Roman" w:cs="Times New Roman"/>
        </w:rPr>
        <w:t>= 49), a series of univariate ANOVAs was conducted with Group as a between-subjects factor</w:t>
      </w:r>
      <w:r w:rsidR="00426A5C">
        <w:rPr>
          <w:rFonts w:ascii="Times New Roman" w:hAnsi="Times New Roman" w:cs="Times New Roman"/>
        </w:rPr>
        <w:t xml:space="preserve">, following a significant </w:t>
      </w:r>
      <w:r w:rsidR="00426A5C">
        <w:rPr>
          <w:rFonts w:ascii="Times New Roman" w:hAnsi="Times New Roman" w:cs="Times New Roman"/>
        </w:rPr>
        <w:lastRenderedPageBreak/>
        <w:t>multivariate effect of Group in MANOVA</w:t>
      </w:r>
      <w:r w:rsidR="00396937">
        <w:rPr>
          <w:rFonts w:ascii="Times New Roman" w:hAnsi="Times New Roman" w:cs="Times New Roman"/>
        </w:rPr>
        <w:t xml:space="preserve">. The power analysis based </w:t>
      </w:r>
      <w:r w:rsidR="009F5970">
        <w:rPr>
          <w:rFonts w:ascii="Times New Roman" w:hAnsi="Times New Roman" w:cs="Times New Roman"/>
        </w:rPr>
        <w:t xml:space="preserve">on </w:t>
      </w:r>
      <w:r w:rsidR="00396937">
        <w:rPr>
          <w:rFonts w:ascii="Times New Roman" w:hAnsi="Times New Roman" w:cs="Times New Roman"/>
        </w:rPr>
        <w:t xml:space="preserve">the effect size from Hamrick (2014) and </w:t>
      </w:r>
      <w:r w:rsidR="00426A5C">
        <w:rPr>
          <w:rFonts w:ascii="Times New Roman" w:hAnsi="Times New Roman" w:cs="Times New Roman"/>
        </w:rPr>
        <w:t xml:space="preserve">the research design of the </w:t>
      </w:r>
      <w:r w:rsidR="00C35EAC">
        <w:rPr>
          <w:rFonts w:ascii="Times New Roman" w:hAnsi="Times New Roman" w:cs="Times New Roman"/>
        </w:rPr>
        <w:t xml:space="preserve">present </w:t>
      </w:r>
      <w:r w:rsidR="00426A5C">
        <w:rPr>
          <w:rFonts w:ascii="Times New Roman" w:hAnsi="Times New Roman" w:cs="Times New Roman"/>
        </w:rPr>
        <w:t>study showed that each ANOVA require</w:t>
      </w:r>
      <w:r w:rsidR="00C35EAC">
        <w:rPr>
          <w:rFonts w:ascii="Times New Roman" w:hAnsi="Times New Roman" w:cs="Times New Roman"/>
        </w:rPr>
        <w:t>d</w:t>
      </w:r>
      <w:r w:rsidR="00426A5C">
        <w:rPr>
          <w:rFonts w:ascii="Times New Roman" w:hAnsi="Times New Roman" w:cs="Times New Roman"/>
        </w:rPr>
        <w:t xml:space="preserve"> 51 participants.</w:t>
      </w:r>
      <w:r w:rsidR="00D7085D">
        <w:rPr>
          <w:rFonts w:ascii="Times New Roman" w:hAnsi="Times New Roman" w:cs="Times New Roman"/>
        </w:rPr>
        <w:t xml:space="preserve"> As the study </w:t>
      </w:r>
      <w:r w:rsidR="00576521">
        <w:rPr>
          <w:rFonts w:ascii="Times New Roman" w:hAnsi="Times New Roman" w:cs="Times New Roman"/>
        </w:rPr>
        <w:t>recruited</w:t>
      </w:r>
      <w:r w:rsidR="00D7085D">
        <w:rPr>
          <w:rFonts w:ascii="Times New Roman" w:hAnsi="Times New Roman" w:cs="Times New Roman"/>
        </w:rPr>
        <w:t xml:space="preserve"> 49 participants (</w:t>
      </w:r>
      <w:r w:rsidR="00D7085D">
        <w:rPr>
          <w:rFonts w:ascii="Times New Roman" w:hAnsi="Times New Roman" w:cs="Times New Roman"/>
          <w:i/>
        </w:rPr>
        <w:t>n</w:t>
      </w:r>
      <w:r w:rsidR="00D7085D">
        <w:rPr>
          <w:rFonts w:ascii="Times New Roman" w:hAnsi="Times New Roman" w:cs="Times New Roman"/>
          <w:vertAlign w:val="subscript"/>
        </w:rPr>
        <w:t>experimental</w:t>
      </w:r>
      <w:r w:rsidR="00D7085D">
        <w:rPr>
          <w:rFonts w:ascii="Times New Roman" w:hAnsi="Times New Roman" w:cs="Times New Roman"/>
        </w:rPr>
        <w:t xml:space="preserve"> = 28 and </w:t>
      </w:r>
      <w:r w:rsidR="00D7085D">
        <w:rPr>
          <w:rFonts w:ascii="Times New Roman" w:hAnsi="Times New Roman" w:cs="Times New Roman"/>
          <w:i/>
        </w:rPr>
        <w:t>n</w:t>
      </w:r>
      <w:r w:rsidR="00D7085D">
        <w:rPr>
          <w:rFonts w:ascii="Times New Roman" w:hAnsi="Times New Roman" w:cs="Times New Roman"/>
          <w:vertAlign w:val="subscript"/>
        </w:rPr>
        <w:t>control</w:t>
      </w:r>
      <w:r w:rsidR="00D7085D">
        <w:rPr>
          <w:rFonts w:ascii="Times New Roman" w:hAnsi="Times New Roman" w:cs="Times New Roman"/>
        </w:rPr>
        <w:t xml:space="preserve"> = 21), which just missed the </w:t>
      </w:r>
      <w:r w:rsidR="00187E22">
        <w:rPr>
          <w:rFonts w:ascii="Times New Roman" w:hAnsi="Times New Roman" w:cs="Times New Roman"/>
        </w:rPr>
        <w:t>mark</w:t>
      </w:r>
      <w:r w:rsidR="00D7085D">
        <w:rPr>
          <w:rFonts w:ascii="Times New Roman" w:hAnsi="Times New Roman" w:cs="Times New Roman"/>
        </w:rPr>
        <w:t xml:space="preserve"> by two people, the bias in the ANOVAs caused by the small sample size of the study should be minimal.</w:t>
      </w:r>
      <w:r w:rsidR="001A66EB">
        <w:rPr>
          <w:rFonts w:ascii="Times New Roman" w:hAnsi="Times New Roman" w:cs="Times New Roman"/>
        </w:rPr>
        <w:t xml:space="preserve"> Note that the same </w:t>
      </w:r>
      <w:r w:rsidR="00A15B37">
        <w:rPr>
          <w:rFonts w:ascii="Times New Roman" w:hAnsi="Times New Roman" w:cs="Times New Roman"/>
        </w:rPr>
        <w:t xml:space="preserve">can be said for the delayed posttest as well, because the same </w:t>
      </w:r>
      <w:r w:rsidR="001A66EB">
        <w:rPr>
          <w:rFonts w:ascii="Times New Roman" w:hAnsi="Times New Roman" w:cs="Times New Roman"/>
        </w:rPr>
        <w:t xml:space="preserve">analytical procedure </w:t>
      </w:r>
      <w:r w:rsidR="00A15B37">
        <w:rPr>
          <w:rFonts w:ascii="Times New Roman" w:hAnsi="Times New Roman" w:cs="Times New Roman"/>
        </w:rPr>
        <w:t xml:space="preserve">was applied for the immediate and the delated posttest. </w:t>
      </w:r>
    </w:p>
    <w:p w:rsidR="00D7085D" w:rsidRDefault="00D7085D" w:rsidP="00D7085D">
      <w:pPr>
        <w:spacing w:line="480" w:lineRule="auto"/>
        <w:rPr>
          <w:rFonts w:ascii="Times New Roman" w:hAnsi="Times New Roman" w:cs="Times New Roman"/>
          <w:b/>
        </w:rPr>
      </w:pPr>
      <w:r>
        <w:rPr>
          <w:rFonts w:ascii="Times New Roman" w:hAnsi="Times New Roman" w:cs="Times New Roman"/>
          <w:b/>
        </w:rPr>
        <w:t>Word Monitoring Task (WMT)</w:t>
      </w:r>
    </w:p>
    <w:p w:rsidR="00DD335F" w:rsidRPr="00C92DCE" w:rsidRDefault="00D7085D" w:rsidP="00DD335F">
      <w:pPr>
        <w:spacing w:line="480" w:lineRule="auto"/>
        <w:rPr>
          <w:rFonts w:ascii="Times New Roman" w:hAnsi="Times New Roman" w:cs="Times New Roman"/>
        </w:rPr>
      </w:pPr>
      <w:r>
        <w:rPr>
          <w:rFonts w:ascii="Times New Roman" w:hAnsi="Times New Roman" w:cs="Times New Roman"/>
        </w:rPr>
        <w:tab/>
      </w:r>
      <w:r w:rsidR="001A66EB">
        <w:rPr>
          <w:rFonts w:ascii="Times New Roman" w:hAnsi="Times New Roman" w:cs="Times New Roman"/>
        </w:rPr>
        <w:t xml:space="preserve">Unlike </w:t>
      </w:r>
      <w:r w:rsidR="00A15B37">
        <w:rPr>
          <w:rFonts w:ascii="Times New Roman" w:hAnsi="Times New Roman" w:cs="Times New Roman"/>
        </w:rPr>
        <w:t>U-AGJT, for which it was possible to come up with the only one sample size required</w:t>
      </w:r>
      <w:r w:rsidR="00166EBB">
        <w:rPr>
          <w:rFonts w:ascii="Times New Roman" w:hAnsi="Times New Roman" w:cs="Times New Roman"/>
        </w:rPr>
        <w:t xml:space="preserve">, </w:t>
      </w:r>
      <w:r w:rsidR="00A15B37">
        <w:rPr>
          <w:rFonts w:ascii="Times New Roman" w:hAnsi="Times New Roman" w:cs="Times New Roman"/>
        </w:rPr>
        <w:t xml:space="preserve">power analyses for WMT </w:t>
      </w:r>
      <w:r w:rsidR="00DD335F">
        <w:rPr>
          <w:rFonts w:ascii="Times New Roman" w:hAnsi="Times New Roman" w:cs="Times New Roman"/>
        </w:rPr>
        <w:t xml:space="preserve">data </w:t>
      </w:r>
      <w:r w:rsidR="00166EBB">
        <w:rPr>
          <w:rFonts w:ascii="Times New Roman" w:hAnsi="Times New Roman" w:cs="Times New Roman"/>
        </w:rPr>
        <w:t>can be</w:t>
      </w:r>
      <w:r w:rsidR="00A15B37">
        <w:rPr>
          <w:rFonts w:ascii="Times New Roman" w:hAnsi="Times New Roman" w:cs="Times New Roman"/>
        </w:rPr>
        <w:t xml:space="preserve"> far more complex. </w:t>
      </w:r>
      <w:r w:rsidR="00DB2998">
        <w:rPr>
          <w:rFonts w:ascii="Times New Roman" w:hAnsi="Times New Roman" w:cs="Times New Roman"/>
        </w:rPr>
        <w:t>First, there is currently no study</w:t>
      </w:r>
      <w:r w:rsidR="00FD01D9">
        <w:rPr>
          <w:rFonts w:ascii="Times New Roman" w:hAnsi="Times New Roman" w:cs="Times New Roman"/>
        </w:rPr>
        <w:t xml:space="preserve"> of learning under incidental conditions</w:t>
      </w:r>
      <w:r w:rsidR="00DB2998">
        <w:rPr>
          <w:rFonts w:ascii="Times New Roman" w:hAnsi="Times New Roman" w:cs="Times New Roman"/>
        </w:rPr>
        <w:t xml:space="preserve"> that conducted multivariate analyses</w:t>
      </w:r>
      <w:r w:rsidR="00FD01D9">
        <w:rPr>
          <w:rFonts w:ascii="Times New Roman" w:hAnsi="Times New Roman" w:cs="Times New Roman"/>
        </w:rPr>
        <w:t xml:space="preserve">. Thus, only univariate </w:t>
      </w:r>
      <w:r w:rsidR="00DD335F">
        <w:rPr>
          <w:rFonts w:ascii="Times New Roman" w:hAnsi="Times New Roman" w:cs="Times New Roman"/>
        </w:rPr>
        <w:t>ANOVAs</w:t>
      </w:r>
      <w:r w:rsidR="00FD01D9">
        <w:rPr>
          <w:rFonts w:ascii="Times New Roman" w:hAnsi="Times New Roman" w:cs="Times New Roman"/>
        </w:rPr>
        <w:t xml:space="preserve"> can be </w:t>
      </w:r>
      <w:r w:rsidR="00B861E1">
        <w:rPr>
          <w:rFonts w:ascii="Times New Roman" w:hAnsi="Times New Roman" w:cs="Times New Roman"/>
        </w:rPr>
        <w:t xml:space="preserve">the </w:t>
      </w:r>
      <w:r w:rsidR="00FD01D9">
        <w:rPr>
          <w:rFonts w:ascii="Times New Roman" w:hAnsi="Times New Roman" w:cs="Times New Roman"/>
        </w:rPr>
        <w:t xml:space="preserve">subject </w:t>
      </w:r>
      <w:r w:rsidR="00B861E1">
        <w:rPr>
          <w:rFonts w:ascii="Times New Roman" w:hAnsi="Times New Roman" w:cs="Times New Roman"/>
        </w:rPr>
        <w:t>of</w:t>
      </w:r>
      <w:r w:rsidR="00DD335F">
        <w:rPr>
          <w:rFonts w:ascii="Times New Roman" w:hAnsi="Times New Roman" w:cs="Times New Roman"/>
        </w:rPr>
        <w:t xml:space="preserve"> analys</w:t>
      </w:r>
      <w:r w:rsidR="00B861E1">
        <w:rPr>
          <w:rFonts w:ascii="Times New Roman" w:hAnsi="Times New Roman" w:cs="Times New Roman"/>
        </w:rPr>
        <w:t>i</w:t>
      </w:r>
      <w:r w:rsidR="00DD335F">
        <w:rPr>
          <w:rFonts w:ascii="Times New Roman" w:hAnsi="Times New Roman" w:cs="Times New Roman"/>
        </w:rPr>
        <w:t>s here</w:t>
      </w:r>
      <w:r w:rsidR="00FD01D9">
        <w:rPr>
          <w:rFonts w:ascii="Times New Roman" w:hAnsi="Times New Roman" w:cs="Times New Roman"/>
        </w:rPr>
        <w:t xml:space="preserve">. </w:t>
      </w:r>
      <w:r w:rsidR="00DD335F">
        <w:rPr>
          <w:rFonts w:ascii="Times New Roman" w:hAnsi="Times New Roman" w:cs="Times New Roman"/>
        </w:rPr>
        <w:t>Second</w:t>
      </w:r>
      <w:r w:rsidR="00A15B37">
        <w:rPr>
          <w:rFonts w:ascii="Times New Roman" w:hAnsi="Times New Roman" w:cs="Times New Roman"/>
        </w:rPr>
        <w:t>, Godfroid (2016) is the only</w:t>
      </w:r>
      <w:r w:rsidR="00F55720">
        <w:rPr>
          <w:rFonts w:ascii="Times New Roman" w:hAnsi="Times New Roman" w:cs="Times New Roman"/>
        </w:rPr>
        <w:t xml:space="preserve"> </w:t>
      </w:r>
      <w:r w:rsidR="00A15B37">
        <w:rPr>
          <w:rFonts w:ascii="Times New Roman" w:hAnsi="Times New Roman" w:cs="Times New Roman"/>
        </w:rPr>
        <w:t xml:space="preserve">study that adopted WMT in the context of learning under incidental conditions. </w:t>
      </w:r>
      <w:r w:rsidR="001A6C54">
        <w:rPr>
          <w:rFonts w:ascii="Times New Roman" w:hAnsi="Times New Roman" w:cs="Times New Roman"/>
        </w:rPr>
        <w:t xml:space="preserve">However, </w:t>
      </w:r>
      <w:r w:rsidR="00030C82">
        <w:rPr>
          <w:rFonts w:ascii="Times New Roman" w:hAnsi="Times New Roman" w:cs="Times New Roman"/>
        </w:rPr>
        <w:t xml:space="preserve">the dependent variable of </w:t>
      </w:r>
      <w:r w:rsidR="00DD335F">
        <w:rPr>
          <w:rFonts w:ascii="Times New Roman" w:hAnsi="Times New Roman" w:cs="Times New Roman"/>
        </w:rPr>
        <w:t>the study</w:t>
      </w:r>
      <w:r w:rsidR="00030C82">
        <w:rPr>
          <w:rFonts w:ascii="Times New Roman" w:hAnsi="Times New Roman" w:cs="Times New Roman"/>
        </w:rPr>
        <w:t xml:space="preserve"> was </w:t>
      </w:r>
      <w:r w:rsidR="00DD335F">
        <w:rPr>
          <w:rFonts w:ascii="Times New Roman" w:hAnsi="Times New Roman" w:cs="Times New Roman"/>
        </w:rPr>
        <w:t>based on</w:t>
      </w:r>
      <w:r w:rsidR="00F55720">
        <w:rPr>
          <w:rFonts w:ascii="Times New Roman" w:hAnsi="Times New Roman" w:cs="Times New Roman"/>
        </w:rPr>
        <w:t xml:space="preserve"> </w:t>
      </w:r>
      <w:r w:rsidR="00030C82">
        <w:rPr>
          <w:rFonts w:ascii="Times New Roman" w:hAnsi="Times New Roman" w:cs="Times New Roman"/>
        </w:rPr>
        <w:t>grammatical</w:t>
      </w:r>
      <w:r w:rsidR="00DD335F">
        <w:rPr>
          <w:rFonts w:ascii="Times New Roman" w:hAnsi="Times New Roman" w:cs="Times New Roman"/>
        </w:rPr>
        <w:t>ity</w:t>
      </w:r>
      <w:r w:rsidR="00030C82">
        <w:rPr>
          <w:rFonts w:ascii="Times New Roman" w:hAnsi="Times New Roman" w:cs="Times New Roman"/>
        </w:rPr>
        <w:t xml:space="preserve"> sensitivity index (Ungrammatical RTs </w:t>
      </w:r>
      <w:r w:rsidR="00030C82" w:rsidRPr="00030C82">
        <w:rPr>
          <w:rFonts w:ascii="Times New Roman" w:hAnsi="Times New Roman" w:cs="Times New Roman"/>
        </w:rPr>
        <w:t>–</w:t>
      </w:r>
      <w:r w:rsidR="00030C82">
        <w:rPr>
          <w:rFonts w:ascii="Times New Roman" w:hAnsi="Times New Roman" w:cs="Times New Roman"/>
        </w:rPr>
        <w:t xml:space="preserve"> Grammatical RTs) which is of different nature than the one in the current study</w:t>
      </w:r>
      <w:r w:rsidR="00DD335F">
        <w:rPr>
          <w:rFonts w:ascii="Times New Roman" w:hAnsi="Times New Roman" w:cs="Times New Roman"/>
        </w:rPr>
        <w:t xml:space="preserve">, which </w:t>
      </w:r>
      <w:r w:rsidR="00030C82">
        <w:rPr>
          <w:rFonts w:ascii="Times New Roman" w:hAnsi="Times New Roman" w:cs="Times New Roman"/>
        </w:rPr>
        <w:t>compar</w:t>
      </w:r>
      <w:r w:rsidR="00DD335F">
        <w:rPr>
          <w:rFonts w:ascii="Times New Roman" w:hAnsi="Times New Roman" w:cs="Times New Roman"/>
        </w:rPr>
        <w:t>ed</w:t>
      </w:r>
      <w:r w:rsidR="00030C82">
        <w:rPr>
          <w:rFonts w:ascii="Times New Roman" w:hAnsi="Times New Roman" w:cs="Times New Roman"/>
        </w:rPr>
        <w:t xml:space="preserve"> raw RTs between grammatical and ungrammatical sentences as a within-subjects factor in ANOVAs. Hence, there was no study in the literature from which we can directly retrieve an appropriate effect size. As an alternative, we </w:t>
      </w:r>
      <w:r w:rsidR="00DD335F">
        <w:rPr>
          <w:rFonts w:ascii="Times New Roman" w:hAnsi="Times New Roman" w:cs="Times New Roman"/>
        </w:rPr>
        <w:t>used</w:t>
      </w:r>
      <w:r w:rsidR="00030C82">
        <w:rPr>
          <w:rFonts w:ascii="Times New Roman" w:hAnsi="Times New Roman" w:cs="Times New Roman"/>
        </w:rPr>
        <w:t xml:space="preserve"> an effect size reported </w:t>
      </w:r>
      <w:r w:rsidR="00DB2998">
        <w:rPr>
          <w:rFonts w:ascii="Times New Roman" w:hAnsi="Times New Roman" w:cs="Times New Roman"/>
        </w:rPr>
        <w:t xml:space="preserve">in Leung and Williams (2012), which investigated learning under incidental conditions using </w:t>
      </w:r>
      <w:r w:rsidR="00CE6CDC">
        <w:rPr>
          <w:rFonts w:ascii="Times New Roman" w:hAnsi="Times New Roman" w:cs="Times New Roman"/>
        </w:rPr>
        <w:t xml:space="preserve">raw </w:t>
      </w:r>
      <w:r w:rsidR="00DB2998">
        <w:rPr>
          <w:rFonts w:ascii="Times New Roman" w:hAnsi="Times New Roman" w:cs="Times New Roman"/>
        </w:rPr>
        <w:t xml:space="preserve">RT measures but not </w:t>
      </w:r>
      <w:r w:rsidR="00AC2442">
        <w:rPr>
          <w:rFonts w:ascii="Times New Roman" w:hAnsi="Times New Roman" w:cs="Times New Roman"/>
        </w:rPr>
        <w:t>with</w:t>
      </w:r>
      <w:r w:rsidR="00DB2998">
        <w:rPr>
          <w:rFonts w:ascii="Times New Roman" w:hAnsi="Times New Roman" w:cs="Times New Roman"/>
        </w:rPr>
        <w:t xml:space="preserve"> WMT. </w:t>
      </w:r>
      <w:r w:rsidR="00DD335F">
        <w:rPr>
          <w:rFonts w:ascii="Times New Roman" w:hAnsi="Times New Roman" w:cs="Times New Roman"/>
        </w:rPr>
        <w:t xml:space="preserve">Their analysis involved only one within-subjects factor, Block, that consisted of two levels: Control and Violation (see below for more details). Note, however, </w:t>
      </w:r>
      <w:r w:rsidR="0037589F">
        <w:rPr>
          <w:rFonts w:ascii="Times New Roman" w:hAnsi="Times New Roman" w:cs="Times New Roman"/>
        </w:rPr>
        <w:t xml:space="preserve">that </w:t>
      </w:r>
      <w:r w:rsidR="00DD335F">
        <w:rPr>
          <w:rFonts w:ascii="Times New Roman" w:hAnsi="Times New Roman" w:cs="Times New Roman"/>
        </w:rPr>
        <w:t xml:space="preserve">they did not recruit any control group. Third, G*Power requires a correlation between within-subject measures </w:t>
      </w:r>
      <w:r w:rsidR="00C92DCE">
        <w:rPr>
          <w:rFonts w:ascii="Times New Roman" w:hAnsi="Times New Roman" w:cs="Times New Roman"/>
        </w:rPr>
        <w:t xml:space="preserve">(Grammatical RTs and Ungrammatical RTs in the present study) </w:t>
      </w:r>
      <w:r w:rsidR="00DD335F">
        <w:rPr>
          <w:rFonts w:ascii="Times New Roman" w:hAnsi="Times New Roman" w:cs="Times New Roman"/>
        </w:rPr>
        <w:t>for computing an ideal sample size</w:t>
      </w:r>
      <w:r w:rsidR="0037589F">
        <w:rPr>
          <w:rFonts w:ascii="Times New Roman" w:hAnsi="Times New Roman" w:cs="Times New Roman"/>
        </w:rPr>
        <w:t xml:space="preserve">. It was expected that the correlation would </w:t>
      </w:r>
      <w:r w:rsidR="00C92DCE">
        <w:rPr>
          <w:rFonts w:ascii="Times New Roman" w:hAnsi="Times New Roman" w:cs="Times New Roman"/>
        </w:rPr>
        <w:t>vary</w:t>
      </w:r>
      <w:r w:rsidR="0037589F">
        <w:rPr>
          <w:rFonts w:ascii="Times New Roman" w:hAnsi="Times New Roman" w:cs="Times New Roman"/>
        </w:rPr>
        <w:t xml:space="preserve"> across the two groups </w:t>
      </w:r>
      <w:r w:rsidR="0037589F">
        <w:rPr>
          <w:rFonts w:ascii="Times New Roman" w:hAnsi="Times New Roman" w:cs="Times New Roman"/>
        </w:rPr>
        <w:lastRenderedPageBreak/>
        <w:t xml:space="preserve">(Group), two testing sessions (Time), and six construction types (Construction). Hence, </w:t>
      </w:r>
      <w:r w:rsidR="00071B9A">
        <w:rPr>
          <w:rFonts w:ascii="Times New Roman" w:hAnsi="Times New Roman" w:cs="Times New Roman"/>
        </w:rPr>
        <w:t>a separate analysis was carried out</w:t>
      </w:r>
      <w:r w:rsidR="0037589F">
        <w:rPr>
          <w:rFonts w:ascii="Times New Roman" w:hAnsi="Times New Roman" w:cs="Times New Roman"/>
        </w:rPr>
        <w:t xml:space="preserve"> for each combination of Group x Test x Construction</w:t>
      </w:r>
      <w:r w:rsidR="00C92DCE">
        <w:rPr>
          <w:rFonts w:ascii="Times New Roman" w:hAnsi="Times New Roman" w:cs="Times New Roman"/>
        </w:rPr>
        <w:t xml:space="preserve"> (</w:t>
      </w:r>
      <w:r w:rsidR="00C92DCE">
        <w:rPr>
          <w:rFonts w:ascii="Times New Roman" w:hAnsi="Times New Roman" w:cs="Times New Roman"/>
          <w:i/>
        </w:rPr>
        <w:t xml:space="preserve">k </w:t>
      </w:r>
      <w:r w:rsidR="00C92DCE">
        <w:rPr>
          <w:rFonts w:ascii="Times New Roman" w:hAnsi="Times New Roman" w:cs="Times New Roman"/>
        </w:rPr>
        <w:t xml:space="preserve">= 24). </w:t>
      </w:r>
    </w:p>
    <w:p w:rsidR="009A1F59" w:rsidRDefault="00C92DCE" w:rsidP="009A1F59">
      <w:pPr>
        <w:spacing w:line="480" w:lineRule="auto"/>
        <w:rPr>
          <w:rFonts w:ascii="Times New Roman" w:hAnsi="Times New Roman" w:cs="Times New Roman"/>
        </w:rPr>
      </w:pPr>
      <w:r>
        <w:rPr>
          <w:rFonts w:ascii="Times New Roman" w:hAnsi="Times New Roman" w:cs="Times New Roman"/>
        </w:rPr>
        <w:tab/>
        <w:t xml:space="preserve">In Leung and Williams (2012), 33 participants went through an incidental </w:t>
      </w:r>
      <w:r w:rsidR="006C5F54">
        <w:rPr>
          <w:rFonts w:ascii="Times New Roman" w:hAnsi="Times New Roman" w:cs="Times New Roman"/>
        </w:rPr>
        <w:t xml:space="preserve">learning </w:t>
      </w:r>
      <w:r>
        <w:rPr>
          <w:rFonts w:ascii="Times New Roman" w:hAnsi="Times New Roman" w:cs="Times New Roman"/>
        </w:rPr>
        <w:t xml:space="preserve">condition </w:t>
      </w:r>
      <w:r w:rsidR="00DD45AA">
        <w:rPr>
          <w:rFonts w:ascii="Times New Roman" w:hAnsi="Times New Roman" w:cs="Times New Roman"/>
        </w:rPr>
        <w:t xml:space="preserve">in which </w:t>
      </w:r>
      <w:r>
        <w:rPr>
          <w:rFonts w:ascii="Times New Roman" w:hAnsi="Times New Roman" w:cs="Times New Roman"/>
        </w:rPr>
        <w:t xml:space="preserve">they </w:t>
      </w:r>
      <w:r w:rsidR="00E1295A">
        <w:rPr>
          <w:rFonts w:ascii="Times New Roman" w:hAnsi="Times New Roman" w:cs="Times New Roman"/>
        </w:rPr>
        <w:t xml:space="preserve">were </w:t>
      </w:r>
      <w:r w:rsidR="00DD45AA">
        <w:rPr>
          <w:rFonts w:ascii="Times New Roman" w:hAnsi="Times New Roman" w:cs="Times New Roman"/>
        </w:rPr>
        <w:t xml:space="preserve">simultaneously </w:t>
      </w:r>
      <w:r w:rsidR="00E1295A">
        <w:rPr>
          <w:rFonts w:ascii="Times New Roman" w:hAnsi="Times New Roman" w:cs="Times New Roman"/>
        </w:rPr>
        <w:t xml:space="preserve">presented with two types of stimuli (i) </w:t>
      </w:r>
      <w:r w:rsidR="00CB40CA">
        <w:rPr>
          <w:rFonts w:ascii="Times New Roman" w:hAnsi="Times New Roman" w:cs="Times New Roman"/>
        </w:rPr>
        <w:t>two</w:t>
      </w:r>
      <w:r w:rsidR="00DD45AA">
        <w:rPr>
          <w:rFonts w:ascii="Times New Roman" w:hAnsi="Times New Roman" w:cs="Times New Roman"/>
        </w:rPr>
        <w:t xml:space="preserve"> </w:t>
      </w:r>
      <w:r w:rsidR="00E1295A">
        <w:rPr>
          <w:rFonts w:ascii="Times New Roman" w:hAnsi="Times New Roman" w:cs="Times New Roman"/>
        </w:rPr>
        <w:t>picture</w:t>
      </w:r>
      <w:r w:rsidR="00CB40CA">
        <w:rPr>
          <w:rFonts w:ascii="Times New Roman" w:hAnsi="Times New Roman" w:cs="Times New Roman"/>
        </w:rPr>
        <w:t>s</w:t>
      </w:r>
      <w:r w:rsidR="00E1295A">
        <w:rPr>
          <w:rFonts w:ascii="Times New Roman" w:hAnsi="Times New Roman" w:cs="Times New Roman"/>
        </w:rPr>
        <w:t xml:space="preserve"> of an object </w:t>
      </w:r>
      <w:r w:rsidR="00CB40CA">
        <w:rPr>
          <w:rFonts w:ascii="Times New Roman" w:hAnsi="Times New Roman" w:cs="Times New Roman"/>
        </w:rPr>
        <w:t xml:space="preserve">(e.g., </w:t>
      </w:r>
      <w:r w:rsidR="006C5F54">
        <w:rPr>
          <w:rFonts w:ascii="Times New Roman" w:hAnsi="Times New Roman" w:cs="Times New Roman"/>
        </w:rPr>
        <w:t xml:space="preserve">a </w:t>
      </w:r>
      <w:r w:rsidR="00CB40CA">
        <w:rPr>
          <w:rFonts w:ascii="Times New Roman" w:hAnsi="Times New Roman" w:cs="Times New Roman"/>
        </w:rPr>
        <w:t xml:space="preserve">bull and </w:t>
      </w:r>
      <w:r w:rsidR="000A3FAD">
        <w:rPr>
          <w:rFonts w:ascii="Times New Roman" w:hAnsi="Times New Roman" w:cs="Times New Roman"/>
        </w:rPr>
        <w:t xml:space="preserve">a </w:t>
      </w:r>
      <w:r w:rsidR="00CB40CA">
        <w:rPr>
          <w:rFonts w:ascii="Times New Roman" w:hAnsi="Times New Roman" w:cs="Times New Roman" w:hint="eastAsia"/>
        </w:rPr>
        <w:t>t</w:t>
      </w:r>
      <w:r w:rsidR="00CB40CA">
        <w:rPr>
          <w:rFonts w:ascii="Times New Roman" w:hAnsi="Times New Roman" w:cs="Times New Roman"/>
        </w:rPr>
        <w:t xml:space="preserve">elephone) </w:t>
      </w:r>
      <w:r w:rsidR="00E1295A">
        <w:rPr>
          <w:rFonts w:ascii="Times New Roman" w:hAnsi="Times New Roman" w:cs="Times New Roman"/>
        </w:rPr>
        <w:t xml:space="preserve">and (ii) </w:t>
      </w:r>
      <w:r w:rsidR="00DD45AA">
        <w:rPr>
          <w:rFonts w:ascii="Times New Roman" w:hAnsi="Times New Roman" w:cs="Times New Roman"/>
        </w:rPr>
        <w:t xml:space="preserve">an </w:t>
      </w:r>
      <w:r w:rsidR="00E1295A">
        <w:rPr>
          <w:rFonts w:ascii="Times New Roman" w:hAnsi="Times New Roman" w:cs="Times New Roman"/>
        </w:rPr>
        <w:t>audio recording that denoted</w:t>
      </w:r>
      <w:r w:rsidR="00CB40CA">
        <w:rPr>
          <w:rFonts w:ascii="Times New Roman" w:hAnsi="Times New Roman" w:cs="Times New Roman"/>
        </w:rPr>
        <w:t xml:space="preserve"> either of the pictures (e.g., </w:t>
      </w:r>
      <w:r w:rsidR="00CB40CA" w:rsidRPr="00CB40CA">
        <w:rPr>
          <w:rFonts w:ascii="Times New Roman" w:hAnsi="Times New Roman" w:cs="Times New Roman"/>
          <w:i/>
        </w:rPr>
        <w:t>gi</w:t>
      </w:r>
      <w:r w:rsidR="00CB40CA">
        <w:rPr>
          <w:rFonts w:ascii="Times New Roman" w:hAnsi="Times New Roman" w:cs="Times New Roman"/>
        </w:rPr>
        <w:t xml:space="preserve"> bull). </w:t>
      </w:r>
      <w:r w:rsidR="00E1295A">
        <w:rPr>
          <w:rFonts w:ascii="Times New Roman" w:hAnsi="Times New Roman" w:cs="Times New Roman"/>
        </w:rPr>
        <w:t xml:space="preserve">The target of the training was four artificial article determiners, </w:t>
      </w:r>
      <w:r w:rsidR="00E1295A">
        <w:rPr>
          <w:rFonts w:ascii="Times New Roman" w:hAnsi="Times New Roman" w:cs="Times New Roman"/>
          <w:i/>
        </w:rPr>
        <w:t>gi</w:t>
      </w:r>
      <w:r w:rsidR="00E1295A">
        <w:rPr>
          <w:rFonts w:ascii="Times New Roman" w:hAnsi="Times New Roman" w:cs="Times New Roman"/>
        </w:rPr>
        <w:t xml:space="preserve">, </w:t>
      </w:r>
      <w:r w:rsidR="00E1295A">
        <w:rPr>
          <w:rFonts w:ascii="Times New Roman" w:hAnsi="Times New Roman" w:cs="Times New Roman"/>
          <w:i/>
        </w:rPr>
        <w:t>ro</w:t>
      </w:r>
      <w:r w:rsidR="00E1295A">
        <w:rPr>
          <w:rFonts w:ascii="Times New Roman" w:hAnsi="Times New Roman" w:cs="Times New Roman"/>
        </w:rPr>
        <w:t xml:space="preserve">, </w:t>
      </w:r>
      <w:r w:rsidR="00E1295A">
        <w:rPr>
          <w:rFonts w:ascii="Times New Roman" w:hAnsi="Times New Roman" w:cs="Times New Roman"/>
          <w:i/>
        </w:rPr>
        <w:t>ul</w:t>
      </w:r>
      <w:r w:rsidR="00E1295A">
        <w:rPr>
          <w:rFonts w:ascii="Times New Roman" w:hAnsi="Times New Roman" w:cs="Times New Roman"/>
        </w:rPr>
        <w:t xml:space="preserve">, and </w:t>
      </w:r>
      <w:r w:rsidR="00E1295A">
        <w:rPr>
          <w:rFonts w:ascii="Times New Roman" w:hAnsi="Times New Roman" w:cs="Times New Roman"/>
          <w:i/>
        </w:rPr>
        <w:t>ne</w:t>
      </w:r>
      <w:r w:rsidR="00E1295A">
        <w:rPr>
          <w:rFonts w:ascii="Times New Roman" w:hAnsi="Times New Roman" w:cs="Times New Roman"/>
        </w:rPr>
        <w:t>, adopted from Williams (2005</w:t>
      </w:r>
      <w:r w:rsidR="00DD45AA">
        <w:rPr>
          <w:rFonts w:ascii="Times New Roman" w:hAnsi="Times New Roman" w:cs="Times New Roman"/>
        </w:rPr>
        <w:t xml:space="preserve">). The participants were explicitly instructed </w:t>
      </w:r>
      <w:r w:rsidR="006C5F54">
        <w:rPr>
          <w:rFonts w:ascii="Times New Roman" w:hAnsi="Times New Roman" w:cs="Times New Roman"/>
        </w:rPr>
        <w:t xml:space="preserve">before the training exposure </w:t>
      </w:r>
      <w:r w:rsidR="00E1295A">
        <w:rPr>
          <w:rFonts w:ascii="Times New Roman" w:hAnsi="Times New Roman" w:cs="Times New Roman"/>
        </w:rPr>
        <w:t xml:space="preserve">that </w:t>
      </w:r>
      <w:r w:rsidR="00E1295A" w:rsidRPr="00E1295A">
        <w:rPr>
          <w:rFonts w:ascii="Times New Roman" w:hAnsi="Times New Roman" w:cs="Times New Roman"/>
        </w:rPr>
        <w:t>the articles encode</w:t>
      </w:r>
      <w:r w:rsidR="00E1295A">
        <w:rPr>
          <w:rFonts w:ascii="Times New Roman" w:hAnsi="Times New Roman" w:cs="Times New Roman"/>
        </w:rPr>
        <w:t>d</w:t>
      </w:r>
      <w:r w:rsidR="00E1295A" w:rsidRPr="00E1295A">
        <w:rPr>
          <w:rFonts w:ascii="Times New Roman" w:hAnsi="Times New Roman" w:cs="Times New Roman"/>
        </w:rPr>
        <w:t xml:space="preserve"> distance</w:t>
      </w:r>
      <w:r w:rsidR="00E1295A">
        <w:rPr>
          <w:rFonts w:ascii="Times New Roman" w:hAnsi="Times New Roman" w:cs="Times New Roman"/>
        </w:rPr>
        <w:t xml:space="preserve"> </w:t>
      </w:r>
      <w:r w:rsidR="00CB40CA">
        <w:rPr>
          <w:rFonts w:ascii="Times New Roman" w:hAnsi="Times New Roman" w:cs="Times New Roman"/>
        </w:rPr>
        <w:t xml:space="preserve">of the object </w:t>
      </w:r>
      <w:r w:rsidR="00E1295A">
        <w:rPr>
          <w:rFonts w:ascii="Times New Roman" w:hAnsi="Times New Roman" w:cs="Times New Roman"/>
        </w:rPr>
        <w:t>from the speaker (i.e.</w:t>
      </w:r>
      <w:r w:rsidR="00E1295A" w:rsidRPr="00E1295A">
        <w:rPr>
          <w:rFonts w:ascii="Times New Roman" w:hAnsi="Times New Roman" w:cs="Times New Roman"/>
        </w:rPr>
        <w:t xml:space="preserve">, </w:t>
      </w:r>
      <w:r w:rsidR="00E1295A">
        <w:rPr>
          <w:rFonts w:ascii="Times New Roman" w:hAnsi="Times New Roman" w:cs="Times New Roman"/>
          <w:i/>
        </w:rPr>
        <w:t>gi</w:t>
      </w:r>
      <w:r w:rsidR="00E1295A">
        <w:rPr>
          <w:rFonts w:ascii="Times New Roman" w:hAnsi="Times New Roman" w:cs="Times New Roman"/>
        </w:rPr>
        <w:t xml:space="preserve"> and </w:t>
      </w:r>
      <w:r w:rsidR="00E1295A">
        <w:rPr>
          <w:rFonts w:ascii="Times New Roman" w:hAnsi="Times New Roman" w:cs="Times New Roman"/>
          <w:i/>
        </w:rPr>
        <w:t>ul</w:t>
      </w:r>
      <w:r w:rsidR="00E1295A">
        <w:rPr>
          <w:rFonts w:ascii="Times New Roman" w:hAnsi="Times New Roman" w:cs="Times New Roman"/>
        </w:rPr>
        <w:t xml:space="preserve"> for near objects and </w:t>
      </w:r>
      <w:r w:rsidR="00E1295A">
        <w:rPr>
          <w:rFonts w:ascii="Times New Roman" w:hAnsi="Times New Roman" w:cs="Times New Roman"/>
          <w:i/>
        </w:rPr>
        <w:t xml:space="preserve">ro </w:t>
      </w:r>
      <w:r w:rsidR="00E1295A">
        <w:rPr>
          <w:rFonts w:ascii="Times New Roman" w:hAnsi="Times New Roman" w:cs="Times New Roman"/>
        </w:rPr>
        <w:t xml:space="preserve">and </w:t>
      </w:r>
      <w:r w:rsidR="00E1295A">
        <w:rPr>
          <w:rFonts w:ascii="Times New Roman" w:hAnsi="Times New Roman" w:cs="Times New Roman"/>
          <w:i/>
        </w:rPr>
        <w:t>ne</w:t>
      </w:r>
      <w:r w:rsidR="00E1295A">
        <w:rPr>
          <w:rFonts w:ascii="Times New Roman" w:hAnsi="Times New Roman" w:cs="Times New Roman"/>
        </w:rPr>
        <w:t xml:space="preserve"> for far objects) and </w:t>
      </w:r>
      <w:r w:rsidR="00DD45AA">
        <w:rPr>
          <w:rFonts w:ascii="Times New Roman" w:hAnsi="Times New Roman" w:cs="Times New Roman"/>
        </w:rPr>
        <w:t xml:space="preserve">that </w:t>
      </w:r>
      <w:r w:rsidR="00E1295A">
        <w:rPr>
          <w:rFonts w:ascii="Times New Roman" w:hAnsi="Times New Roman" w:cs="Times New Roman"/>
        </w:rPr>
        <w:t>their task was to decide</w:t>
      </w:r>
      <w:r w:rsidR="00DD45AA">
        <w:rPr>
          <w:rFonts w:ascii="Times New Roman" w:hAnsi="Times New Roman" w:cs="Times New Roman"/>
        </w:rPr>
        <w:t>,</w:t>
      </w:r>
      <w:r w:rsidR="00E1295A">
        <w:rPr>
          <w:rFonts w:ascii="Times New Roman" w:hAnsi="Times New Roman" w:cs="Times New Roman"/>
        </w:rPr>
        <w:t xml:space="preserve"> as soon as </w:t>
      </w:r>
      <w:r w:rsidR="00DD45AA">
        <w:rPr>
          <w:rFonts w:ascii="Times New Roman" w:hAnsi="Times New Roman" w:cs="Times New Roman"/>
        </w:rPr>
        <w:t>they heard the recording,</w:t>
      </w:r>
      <w:r w:rsidR="00E1295A">
        <w:rPr>
          <w:rFonts w:ascii="Times New Roman" w:hAnsi="Times New Roman" w:cs="Times New Roman"/>
        </w:rPr>
        <w:t xml:space="preserve"> </w:t>
      </w:r>
      <w:r w:rsidR="00DD45AA">
        <w:rPr>
          <w:rFonts w:ascii="Times New Roman" w:hAnsi="Times New Roman" w:cs="Times New Roman"/>
        </w:rPr>
        <w:t>whether</w:t>
      </w:r>
      <w:r w:rsidR="00E1295A">
        <w:rPr>
          <w:rFonts w:ascii="Times New Roman" w:hAnsi="Times New Roman" w:cs="Times New Roman"/>
        </w:rPr>
        <w:t xml:space="preserve"> </w:t>
      </w:r>
      <w:r w:rsidR="0020032C">
        <w:rPr>
          <w:rFonts w:ascii="Times New Roman" w:hAnsi="Times New Roman" w:cs="Times New Roman"/>
        </w:rPr>
        <w:t>it</w:t>
      </w:r>
      <w:r w:rsidR="00CB40CA">
        <w:rPr>
          <w:rFonts w:ascii="Times New Roman" w:hAnsi="Times New Roman" w:cs="Times New Roman"/>
        </w:rPr>
        <w:t xml:space="preserve"> referred to which one of the two pictures</w:t>
      </w:r>
      <w:r w:rsidR="00DD45AA">
        <w:rPr>
          <w:rFonts w:ascii="Times New Roman" w:hAnsi="Times New Roman" w:cs="Times New Roman"/>
        </w:rPr>
        <w:t xml:space="preserve">. </w:t>
      </w:r>
      <w:r w:rsidR="009A1F59">
        <w:rPr>
          <w:rFonts w:ascii="Times New Roman" w:hAnsi="Times New Roman" w:cs="Times New Roman"/>
        </w:rPr>
        <w:t>Throughout the training phase, t</w:t>
      </w:r>
      <w:r w:rsidR="00CB40CA">
        <w:rPr>
          <w:rFonts w:ascii="Times New Roman" w:hAnsi="Times New Roman" w:cs="Times New Roman"/>
        </w:rPr>
        <w:t>he presentation of the stimuli was structured such that knowing which articles encode</w:t>
      </w:r>
      <w:r w:rsidR="009A1F59">
        <w:rPr>
          <w:rFonts w:ascii="Times New Roman" w:hAnsi="Times New Roman" w:cs="Times New Roman"/>
        </w:rPr>
        <w:t>d</w:t>
      </w:r>
      <w:r w:rsidR="00CB40CA">
        <w:rPr>
          <w:rFonts w:ascii="Times New Roman" w:hAnsi="Times New Roman" w:cs="Times New Roman"/>
        </w:rPr>
        <w:t xml:space="preserve"> near or far objects would facilitate participants’ performance. </w:t>
      </w:r>
      <w:r w:rsidR="00DD45AA">
        <w:rPr>
          <w:rFonts w:ascii="Times New Roman" w:hAnsi="Times New Roman" w:cs="Times New Roman"/>
        </w:rPr>
        <w:t>U</w:t>
      </w:r>
      <w:r w:rsidR="00E1295A" w:rsidRPr="00E1295A">
        <w:rPr>
          <w:rFonts w:ascii="Times New Roman" w:hAnsi="Times New Roman" w:cs="Times New Roman"/>
        </w:rPr>
        <w:t xml:space="preserve">nbeknownst to the </w:t>
      </w:r>
      <w:r w:rsidR="00E1295A">
        <w:rPr>
          <w:rFonts w:ascii="Times New Roman" w:hAnsi="Times New Roman" w:cs="Times New Roman"/>
        </w:rPr>
        <w:t>participants</w:t>
      </w:r>
      <w:r w:rsidR="00DD45AA">
        <w:rPr>
          <w:rFonts w:ascii="Times New Roman" w:hAnsi="Times New Roman" w:cs="Times New Roman"/>
        </w:rPr>
        <w:t>, however,</w:t>
      </w:r>
      <w:r w:rsidR="00E1295A" w:rsidRPr="00E1295A">
        <w:rPr>
          <w:rFonts w:ascii="Times New Roman" w:hAnsi="Times New Roman" w:cs="Times New Roman"/>
        </w:rPr>
        <w:t xml:space="preserve"> t</w:t>
      </w:r>
      <w:r w:rsidR="00E1295A">
        <w:rPr>
          <w:rFonts w:ascii="Times New Roman" w:hAnsi="Times New Roman" w:cs="Times New Roman"/>
        </w:rPr>
        <w:t xml:space="preserve">hese articles </w:t>
      </w:r>
      <w:r w:rsidR="00E1295A" w:rsidRPr="00E1295A">
        <w:rPr>
          <w:rFonts w:ascii="Times New Roman" w:hAnsi="Times New Roman" w:cs="Times New Roman"/>
        </w:rPr>
        <w:t xml:space="preserve">also referred to </w:t>
      </w:r>
      <w:r w:rsidR="00E1295A">
        <w:rPr>
          <w:rFonts w:ascii="Times New Roman" w:hAnsi="Times New Roman" w:cs="Times New Roman"/>
        </w:rPr>
        <w:t xml:space="preserve">the animacy of the noun they modified (i.e., </w:t>
      </w:r>
      <w:r w:rsidR="00E1295A">
        <w:rPr>
          <w:rFonts w:ascii="Times New Roman" w:hAnsi="Times New Roman" w:cs="Times New Roman"/>
          <w:i/>
        </w:rPr>
        <w:t>gi</w:t>
      </w:r>
      <w:r w:rsidR="00E1295A">
        <w:rPr>
          <w:rFonts w:ascii="Times New Roman" w:hAnsi="Times New Roman" w:cs="Times New Roman"/>
        </w:rPr>
        <w:t xml:space="preserve"> and </w:t>
      </w:r>
      <w:r w:rsidR="00E1295A">
        <w:rPr>
          <w:rFonts w:ascii="Times New Roman" w:hAnsi="Times New Roman" w:cs="Times New Roman"/>
          <w:i/>
        </w:rPr>
        <w:t>ro</w:t>
      </w:r>
      <w:r w:rsidR="00E1295A">
        <w:rPr>
          <w:rFonts w:ascii="Times New Roman" w:hAnsi="Times New Roman" w:cs="Times New Roman"/>
        </w:rPr>
        <w:t xml:space="preserve"> for animate objects and </w:t>
      </w:r>
      <w:r w:rsidR="00E1295A">
        <w:rPr>
          <w:rFonts w:ascii="Times New Roman" w:hAnsi="Times New Roman" w:cs="Times New Roman"/>
          <w:i/>
        </w:rPr>
        <w:t>ul</w:t>
      </w:r>
      <w:r w:rsidR="00E1295A">
        <w:rPr>
          <w:rFonts w:ascii="Times New Roman" w:hAnsi="Times New Roman" w:cs="Times New Roman"/>
        </w:rPr>
        <w:t xml:space="preserve"> and </w:t>
      </w:r>
      <w:r w:rsidR="00E1295A">
        <w:rPr>
          <w:rFonts w:ascii="Times New Roman" w:hAnsi="Times New Roman" w:cs="Times New Roman"/>
          <w:i/>
        </w:rPr>
        <w:t xml:space="preserve">ne </w:t>
      </w:r>
      <w:r w:rsidR="00E1295A">
        <w:rPr>
          <w:rFonts w:ascii="Times New Roman" w:hAnsi="Times New Roman" w:cs="Times New Roman"/>
        </w:rPr>
        <w:t>for inanimate objects).</w:t>
      </w:r>
    </w:p>
    <w:p w:rsidR="009A1F59" w:rsidRDefault="00DD45AA" w:rsidP="009A1F59">
      <w:pPr>
        <w:spacing w:line="480" w:lineRule="auto"/>
        <w:ind w:firstLine="720"/>
        <w:rPr>
          <w:rFonts w:ascii="Times New Roman" w:hAnsi="Times New Roman" w:cs="Times New Roman"/>
        </w:rPr>
      </w:pPr>
      <w:r>
        <w:rPr>
          <w:rFonts w:ascii="Times New Roman" w:hAnsi="Times New Roman" w:cs="Times New Roman"/>
        </w:rPr>
        <w:t>The participants were first trained with 88 animate and inanimate objects used in different combinations of distance and animacy, amounting to 272 trials in total.</w:t>
      </w:r>
      <w:r w:rsidR="00F34555">
        <w:rPr>
          <w:rFonts w:ascii="Times New Roman" w:hAnsi="Times New Roman" w:cs="Times New Roman"/>
        </w:rPr>
        <w:t xml:space="preserve"> 72 testing trials with novel objects followed thereafter, presented in three conditions: Transition (</w:t>
      </w:r>
      <w:r w:rsidR="00F34555">
        <w:rPr>
          <w:rFonts w:ascii="Times New Roman" w:hAnsi="Times New Roman" w:cs="Times New Roman"/>
          <w:i/>
        </w:rPr>
        <w:t xml:space="preserve">k </w:t>
      </w:r>
      <w:r w:rsidR="00F34555">
        <w:rPr>
          <w:rFonts w:ascii="Times New Roman" w:hAnsi="Times New Roman" w:cs="Times New Roman"/>
        </w:rPr>
        <w:t>= 8), Control (</w:t>
      </w:r>
      <w:r w:rsidR="00F34555">
        <w:rPr>
          <w:rFonts w:ascii="Times New Roman" w:hAnsi="Times New Roman" w:cs="Times New Roman"/>
          <w:i/>
        </w:rPr>
        <w:t xml:space="preserve">k </w:t>
      </w:r>
      <w:r w:rsidR="00F34555">
        <w:rPr>
          <w:rFonts w:ascii="Times New Roman" w:hAnsi="Times New Roman" w:cs="Times New Roman"/>
        </w:rPr>
        <w:t>= 32) and Violation (</w:t>
      </w:r>
      <w:r w:rsidR="00F34555">
        <w:rPr>
          <w:rFonts w:ascii="Times New Roman" w:hAnsi="Times New Roman" w:cs="Times New Roman"/>
          <w:i/>
        </w:rPr>
        <w:t xml:space="preserve">k </w:t>
      </w:r>
      <w:r w:rsidR="00F34555">
        <w:rPr>
          <w:rFonts w:ascii="Times New Roman" w:hAnsi="Times New Roman" w:cs="Times New Roman"/>
        </w:rPr>
        <w:t xml:space="preserve">= 32). In </w:t>
      </w:r>
      <w:r w:rsidR="00F34555" w:rsidRPr="00187E22">
        <w:rPr>
          <w:rFonts w:ascii="Times New Roman" w:hAnsi="Times New Roman" w:cs="Times New Roman"/>
          <w:color w:val="000000" w:themeColor="text1"/>
        </w:rPr>
        <w:t xml:space="preserve">these conditions, </w:t>
      </w:r>
      <w:r w:rsidR="0000600E" w:rsidRPr="00187E22">
        <w:rPr>
          <w:rFonts w:ascii="Times New Roman" w:hAnsi="Times New Roman" w:cs="Times New Roman"/>
          <w:color w:val="000000" w:themeColor="text1"/>
        </w:rPr>
        <w:t>the two pictures</w:t>
      </w:r>
      <w:r w:rsidR="00CB40CA" w:rsidRPr="00187E22">
        <w:rPr>
          <w:rFonts w:ascii="Times New Roman" w:hAnsi="Times New Roman" w:cs="Times New Roman"/>
          <w:color w:val="000000" w:themeColor="text1"/>
        </w:rPr>
        <w:t xml:space="preserve"> had objects that matched </w:t>
      </w:r>
      <w:r w:rsidR="00187E22" w:rsidRPr="00187E22">
        <w:rPr>
          <w:rFonts w:ascii="Times New Roman" w:hAnsi="Times New Roman" w:cs="Times New Roman"/>
          <w:color w:val="000000" w:themeColor="text1"/>
        </w:rPr>
        <w:t>in</w:t>
      </w:r>
      <w:r w:rsidR="00CB40CA" w:rsidRPr="00187E22">
        <w:rPr>
          <w:rFonts w:ascii="Times New Roman" w:hAnsi="Times New Roman" w:cs="Times New Roman"/>
          <w:color w:val="000000" w:themeColor="text1"/>
        </w:rPr>
        <w:t xml:space="preserve"> distance but differed in animacy, which made it impossible for the participants to use distance </w:t>
      </w:r>
      <w:r w:rsidR="00967A7C" w:rsidRPr="00187E22">
        <w:rPr>
          <w:rFonts w:ascii="Times New Roman" w:hAnsi="Times New Roman" w:cs="Times New Roman"/>
          <w:color w:val="000000" w:themeColor="text1"/>
        </w:rPr>
        <w:t xml:space="preserve">as the basis </w:t>
      </w:r>
      <w:r w:rsidR="003E2576" w:rsidRPr="00187E22">
        <w:rPr>
          <w:rFonts w:ascii="Times New Roman" w:hAnsi="Times New Roman" w:cs="Times New Roman"/>
          <w:color w:val="000000" w:themeColor="text1"/>
        </w:rPr>
        <w:t>for</w:t>
      </w:r>
      <w:r w:rsidR="00967A7C" w:rsidRPr="00187E22">
        <w:rPr>
          <w:rFonts w:ascii="Times New Roman" w:hAnsi="Times New Roman" w:cs="Times New Roman"/>
          <w:color w:val="000000" w:themeColor="text1"/>
        </w:rPr>
        <w:t xml:space="preserve"> their</w:t>
      </w:r>
      <w:r w:rsidR="00CB40CA" w:rsidRPr="00187E22">
        <w:rPr>
          <w:rFonts w:ascii="Times New Roman" w:hAnsi="Times New Roman" w:cs="Times New Roman"/>
          <w:color w:val="000000" w:themeColor="text1"/>
        </w:rPr>
        <w:t xml:space="preserve"> </w:t>
      </w:r>
      <w:r w:rsidR="00967A7C" w:rsidRPr="00187E22">
        <w:rPr>
          <w:rFonts w:ascii="Times New Roman" w:hAnsi="Times New Roman" w:cs="Times New Roman"/>
          <w:color w:val="000000" w:themeColor="text1"/>
        </w:rPr>
        <w:t>decision-making</w:t>
      </w:r>
      <w:r w:rsidR="00CB40CA" w:rsidRPr="00187E22">
        <w:rPr>
          <w:rFonts w:ascii="Times New Roman" w:hAnsi="Times New Roman" w:cs="Times New Roman"/>
          <w:color w:val="000000" w:themeColor="text1"/>
        </w:rPr>
        <w:t xml:space="preserve">. Of particular interest to the current power analyses, however, is </w:t>
      </w:r>
      <w:r w:rsidR="00CD48D0">
        <w:rPr>
          <w:rFonts w:ascii="Times New Roman" w:hAnsi="Times New Roman" w:cs="Times New Roman"/>
          <w:color w:val="000000" w:themeColor="text1"/>
        </w:rPr>
        <w:t>the</w:t>
      </w:r>
      <w:r w:rsidR="00CB40CA" w:rsidRPr="00187E22">
        <w:rPr>
          <w:rFonts w:ascii="Times New Roman" w:hAnsi="Times New Roman" w:cs="Times New Roman"/>
          <w:color w:val="000000" w:themeColor="text1"/>
        </w:rPr>
        <w:t xml:space="preserve"> difference between Control and Violation block; while </w:t>
      </w:r>
      <w:r w:rsidR="009A1F59" w:rsidRPr="00187E22">
        <w:rPr>
          <w:rFonts w:ascii="Times New Roman" w:hAnsi="Times New Roman" w:cs="Times New Roman"/>
          <w:color w:val="000000" w:themeColor="text1"/>
        </w:rPr>
        <w:t xml:space="preserve">in Control block </w:t>
      </w:r>
      <w:r w:rsidR="00CB40CA" w:rsidRPr="00187E22">
        <w:rPr>
          <w:rFonts w:ascii="Times New Roman" w:hAnsi="Times New Roman" w:cs="Times New Roman"/>
          <w:color w:val="000000" w:themeColor="text1"/>
        </w:rPr>
        <w:t xml:space="preserve">the recording (e.g., </w:t>
      </w:r>
      <w:r w:rsidR="00CB40CA" w:rsidRPr="00187E22">
        <w:rPr>
          <w:rFonts w:ascii="Times New Roman" w:hAnsi="Times New Roman" w:cs="Times New Roman"/>
          <w:i/>
          <w:color w:val="000000" w:themeColor="text1"/>
        </w:rPr>
        <w:t xml:space="preserve">gi </w:t>
      </w:r>
      <w:r w:rsidR="00CB40CA" w:rsidRPr="00187E22">
        <w:rPr>
          <w:rFonts w:ascii="Times New Roman" w:hAnsi="Times New Roman" w:cs="Times New Roman"/>
          <w:color w:val="000000" w:themeColor="text1"/>
        </w:rPr>
        <w:t xml:space="preserve">bull) agreed with the object </w:t>
      </w:r>
      <w:r w:rsidR="009A1F59" w:rsidRPr="00187E22">
        <w:rPr>
          <w:rFonts w:ascii="Times New Roman" w:hAnsi="Times New Roman" w:cs="Times New Roman"/>
          <w:color w:val="000000" w:themeColor="text1"/>
        </w:rPr>
        <w:t xml:space="preserve">(e.g., a bull near the speaker) in terms of animacy, it did not in Violation block (e.g., </w:t>
      </w:r>
      <w:r w:rsidR="009A1F59" w:rsidRPr="00187E22">
        <w:rPr>
          <w:rFonts w:ascii="Times New Roman" w:hAnsi="Times New Roman" w:cs="Times New Roman"/>
          <w:i/>
          <w:color w:val="000000" w:themeColor="text1"/>
        </w:rPr>
        <w:t xml:space="preserve">ul </w:t>
      </w:r>
      <w:r w:rsidR="009A1F59" w:rsidRPr="00187E22">
        <w:rPr>
          <w:rFonts w:ascii="Times New Roman" w:hAnsi="Times New Roman" w:cs="Times New Roman"/>
          <w:color w:val="000000" w:themeColor="text1"/>
        </w:rPr>
        <w:t xml:space="preserve">bull for a bull near the speaker). </w:t>
      </w:r>
      <w:r w:rsidR="009A1F59">
        <w:rPr>
          <w:rFonts w:ascii="Times New Roman" w:hAnsi="Times New Roman" w:cs="Times New Roman"/>
        </w:rPr>
        <w:t xml:space="preserve">RTs of the response were used as a </w:t>
      </w:r>
      <w:r w:rsidR="009A1F59">
        <w:rPr>
          <w:rFonts w:ascii="Times New Roman" w:hAnsi="Times New Roman" w:cs="Times New Roman"/>
        </w:rPr>
        <w:lastRenderedPageBreak/>
        <w:t xml:space="preserve">dependent variable of the study, and it was expected that the participants would slow down in Violation block, compared to Control block. </w:t>
      </w:r>
    </w:p>
    <w:p w:rsidR="00572110" w:rsidRPr="00572110" w:rsidRDefault="009A1F59" w:rsidP="00572110">
      <w:pPr>
        <w:spacing w:line="480" w:lineRule="auto"/>
        <w:rPr>
          <w:rFonts w:ascii="Times New Roman" w:hAnsi="Times New Roman" w:cs="Times New Roman"/>
          <w:vertAlign w:val="superscript"/>
        </w:rPr>
      </w:pPr>
      <w:r>
        <w:rPr>
          <w:rFonts w:ascii="Times New Roman" w:hAnsi="Times New Roman" w:cs="Times New Roman"/>
        </w:rPr>
        <w:tab/>
      </w:r>
      <w:r w:rsidR="00DA2F13">
        <w:rPr>
          <w:rFonts w:ascii="Times New Roman" w:hAnsi="Times New Roman" w:cs="Times New Roman"/>
        </w:rPr>
        <w:t>A p</w:t>
      </w:r>
      <w:r>
        <w:rPr>
          <w:rFonts w:ascii="Times New Roman" w:hAnsi="Times New Roman" w:cs="Times New Roman"/>
        </w:rPr>
        <w:t>o</w:t>
      </w:r>
      <w:r w:rsidR="00DA2F13">
        <w:rPr>
          <w:rFonts w:ascii="Times New Roman" w:hAnsi="Times New Roman" w:cs="Times New Roman"/>
        </w:rPr>
        <w:t>st-experimental interview revealed that 20 out of the 33 participants became aware of the animacy rule, with the remaining 13 participants subject to further analyses.</w:t>
      </w:r>
      <w:r w:rsidR="00DA2F13">
        <w:rPr>
          <w:rFonts w:ascii="Times New Roman" w:hAnsi="Times New Roman" w:cs="Times New Roman"/>
          <w:vertAlign w:val="superscript"/>
        </w:rPr>
        <w:t>2</w:t>
      </w:r>
      <w:r w:rsidR="00DA2F13">
        <w:rPr>
          <w:rFonts w:ascii="Times New Roman" w:hAnsi="Times New Roman" w:cs="Times New Roman"/>
        </w:rPr>
        <w:t xml:space="preserve"> The researchers conducted </w:t>
      </w:r>
      <w:r>
        <w:rPr>
          <w:rFonts w:ascii="Times New Roman" w:hAnsi="Times New Roman" w:cs="Times New Roman"/>
        </w:rPr>
        <w:t xml:space="preserve">a univariate ANOVA with Block </w:t>
      </w:r>
      <w:r w:rsidR="00DA2F13">
        <w:rPr>
          <w:rFonts w:ascii="Times New Roman" w:hAnsi="Times New Roman" w:cs="Times New Roman"/>
        </w:rPr>
        <w:t xml:space="preserve">(Control vs. Violation) </w:t>
      </w:r>
      <w:r>
        <w:rPr>
          <w:rFonts w:ascii="Times New Roman" w:hAnsi="Times New Roman" w:cs="Times New Roman"/>
        </w:rPr>
        <w:t>as a sole within-subjects factor</w:t>
      </w:r>
      <w:r w:rsidR="003E2576">
        <w:rPr>
          <w:rFonts w:ascii="Times New Roman" w:hAnsi="Times New Roman" w:cs="Times New Roman"/>
        </w:rPr>
        <w:t>,</w:t>
      </w:r>
      <w:r w:rsidR="00DA2F13">
        <w:rPr>
          <w:rFonts w:ascii="Times New Roman" w:hAnsi="Times New Roman" w:cs="Times New Roman"/>
        </w:rPr>
        <w:t xml:space="preserve"> so as to test whether the unaware participants significantly slowed down on Violation block. The main effect of Block demonstrated a significant effect in the results, </w:t>
      </w:r>
      <w:r w:rsidR="00DA2F13">
        <w:rPr>
          <w:rFonts w:ascii="Times New Roman" w:hAnsi="Times New Roman" w:cs="Times New Roman"/>
          <w:i/>
        </w:rPr>
        <w:t>F</w:t>
      </w:r>
      <w:r w:rsidR="00DA2F13">
        <w:rPr>
          <w:rFonts w:ascii="Times New Roman" w:hAnsi="Times New Roman" w:cs="Times New Roman"/>
        </w:rPr>
        <w:t xml:space="preserve">(1, 19) = 6.66, </w:t>
      </w:r>
      <w:r w:rsidR="00DA2F13">
        <w:rPr>
          <w:rFonts w:ascii="Times New Roman" w:hAnsi="Times New Roman" w:cs="Times New Roman"/>
          <w:i/>
        </w:rPr>
        <w:t xml:space="preserve">p </w:t>
      </w:r>
      <w:r w:rsidR="00DA2F13">
        <w:rPr>
          <w:rFonts w:ascii="Times New Roman" w:hAnsi="Times New Roman" w:cs="Times New Roman"/>
        </w:rPr>
        <w:t xml:space="preserve">&lt; .05, </w:t>
      </w:r>
      <w:r w:rsidR="00DA2F13" w:rsidRPr="0077161C">
        <w:rPr>
          <w:rFonts w:ascii="Times New Roman" w:hAnsi="Times New Roman" w:cs="Times New Roman"/>
          <w:i/>
        </w:rPr>
        <w:t>η</w:t>
      </w:r>
      <w:r w:rsidR="00DA2F13">
        <w:rPr>
          <w:rFonts w:ascii="Times New Roman" w:hAnsi="Times New Roman" w:cs="Times New Roman"/>
          <w:i/>
          <w:vertAlign w:val="subscript"/>
        </w:rPr>
        <w:t>p</w:t>
      </w:r>
      <w:r w:rsidR="00DA2F13" w:rsidRPr="0077161C">
        <w:rPr>
          <w:rFonts w:ascii="Times New Roman" w:hAnsi="Times New Roman" w:cs="Times New Roman"/>
          <w:i/>
          <w:vertAlign w:val="superscript"/>
        </w:rPr>
        <w:t>2</w:t>
      </w:r>
      <w:r w:rsidR="00DA2F13">
        <w:rPr>
          <w:rFonts w:ascii="Times New Roman" w:hAnsi="Times New Roman" w:cs="Times New Roman"/>
        </w:rPr>
        <w:t xml:space="preserve"> = .26, which confirmed their </w:t>
      </w:r>
      <w:r w:rsidR="00187E22">
        <w:rPr>
          <w:rFonts w:ascii="Times New Roman" w:hAnsi="Times New Roman" w:cs="Times New Roman"/>
        </w:rPr>
        <w:t xml:space="preserve">original </w:t>
      </w:r>
      <w:r w:rsidR="00DA2F13">
        <w:rPr>
          <w:rFonts w:ascii="Times New Roman" w:hAnsi="Times New Roman" w:cs="Times New Roman"/>
        </w:rPr>
        <w:t xml:space="preserve">hypothesis. </w:t>
      </w:r>
      <w:r w:rsidR="00CD48D0">
        <w:rPr>
          <w:rFonts w:ascii="Times New Roman" w:hAnsi="Times New Roman" w:cs="Times New Roman"/>
        </w:rPr>
        <w:t>Using this effect size estimate reported in Leung and Williams (2012), the sample size required for the present study was computed (see Table 1</w:t>
      </w:r>
      <w:r w:rsidR="00D80C39">
        <w:rPr>
          <w:rFonts w:ascii="Times New Roman" w:hAnsi="Times New Roman" w:cs="Times New Roman"/>
        </w:rPr>
        <w:t xml:space="preserve">). As a result, the number of participants recruited in the present study was found to be sufficient to capture the effect of implicit learning on WMT, </w:t>
      </w:r>
      <w:r w:rsidR="006E329B">
        <w:rPr>
          <w:rFonts w:ascii="Times New Roman" w:hAnsi="Times New Roman" w:cs="Times New Roman"/>
        </w:rPr>
        <w:t>had there been any</w:t>
      </w:r>
      <w:r w:rsidR="00D80C39">
        <w:rPr>
          <w:rFonts w:ascii="Times New Roman" w:hAnsi="Times New Roman" w:cs="Times New Roman"/>
        </w:rPr>
        <w:t xml:space="preserve">. </w:t>
      </w:r>
      <w:r w:rsidR="00C00006">
        <w:rPr>
          <w:rFonts w:ascii="Times New Roman" w:hAnsi="Times New Roman" w:cs="Times New Roman"/>
        </w:rPr>
        <w:t>We thus conclude that the non-significant results obtained in the</w:t>
      </w:r>
      <w:r w:rsidR="009F5970">
        <w:rPr>
          <w:rFonts w:ascii="Times New Roman" w:hAnsi="Times New Roman" w:cs="Times New Roman"/>
        </w:rPr>
        <w:t xml:space="preserve"> current</w:t>
      </w:r>
      <w:r w:rsidR="00C00006">
        <w:rPr>
          <w:rFonts w:ascii="Times New Roman" w:hAnsi="Times New Roman" w:cs="Times New Roman"/>
        </w:rPr>
        <w:t xml:space="preserve"> study (except for the case-missing violation at the delayed posttest) were due to the true null-effect of incidental exposure on developing implicit knowledge rather than the fact </w:t>
      </w:r>
      <w:r w:rsidR="009E64AE">
        <w:rPr>
          <w:rFonts w:ascii="Times New Roman" w:hAnsi="Times New Roman" w:cs="Times New Roman"/>
        </w:rPr>
        <w:t xml:space="preserve">that </w:t>
      </w:r>
      <w:r w:rsidR="00C00006">
        <w:rPr>
          <w:rFonts w:ascii="Times New Roman" w:hAnsi="Times New Roman" w:cs="Times New Roman"/>
        </w:rPr>
        <w:t xml:space="preserve">the study lacked the sufficient sample size to reach significance. </w:t>
      </w:r>
      <w:r w:rsidR="00774AF5">
        <w:rPr>
          <w:rFonts w:ascii="Times New Roman" w:hAnsi="Times New Roman" w:cs="Times New Roman"/>
        </w:rPr>
        <w:t>Furthermore</w:t>
      </w:r>
      <w:r w:rsidR="00C00006">
        <w:rPr>
          <w:rFonts w:ascii="Times New Roman" w:hAnsi="Times New Roman" w:cs="Times New Roman"/>
        </w:rPr>
        <w:t xml:space="preserve">, 95% CIs of mean raw RTs </w:t>
      </w:r>
      <w:r w:rsidR="003F513A">
        <w:rPr>
          <w:rFonts w:ascii="Times New Roman" w:hAnsi="Times New Roman" w:cs="Times New Roman"/>
        </w:rPr>
        <w:t xml:space="preserve">reported in Table S19 (immediate) and Table S21 (delayed) in Appendix H reinforce </w:t>
      </w:r>
      <w:r w:rsidR="00AA2ACA">
        <w:rPr>
          <w:rFonts w:ascii="Times New Roman" w:hAnsi="Times New Roman" w:cs="Times New Roman"/>
        </w:rPr>
        <w:t>this</w:t>
      </w:r>
      <w:r w:rsidR="003F513A">
        <w:rPr>
          <w:rFonts w:ascii="Times New Roman" w:hAnsi="Times New Roman" w:cs="Times New Roman"/>
        </w:rPr>
        <w:t xml:space="preserve"> conclusion</w:t>
      </w:r>
      <w:r w:rsidR="00AA2ACA">
        <w:rPr>
          <w:rFonts w:ascii="Times New Roman" w:hAnsi="Times New Roman" w:cs="Times New Roman"/>
        </w:rPr>
        <w:t xml:space="preserve"> because</w:t>
      </w:r>
      <w:r w:rsidR="003F513A">
        <w:rPr>
          <w:rFonts w:ascii="Times New Roman" w:hAnsi="Times New Roman" w:cs="Times New Roman"/>
        </w:rPr>
        <w:t xml:space="preserve"> the</w:t>
      </w:r>
      <w:r w:rsidR="00AA2ACA">
        <w:rPr>
          <w:rFonts w:ascii="Times New Roman" w:hAnsi="Times New Roman" w:cs="Times New Roman"/>
        </w:rPr>
        <w:t>y</w:t>
      </w:r>
      <w:r w:rsidR="003F513A">
        <w:rPr>
          <w:rFonts w:ascii="Times New Roman" w:hAnsi="Times New Roman" w:cs="Times New Roman"/>
        </w:rPr>
        <w:t xml:space="preserve"> overlap</w:t>
      </w:r>
      <w:r w:rsidR="008C2231">
        <w:rPr>
          <w:rFonts w:ascii="Times New Roman" w:hAnsi="Times New Roman" w:cs="Times New Roman"/>
        </w:rPr>
        <w:t xml:space="preserve"> with</w:t>
      </w:r>
      <w:r w:rsidR="003F513A">
        <w:rPr>
          <w:rFonts w:ascii="Times New Roman" w:hAnsi="Times New Roman" w:cs="Times New Roman"/>
        </w:rPr>
        <w:t xml:space="preserve"> each other to a significant degree across grammatical and ungrammatical item types for all construction types.</w:t>
      </w:r>
      <w:r w:rsidR="00AA2ACA">
        <w:rPr>
          <w:rFonts w:ascii="Times New Roman" w:hAnsi="Times New Roman" w:cs="Times New Roman"/>
        </w:rPr>
        <w:t xml:space="preserve"> </w:t>
      </w:r>
      <w:r w:rsidR="00D046E6">
        <w:rPr>
          <w:rFonts w:ascii="Times New Roman" w:hAnsi="Times New Roman" w:cs="Times New Roman"/>
        </w:rPr>
        <w:t>It must be the case, therefore, that the participants did not develop robust implicit knowledge (as measured by WMT) to begin with, and the non-significant results on WMT just reflect this result.</w:t>
      </w:r>
      <w:r w:rsidR="00D046E6">
        <w:rPr>
          <w:rFonts w:ascii="Times New Roman" w:hAnsi="Times New Roman" w:cs="Times New Roman"/>
          <w:vertAlign w:val="superscript"/>
        </w:rPr>
        <w:t>3</w:t>
      </w:r>
    </w:p>
    <w:p w:rsidR="00AD53BB" w:rsidRDefault="00AD53BB">
      <w:pPr>
        <w:rPr>
          <w:rFonts w:ascii="Times New Roman" w:hAnsi="Times New Roman" w:cs="Times New Roman"/>
        </w:rPr>
      </w:pPr>
      <w:r>
        <w:rPr>
          <w:rFonts w:ascii="Times New Roman" w:hAnsi="Times New Roman" w:cs="Times New Roman"/>
        </w:rPr>
        <w:br w:type="page"/>
      </w:r>
    </w:p>
    <w:p w:rsidR="00AD53BB" w:rsidRDefault="00AD53BB" w:rsidP="00AD53BB">
      <w:pPr>
        <w:spacing w:line="480" w:lineRule="auto"/>
        <w:rPr>
          <w:rFonts w:ascii="Times New Roman" w:hAnsi="Times New Roman" w:cs="Times New Roman"/>
        </w:rPr>
      </w:pPr>
      <w:r>
        <w:rPr>
          <w:rFonts w:ascii="Times New Roman" w:hAnsi="Times New Roman" w:cs="Times New Roman"/>
          <w:b/>
        </w:rPr>
        <w:lastRenderedPageBreak/>
        <w:t>Note</w:t>
      </w:r>
      <w:r>
        <w:rPr>
          <w:rFonts w:ascii="Times New Roman" w:hAnsi="Times New Roman" w:cs="Times New Roman"/>
        </w:rPr>
        <w:t>.</w:t>
      </w:r>
    </w:p>
    <w:p w:rsidR="00AD53BB" w:rsidRDefault="00AD53BB" w:rsidP="00AD53BB">
      <w:pPr>
        <w:spacing w:line="480" w:lineRule="auto"/>
        <w:rPr>
          <w:rFonts w:ascii="Times New Roman" w:hAnsi="Times New Roman" w:cs="Times New Roman"/>
        </w:rPr>
      </w:pPr>
      <w:r>
        <w:rPr>
          <w:rFonts w:ascii="Times New Roman" w:hAnsi="Times New Roman" w:cs="Times New Roman"/>
        </w:rPr>
        <w:t>1. Hamrick (2014) in fact conducted a factorial ANOVA with Group as a between-subjects factor and Source as a within-subjects factor. Source had two levels, early or late, in each of which 18 first or 18 late items were presented from the exposure phase, respectively. As a main effect of Source and the interaction of Group and Source were not significant</w:t>
      </w:r>
      <w:r w:rsidR="00E52110">
        <w:rPr>
          <w:rFonts w:ascii="Times New Roman" w:hAnsi="Times New Roman" w:cs="Times New Roman"/>
        </w:rPr>
        <w:t>, these were dismissed from the current power analysis,</w:t>
      </w:r>
      <w:r>
        <w:rPr>
          <w:rFonts w:ascii="Times New Roman" w:hAnsi="Times New Roman" w:cs="Times New Roman"/>
        </w:rPr>
        <w:t xml:space="preserve"> </w:t>
      </w:r>
      <w:r w:rsidRPr="00AD53BB">
        <w:rPr>
          <w:rFonts w:ascii="Times New Roman" w:hAnsi="Times New Roman" w:cs="Times New Roman"/>
          <w:i/>
        </w:rPr>
        <w:t>F</w:t>
      </w:r>
      <w:r w:rsidRPr="00AD53BB">
        <w:rPr>
          <w:rFonts w:ascii="Times New Roman" w:hAnsi="Times New Roman" w:cs="Times New Roman"/>
        </w:rPr>
        <w:t xml:space="preserve">(1, 25) </w:t>
      </w:r>
      <w:r>
        <w:rPr>
          <w:rFonts w:ascii="Times New Roman" w:hAnsi="Times New Roman" w:cs="Times New Roman"/>
        </w:rPr>
        <w:t>=</w:t>
      </w:r>
      <w:r w:rsidRPr="00AD53BB">
        <w:rPr>
          <w:rFonts w:ascii="Times New Roman" w:hAnsi="Times New Roman" w:cs="Times New Roman"/>
        </w:rPr>
        <w:t xml:space="preserve"> 0.89, </w:t>
      </w:r>
      <w:r w:rsidRPr="00AD53BB">
        <w:rPr>
          <w:rFonts w:ascii="Times New Roman" w:hAnsi="Times New Roman" w:cs="Times New Roman"/>
          <w:i/>
        </w:rPr>
        <w:t xml:space="preserve">p </w:t>
      </w:r>
      <w:r>
        <w:rPr>
          <w:rFonts w:ascii="Times New Roman" w:hAnsi="Times New Roman" w:cs="Times New Roman"/>
        </w:rPr>
        <w:t>=</w:t>
      </w:r>
      <w:r w:rsidRPr="00AD53BB">
        <w:rPr>
          <w:rFonts w:ascii="Times New Roman" w:hAnsi="Times New Roman" w:cs="Times New Roman"/>
        </w:rPr>
        <w:t xml:space="preserve"> .35</w:t>
      </w:r>
      <w:r>
        <w:rPr>
          <w:rFonts w:ascii="Times New Roman" w:hAnsi="Times New Roman" w:cs="Times New Roman"/>
        </w:rPr>
        <w:t xml:space="preserve"> and </w:t>
      </w:r>
      <w:r w:rsidRPr="00AD53BB">
        <w:rPr>
          <w:rFonts w:ascii="Times New Roman" w:hAnsi="Times New Roman" w:cs="Times New Roman"/>
          <w:i/>
        </w:rPr>
        <w:t>F</w:t>
      </w:r>
      <w:r w:rsidRPr="00AD53BB">
        <w:rPr>
          <w:rFonts w:ascii="Times New Roman" w:hAnsi="Times New Roman" w:cs="Times New Roman"/>
        </w:rPr>
        <w:t xml:space="preserve">(1, 25) </w:t>
      </w:r>
      <w:r>
        <w:rPr>
          <w:rFonts w:ascii="Times New Roman" w:hAnsi="Times New Roman" w:cs="Times New Roman"/>
        </w:rPr>
        <w:t>=</w:t>
      </w:r>
      <w:r w:rsidRPr="00AD53BB">
        <w:rPr>
          <w:rFonts w:ascii="Times New Roman" w:hAnsi="Times New Roman" w:cs="Times New Roman"/>
        </w:rPr>
        <w:t xml:space="preserve"> 0.22, </w:t>
      </w:r>
      <w:r w:rsidRPr="00AD53BB">
        <w:rPr>
          <w:rFonts w:ascii="Times New Roman" w:hAnsi="Times New Roman" w:cs="Times New Roman"/>
          <w:i/>
        </w:rPr>
        <w:t>p</w:t>
      </w:r>
      <w:r w:rsidRPr="00AD53BB">
        <w:rPr>
          <w:rFonts w:ascii="Times New Roman" w:hAnsi="Times New Roman" w:cs="Times New Roman"/>
        </w:rPr>
        <w:t xml:space="preserve"> </w:t>
      </w:r>
      <w:r>
        <w:rPr>
          <w:rFonts w:ascii="Times New Roman" w:hAnsi="Times New Roman" w:cs="Times New Roman"/>
        </w:rPr>
        <w:t>=</w:t>
      </w:r>
      <w:r w:rsidRPr="00AD53BB">
        <w:rPr>
          <w:rFonts w:ascii="Times New Roman" w:hAnsi="Times New Roman" w:cs="Times New Roman"/>
        </w:rPr>
        <w:t xml:space="preserve"> .64</w:t>
      </w:r>
      <w:r>
        <w:rPr>
          <w:rFonts w:ascii="Times New Roman" w:hAnsi="Times New Roman" w:cs="Times New Roman"/>
        </w:rPr>
        <w:t xml:space="preserve"> (effect sizes not reported</w:t>
      </w:r>
      <w:r w:rsidR="00E52110">
        <w:rPr>
          <w:rFonts w:ascii="Times New Roman" w:hAnsi="Times New Roman" w:cs="Times New Roman"/>
        </w:rPr>
        <w:t xml:space="preserve">), respectively. </w:t>
      </w:r>
    </w:p>
    <w:p w:rsidR="006A6162" w:rsidRDefault="00DA2F13" w:rsidP="00AD53BB">
      <w:pPr>
        <w:spacing w:line="480" w:lineRule="auto"/>
        <w:rPr>
          <w:rFonts w:ascii="Times New Roman" w:hAnsi="Times New Roman" w:cs="Times New Roman"/>
        </w:rPr>
      </w:pPr>
      <w:r>
        <w:rPr>
          <w:rFonts w:ascii="Times New Roman" w:hAnsi="Times New Roman" w:cs="Times New Roman"/>
        </w:rPr>
        <w:t>2. They in fact conducted an analysis for both aware and unaware participants, but the latter pertains to our interests, as WMT was employed as a measure of implicit knowledge.</w:t>
      </w:r>
    </w:p>
    <w:p w:rsidR="00A35725" w:rsidRDefault="00A35725" w:rsidP="00AD53BB">
      <w:pPr>
        <w:spacing w:line="480" w:lineRule="auto"/>
        <w:rPr>
          <w:rFonts w:ascii="Times New Roman" w:hAnsi="Times New Roman" w:cs="Times New Roman"/>
        </w:rPr>
      </w:pPr>
      <w:r>
        <w:rPr>
          <w:rFonts w:ascii="Times New Roman" w:hAnsi="Times New Roman" w:cs="Times New Roman"/>
        </w:rPr>
        <w:t xml:space="preserve">3. As reiterated in the main manuscript, this is not to deny that developing implicit knowledge from incidental exposure is impossible for adult learners in the long run. Note, however, that almost all of the previous studies </w:t>
      </w:r>
      <w:r w:rsidR="000A3FAD">
        <w:rPr>
          <w:rFonts w:ascii="Times New Roman" w:hAnsi="Times New Roman" w:cs="Times New Roman"/>
        </w:rPr>
        <w:t xml:space="preserve">only </w:t>
      </w:r>
      <w:r>
        <w:rPr>
          <w:rFonts w:ascii="Times New Roman" w:hAnsi="Times New Roman" w:cs="Times New Roman"/>
        </w:rPr>
        <w:t>afforded as many exposure items as the present study</w:t>
      </w:r>
      <w:r w:rsidR="00FB5102">
        <w:rPr>
          <w:rFonts w:ascii="Times New Roman" w:hAnsi="Times New Roman" w:cs="Times New Roman"/>
        </w:rPr>
        <w:t xml:space="preserve"> at best</w:t>
      </w:r>
      <w:r>
        <w:rPr>
          <w:rFonts w:ascii="Times New Roman" w:hAnsi="Times New Roman" w:cs="Times New Roman"/>
        </w:rPr>
        <w:t xml:space="preserve">, </w:t>
      </w:r>
      <w:r w:rsidR="00FB5102">
        <w:rPr>
          <w:rFonts w:ascii="Times New Roman" w:hAnsi="Times New Roman" w:cs="Times New Roman"/>
        </w:rPr>
        <w:t>and</w:t>
      </w:r>
      <w:r>
        <w:rPr>
          <w:rFonts w:ascii="Times New Roman" w:hAnsi="Times New Roman" w:cs="Times New Roman"/>
        </w:rPr>
        <w:t xml:space="preserve"> in many cases, fewer.</w:t>
      </w:r>
    </w:p>
    <w:p w:rsidR="006A6162" w:rsidRDefault="006A6162">
      <w:pPr>
        <w:rPr>
          <w:rFonts w:ascii="Times New Roman" w:hAnsi="Times New Roman" w:cs="Times New Roman"/>
        </w:rPr>
      </w:pPr>
      <w:r>
        <w:rPr>
          <w:rFonts w:ascii="Times New Roman" w:hAnsi="Times New Roman" w:cs="Times New Roman"/>
        </w:rPr>
        <w:br w:type="page"/>
      </w:r>
    </w:p>
    <w:p w:rsidR="00D80C39" w:rsidRPr="00D80C39" w:rsidRDefault="00D80C39" w:rsidP="00D80C39">
      <w:pPr>
        <w:rPr>
          <w:rFonts w:ascii="Times New Roman" w:hAnsi="Times New Roman" w:cs="Times New Roman"/>
        </w:rPr>
      </w:pPr>
      <w:r w:rsidRPr="00D80C39">
        <w:rPr>
          <w:rFonts w:ascii="Times New Roman" w:hAnsi="Times New Roman" w:cs="Times New Roman"/>
          <w:b/>
        </w:rPr>
        <w:lastRenderedPageBreak/>
        <w:t>Table 1.</w:t>
      </w:r>
      <w:r>
        <w:rPr>
          <w:rFonts w:ascii="Times New Roman" w:hAnsi="Times New Roman" w:cs="Times New Roman"/>
          <w:b/>
        </w:rPr>
        <w:t xml:space="preserve"> </w:t>
      </w:r>
      <w:r>
        <w:rPr>
          <w:rFonts w:ascii="Times New Roman" w:hAnsi="Times New Roman" w:cs="Times New Roman"/>
          <w:i/>
        </w:rPr>
        <w:t>The sample size required for WMT in the present study</w:t>
      </w:r>
      <w:r>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629"/>
        <w:gridCol w:w="1345"/>
        <w:gridCol w:w="1620"/>
        <w:gridCol w:w="1336"/>
        <w:gridCol w:w="13"/>
      </w:tblGrid>
      <w:tr w:rsidR="00D80C39" w:rsidTr="00DC6EA9">
        <w:tc>
          <w:tcPr>
            <w:tcW w:w="1335" w:type="dxa"/>
            <w:tcBorders>
              <w:top w:val="single" w:sz="4" w:space="0" w:color="auto"/>
            </w:tcBorders>
          </w:tcPr>
          <w:p w:rsidR="00D80C39" w:rsidRDefault="00D80C39" w:rsidP="00DC6EA9">
            <w:pPr>
              <w:rPr>
                <w:rFonts w:ascii="Times New Roman" w:hAnsi="Times New Roman" w:cs="Times New Roman"/>
              </w:rPr>
            </w:pPr>
          </w:p>
        </w:tc>
        <w:tc>
          <w:tcPr>
            <w:tcW w:w="2974" w:type="dxa"/>
            <w:gridSpan w:val="2"/>
            <w:tcBorders>
              <w:top w:val="single" w:sz="4" w:space="0" w:color="auto"/>
              <w:bottom w:val="single" w:sz="4" w:space="0" w:color="auto"/>
              <w:right w:val="dotted" w:sz="4" w:space="0" w:color="auto"/>
            </w:tcBorders>
          </w:tcPr>
          <w:p w:rsidR="00D80C39" w:rsidRDefault="00D80C39" w:rsidP="00DC6EA9">
            <w:pPr>
              <w:jc w:val="center"/>
              <w:rPr>
                <w:rFonts w:ascii="Times New Roman" w:hAnsi="Times New Roman" w:cs="Times New Roman"/>
              </w:rPr>
            </w:pPr>
            <w:r>
              <w:rPr>
                <w:rFonts w:ascii="Times New Roman" w:hAnsi="Times New Roman" w:cs="Times New Roman"/>
              </w:rPr>
              <w:t>Immediate</w:t>
            </w:r>
          </w:p>
        </w:tc>
        <w:tc>
          <w:tcPr>
            <w:tcW w:w="2969" w:type="dxa"/>
            <w:gridSpan w:val="3"/>
            <w:tcBorders>
              <w:top w:val="single" w:sz="4" w:space="0" w:color="auto"/>
              <w:left w:val="dotted" w:sz="4" w:space="0" w:color="auto"/>
              <w:bottom w:val="single" w:sz="4" w:space="0" w:color="auto"/>
            </w:tcBorders>
          </w:tcPr>
          <w:p w:rsidR="00D80C39" w:rsidRDefault="00D80C39" w:rsidP="00DC6EA9">
            <w:pPr>
              <w:jc w:val="center"/>
              <w:rPr>
                <w:rFonts w:ascii="Times New Roman" w:hAnsi="Times New Roman" w:cs="Times New Roman"/>
              </w:rPr>
            </w:pPr>
            <w:r>
              <w:rPr>
                <w:rFonts w:ascii="Times New Roman" w:hAnsi="Times New Roman" w:cs="Times New Roman"/>
              </w:rPr>
              <w:t>Delayed</w:t>
            </w:r>
          </w:p>
        </w:tc>
      </w:tr>
      <w:tr w:rsidR="00D80C39" w:rsidTr="00DC6EA9">
        <w:trPr>
          <w:gridAfter w:val="1"/>
          <w:wAfter w:w="13" w:type="dxa"/>
        </w:trPr>
        <w:tc>
          <w:tcPr>
            <w:tcW w:w="1335" w:type="dxa"/>
            <w:tcBorders>
              <w:bottom w:val="single" w:sz="4" w:space="0" w:color="auto"/>
            </w:tcBorders>
          </w:tcPr>
          <w:p w:rsidR="00D80C39" w:rsidRDefault="00D80C39" w:rsidP="00DC6EA9">
            <w:pPr>
              <w:rPr>
                <w:rFonts w:ascii="Times New Roman" w:hAnsi="Times New Roman" w:cs="Times New Roman"/>
              </w:rPr>
            </w:pPr>
          </w:p>
        </w:tc>
        <w:tc>
          <w:tcPr>
            <w:tcW w:w="1629" w:type="dxa"/>
            <w:tcBorders>
              <w:bottom w:val="single" w:sz="4" w:space="0" w:color="auto"/>
            </w:tcBorders>
          </w:tcPr>
          <w:p w:rsidR="00D80C39" w:rsidRDefault="00D80C39" w:rsidP="00DC6EA9">
            <w:pPr>
              <w:jc w:val="center"/>
              <w:rPr>
                <w:rFonts w:ascii="Times New Roman" w:hAnsi="Times New Roman" w:cs="Times New Roman"/>
              </w:rPr>
            </w:pPr>
            <w:r>
              <w:rPr>
                <w:rFonts w:ascii="Times New Roman" w:hAnsi="Times New Roman" w:cs="Times New Roman"/>
              </w:rPr>
              <w:t>Experimental</w:t>
            </w:r>
          </w:p>
        </w:tc>
        <w:tc>
          <w:tcPr>
            <w:tcW w:w="1345" w:type="dxa"/>
            <w:tcBorders>
              <w:bottom w:val="single" w:sz="4" w:space="0" w:color="auto"/>
              <w:right w:val="dotted" w:sz="4" w:space="0" w:color="auto"/>
            </w:tcBorders>
          </w:tcPr>
          <w:p w:rsidR="00D80C39" w:rsidRDefault="00D80C39" w:rsidP="00DC6EA9">
            <w:pPr>
              <w:jc w:val="center"/>
              <w:rPr>
                <w:rFonts w:ascii="Times New Roman" w:hAnsi="Times New Roman" w:cs="Times New Roman"/>
              </w:rPr>
            </w:pPr>
            <w:r>
              <w:rPr>
                <w:rFonts w:ascii="Times New Roman" w:hAnsi="Times New Roman" w:cs="Times New Roman"/>
              </w:rPr>
              <w:t>Control</w:t>
            </w:r>
          </w:p>
        </w:tc>
        <w:tc>
          <w:tcPr>
            <w:tcW w:w="1620" w:type="dxa"/>
            <w:tcBorders>
              <w:left w:val="dotted" w:sz="4" w:space="0" w:color="auto"/>
              <w:bottom w:val="single" w:sz="4" w:space="0" w:color="auto"/>
            </w:tcBorders>
          </w:tcPr>
          <w:p w:rsidR="00D80C39" w:rsidRDefault="00D80C39" w:rsidP="00DC6EA9">
            <w:pPr>
              <w:jc w:val="center"/>
              <w:rPr>
                <w:rFonts w:ascii="Times New Roman" w:hAnsi="Times New Roman" w:cs="Times New Roman"/>
              </w:rPr>
            </w:pPr>
            <w:r>
              <w:rPr>
                <w:rFonts w:ascii="Times New Roman" w:hAnsi="Times New Roman" w:cs="Times New Roman"/>
              </w:rPr>
              <w:t>Experimental</w:t>
            </w:r>
          </w:p>
        </w:tc>
        <w:tc>
          <w:tcPr>
            <w:tcW w:w="1336" w:type="dxa"/>
            <w:tcBorders>
              <w:bottom w:val="single" w:sz="4" w:space="0" w:color="auto"/>
            </w:tcBorders>
          </w:tcPr>
          <w:p w:rsidR="00D80C39" w:rsidRDefault="00D80C39" w:rsidP="00DC6EA9">
            <w:pPr>
              <w:jc w:val="center"/>
              <w:rPr>
                <w:rFonts w:ascii="Times New Roman" w:hAnsi="Times New Roman" w:cs="Times New Roman"/>
              </w:rPr>
            </w:pPr>
            <w:r>
              <w:rPr>
                <w:rFonts w:ascii="Times New Roman" w:hAnsi="Times New Roman" w:cs="Times New Roman"/>
              </w:rPr>
              <w:t>Control</w:t>
            </w:r>
          </w:p>
        </w:tc>
      </w:tr>
      <w:tr w:rsidR="00D80C39" w:rsidTr="00DC6EA9">
        <w:trPr>
          <w:gridAfter w:val="1"/>
          <w:wAfter w:w="13" w:type="dxa"/>
        </w:trPr>
        <w:tc>
          <w:tcPr>
            <w:tcW w:w="1335" w:type="dxa"/>
            <w:tcBorders>
              <w:top w:val="single" w:sz="4" w:space="0" w:color="auto"/>
            </w:tcBorders>
          </w:tcPr>
          <w:p w:rsidR="00D80C39" w:rsidRDefault="00D80C39" w:rsidP="00DC6EA9">
            <w:pPr>
              <w:jc w:val="center"/>
              <w:rPr>
                <w:rFonts w:ascii="Times New Roman" w:hAnsi="Times New Roman" w:cs="Times New Roman"/>
              </w:rPr>
            </w:pPr>
            <w:r>
              <w:rPr>
                <w:rFonts w:ascii="Times New Roman" w:hAnsi="Times New Roman" w:cs="Times New Roman"/>
              </w:rPr>
              <w:t>OSV</w:t>
            </w:r>
          </w:p>
        </w:tc>
        <w:tc>
          <w:tcPr>
            <w:tcW w:w="1629" w:type="dxa"/>
            <w:tcBorders>
              <w:top w:val="single" w:sz="4" w:space="0" w:color="auto"/>
            </w:tcBorders>
          </w:tcPr>
          <w:p w:rsidR="00D80C39" w:rsidRDefault="00D80C39" w:rsidP="00DC6EA9">
            <w:pPr>
              <w:jc w:val="center"/>
              <w:rPr>
                <w:rFonts w:ascii="Times New Roman" w:hAnsi="Times New Roman" w:cs="Times New Roman"/>
              </w:rPr>
            </w:pPr>
            <w:r>
              <w:rPr>
                <w:rFonts w:ascii="Times New Roman" w:hAnsi="Times New Roman" w:cs="Times New Roman"/>
              </w:rPr>
              <w:t>10 (.62)</w:t>
            </w:r>
          </w:p>
        </w:tc>
        <w:tc>
          <w:tcPr>
            <w:tcW w:w="1345" w:type="dxa"/>
            <w:tcBorders>
              <w:top w:val="single" w:sz="4" w:space="0" w:color="auto"/>
              <w:right w:val="dotted" w:sz="4" w:space="0" w:color="auto"/>
            </w:tcBorders>
          </w:tcPr>
          <w:p w:rsidR="00D80C39" w:rsidRDefault="00D80C39" w:rsidP="00DC6EA9">
            <w:pPr>
              <w:jc w:val="center"/>
              <w:rPr>
                <w:rFonts w:ascii="Times New Roman" w:hAnsi="Times New Roman" w:cs="Times New Roman"/>
              </w:rPr>
            </w:pPr>
            <w:r>
              <w:rPr>
                <w:rFonts w:ascii="Times New Roman" w:hAnsi="Times New Roman" w:cs="Times New Roman"/>
              </w:rPr>
              <w:t>12 (.48)</w:t>
            </w:r>
          </w:p>
        </w:tc>
        <w:tc>
          <w:tcPr>
            <w:tcW w:w="1620" w:type="dxa"/>
            <w:tcBorders>
              <w:top w:val="single" w:sz="4" w:space="0" w:color="auto"/>
              <w:left w:val="dotted" w:sz="4" w:space="0" w:color="auto"/>
            </w:tcBorders>
          </w:tcPr>
          <w:p w:rsidR="00D80C39" w:rsidRDefault="00D80C39" w:rsidP="00DC6EA9">
            <w:pPr>
              <w:jc w:val="center"/>
              <w:rPr>
                <w:rFonts w:ascii="Times New Roman" w:hAnsi="Times New Roman" w:cs="Times New Roman"/>
              </w:rPr>
            </w:pPr>
            <w:r>
              <w:rPr>
                <w:rFonts w:ascii="Times New Roman" w:hAnsi="Times New Roman" w:cs="Times New Roman"/>
              </w:rPr>
              <w:t>8 (.71)</w:t>
            </w:r>
          </w:p>
        </w:tc>
        <w:tc>
          <w:tcPr>
            <w:tcW w:w="1336" w:type="dxa"/>
            <w:tcBorders>
              <w:top w:val="single" w:sz="4" w:space="0" w:color="auto"/>
            </w:tcBorders>
          </w:tcPr>
          <w:p w:rsidR="00D80C39" w:rsidRDefault="00D80C39" w:rsidP="00DC6EA9">
            <w:pPr>
              <w:jc w:val="center"/>
              <w:rPr>
                <w:rFonts w:ascii="Times New Roman" w:hAnsi="Times New Roman" w:cs="Times New Roman"/>
              </w:rPr>
            </w:pPr>
            <w:r>
              <w:rPr>
                <w:rFonts w:ascii="Times New Roman" w:hAnsi="Times New Roman" w:cs="Times New Roman"/>
              </w:rPr>
              <w:t>12 (.50)</w:t>
            </w:r>
          </w:p>
        </w:tc>
      </w:tr>
      <w:tr w:rsidR="00D80C39" w:rsidTr="00DC6EA9">
        <w:trPr>
          <w:gridAfter w:val="1"/>
          <w:wAfter w:w="13" w:type="dxa"/>
        </w:trPr>
        <w:tc>
          <w:tcPr>
            <w:tcW w:w="1335" w:type="dxa"/>
          </w:tcPr>
          <w:p w:rsidR="00D80C39" w:rsidRDefault="00D80C39" w:rsidP="00DC6EA9">
            <w:pPr>
              <w:jc w:val="center"/>
              <w:rPr>
                <w:rFonts w:ascii="Times New Roman" w:hAnsi="Times New Roman" w:cs="Times New Roman"/>
              </w:rPr>
            </w:pPr>
            <w:r>
              <w:rPr>
                <w:rFonts w:ascii="Times New Roman" w:hAnsi="Times New Roman" w:cs="Times New Roman"/>
              </w:rPr>
              <w:t>OSIV</w:t>
            </w:r>
          </w:p>
        </w:tc>
        <w:tc>
          <w:tcPr>
            <w:tcW w:w="1629" w:type="dxa"/>
          </w:tcPr>
          <w:p w:rsidR="00D80C39" w:rsidRDefault="00D80C39" w:rsidP="00DC6EA9">
            <w:pPr>
              <w:jc w:val="center"/>
              <w:rPr>
                <w:rFonts w:ascii="Times New Roman" w:hAnsi="Times New Roman" w:cs="Times New Roman"/>
              </w:rPr>
            </w:pPr>
            <w:r>
              <w:rPr>
                <w:rFonts w:ascii="Times New Roman" w:hAnsi="Times New Roman" w:cs="Times New Roman"/>
              </w:rPr>
              <w:t>7 (.77)</w:t>
            </w:r>
          </w:p>
        </w:tc>
        <w:tc>
          <w:tcPr>
            <w:tcW w:w="1345" w:type="dxa"/>
            <w:tcBorders>
              <w:right w:val="dotted" w:sz="4" w:space="0" w:color="auto"/>
            </w:tcBorders>
          </w:tcPr>
          <w:p w:rsidR="00D80C39" w:rsidRDefault="00D80C39" w:rsidP="00DC6EA9">
            <w:pPr>
              <w:jc w:val="center"/>
              <w:rPr>
                <w:rFonts w:ascii="Times New Roman" w:hAnsi="Times New Roman" w:cs="Times New Roman"/>
              </w:rPr>
            </w:pPr>
            <w:r>
              <w:rPr>
                <w:rFonts w:ascii="Times New Roman" w:hAnsi="Times New Roman" w:cs="Times New Roman"/>
              </w:rPr>
              <w:t>11 (.56)</w:t>
            </w:r>
          </w:p>
        </w:tc>
        <w:tc>
          <w:tcPr>
            <w:tcW w:w="1620" w:type="dxa"/>
            <w:tcBorders>
              <w:left w:val="dotted" w:sz="4" w:space="0" w:color="auto"/>
            </w:tcBorders>
          </w:tcPr>
          <w:p w:rsidR="00D80C39" w:rsidRDefault="00D80C39" w:rsidP="00DC6EA9">
            <w:pPr>
              <w:jc w:val="center"/>
              <w:rPr>
                <w:rFonts w:ascii="Times New Roman" w:hAnsi="Times New Roman" w:cs="Times New Roman"/>
              </w:rPr>
            </w:pPr>
            <w:r>
              <w:rPr>
                <w:rFonts w:ascii="Times New Roman" w:hAnsi="Times New Roman" w:cs="Times New Roman"/>
              </w:rPr>
              <w:t>13 (.42)</w:t>
            </w:r>
          </w:p>
        </w:tc>
        <w:tc>
          <w:tcPr>
            <w:tcW w:w="1336" w:type="dxa"/>
          </w:tcPr>
          <w:p w:rsidR="00D80C39" w:rsidRDefault="00D80C39" w:rsidP="00DC6EA9">
            <w:pPr>
              <w:jc w:val="center"/>
              <w:rPr>
                <w:rFonts w:ascii="Times New Roman" w:hAnsi="Times New Roman" w:cs="Times New Roman"/>
              </w:rPr>
            </w:pPr>
            <w:r>
              <w:rPr>
                <w:rFonts w:ascii="Times New Roman" w:hAnsi="Times New Roman" w:cs="Times New Roman"/>
              </w:rPr>
              <w:t>11 (.55)</w:t>
            </w:r>
          </w:p>
        </w:tc>
      </w:tr>
      <w:tr w:rsidR="00D80C39" w:rsidTr="00DC6EA9">
        <w:trPr>
          <w:gridAfter w:val="1"/>
          <w:wAfter w:w="13" w:type="dxa"/>
        </w:trPr>
        <w:tc>
          <w:tcPr>
            <w:tcW w:w="1335" w:type="dxa"/>
          </w:tcPr>
          <w:p w:rsidR="00D80C39" w:rsidRDefault="00D80C39" w:rsidP="00DC6EA9">
            <w:pPr>
              <w:jc w:val="center"/>
              <w:rPr>
                <w:rFonts w:ascii="Times New Roman" w:hAnsi="Times New Roman" w:cs="Times New Roman"/>
              </w:rPr>
            </w:pPr>
            <w:r>
              <w:rPr>
                <w:rFonts w:ascii="Times New Roman" w:hAnsi="Times New Roman" w:cs="Times New Roman"/>
              </w:rPr>
              <w:t>OSSVV</w:t>
            </w:r>
          </w:p>
        </w:tc>
        <w:tc>
          <w:tcPr>
            <w:tcW w:w="1629" w:type="dxa"/>
          </w:tcPr>
          <w:p w:rsidR="00D80C39" w:rsidRDefault="00D80C39" w:rsidP="00DC6EA9">
            <w:pPr>
              <w:jc w:val="center"/>
              <w:rPr>
                <w:rFonts w:ascii="Times New Roman" w:hAnsi="Times New Roman" w:cs="Times New Roman"/>
              </w:rPr>
            </w:pPr>
            <w:r>
              <w:rPr>
                <w:rFonts w:ascii="Times New Roman" w:hAnsi="Times New Roman" w:cs="Times New Roman"/>
              </w:rPr>
              <w:t>5 (.89)</w:t>
            </w:r>
          </w:p>
        </w:tc>
        <w:tc>
          <w:tcPr>
            <w:tcW w:w="1345" w:type="dxa"/>
            <w:tcBorders>
              <w:right w:val="dotted" w:sz="4" w:space="0" w:color="auto"/>
            </w:tcBorders>
          </w:tcPr>
          <w:p w:rsidR="00D80C39" w:rsidRDefault="00D80C39" w:rsidP="00DC6EA9">
            <w:pPr>
              <w:jc w:val="center"/>
              <w:rPr>
                <w:rFonts w:ascii="Times New Roman" w:hAnsi="Times New Roman" w:cs="Times New Roman"/>
              </w:rPr>
            </w:pPr>
            <w:r>
              <w:rPr>
                <w:rFonts w:ascii="Times New Roman" w:hAnsi="Times New Roman" w:cs="Times New Roman"/>
              </w:rPr>
              <w:t>7 (.75)</w:t>
            </w:r>
          </w:p>
        </w:tc>
        <w:tc>
          <w:tcPr>
            <w:tcW w:w="1620" w:type="dxa"/>
            <w:tcBorders>
              <w:left w:val="dotted" w:sz="4" w:space="0" w:color="auto"/>
            </w:tcBorders>
          </w:tcPr>
          <w:p w:rsidR="00D80C39" w:rsidRDefault="00D80C39" w:rsidP="00DC6EA9">
            <w:pPr>
              <w:jc w:val="center"/>
              <w:rPr>
                <w:rFonts w:ascii="Times New Roman" w:hAnsi="Times New Roman" w:cs="Times New Roman"/>
              </w:rPr>
            </w:pPr>
            <w:r>
              <w:rPr>
                <w:rFonts w:ascii="Times New Roman" w:hAnsi="Times New Roman" w:cs="Times New Roman"/>
              </w:rPr>
              <w:t>21 (- .01)</w:t>
            </w:r>
          </w:p>
        </w:tc>
        <w:tc>
          <w:tcPr>
            <w:tcW w:w="1336" w:type="dxa"/>
          </w:tcPr>
          <w:p w:rsidR="00D80C39" w:rsidRDefault="00D80C39" w:rsidP="00DC6EA9">
            <w:pPr>
              <w:jc w:val="center"/>
              <w:rPr>
                <w:rFonts w:ascii="Times New Roman" w:hAnsi="Times New Roman" w:cs="Times New Roman"/>
              </w:rPr>
            </w:pPr>
            <w:r>
              <w:rPr>
                <w:rFonts w:ascii="Times New Roman" w:hAnsi="Times New Roman" w:cs="Times New Roman"/>
              </w:rPr>
              <w:t>9 (.64)</w:t>
            </w:r>
          </w:p>
        </w:tc>
      </w:tr>
      <w:tr w:rsidR="00D80C39" w:rsidTr="00DC6EA9">
        <w:trPr>
          <w:gridAfter w:val="1"/>
          <w:wAfter w:w="13" w:type="dxa"/>
        </w:trPr>
        <w:tc>
          <w:tcPr>
            <w:tcW w:w="1335" w:type="dxa"/>
          </w:tcPr>
          <w:p w:rsidR="00D80C39" w:rsidRDefault="00D80C39" w:rsidP="00DC6EA9">
            <w:pPr>
              <w:jc w:val="center"/>
              <w:rPr>
                <w:rFonts w:ascii="Times New Roman" w:hAnsi="Times New Roman" w:cs="Times New Roman"/>
              </w:rPr>
            </w:pPr>
            <w:r>
              <w:rPr>
                <w:rFonts w:ascii="Times New Roman" w:hAnsi="Times New Roman" w:cs="Times New Roman"/>
              </w:rPr>
              <w:t>OSSIVV</w:t>
            </w:r>
          </w:p>
        </w:tc>
        <w:tc>
          <w:tcPr>
            <w:tcW w:w="1629" w:type="dxa"/>
          </w:tcPr>
          <w:p w:rsidR="00D80C39" w:rsidRDefault="00D80C39" w:rsidP="00DC6EA9">
            <w:pPr>
              <w:jc w:val="center"/>
              <w:rPr>
                <w:rFonts w:ascii="Times New Roman" w:hAnsi="Times New Roman" w:cs="Times New Roman"/>
              </w:rPr>
            </w:pPr>
            <w:r>
              <w:rPr>
                <w:rFonts w:ascii="Times New Roman" w:hAnsi="Times New Roman" w:cs="Times New Roman"/>
              </w:rPr>
              <w:t>8 (.69)</w:t>
            </w:r>
          </w:p>
        </w:tc>
        <w:tc>
          <w:tcPr>
            <w:tcW w:w="1345" w:type="dxa"/>
            <w:tcBorders>
              <w:right w:val="dotted" w:sz="4" w:space="0" w:color="auto"/>
            </w:tcBorders>
          </w:tcPr>
          <w:p w:rsidR="00D80C39" w:rsidRDefault="00D80C39" w:rsidP="00DC6EA9">
            <w:pPr>
              <w:jc w:val="center"/>
              <w:rPr>
                <w:rFonts w:ascii="Times New Roman" w:hAnsi="Times New Roman" w:cs="Times New Roman"/>
              </w:rPr>
            </w:pPr>
            <w:r>
              <w:rPr>
                <w:rFonts w:ascii="Times New Roman" w:hAnsi="Times New Roman" w:cs="Times New Roman"/>
              </w:rPr>
              <w:t>9 (.67)</w:t>
            </w:r>
          </w:p>
        </w:tc>
        <w:tc>
          <w:tcPr>
            <w:tcW w:w="1620" w:type="dxa"/>
            <w:tcBorders>
              <w:left w:val="dotted" w:sz="4" w:space="0" w:color="auto"/>
            </w:tcBorders>
          </w:tcPr>
          <w:p w:rsidR="00D80C39" w:rsidRDefault="00D80C39" w:rsidP="00DC6EA9">
            <w:pPr>
              <w:jc w:val="center"/>
              <w:rPr>
                <w:rFonts w:ascii="Times New Roman" w:hAnsi="Times New Roman" w:cs="Times New Roman"/>
              </w:rPr>
            </w:pPr>
            <w:r>
              <w:rPr>
                <w:rFonts w:ascii="Times New Roman" w:hAnsi="Times New Roman" w:cs="Times New Roman"/>
              </w:rPr>
              <w:t>10 (.62)</w:t>
            </w:r>
          </w:p>
        </w:tc>
        <w:tc>
          <w:tcPr>
            <w:tcW w:w="1336" w:type="dxa"/>
          </w:tcPr>
          <w:p w:rsidR="00D80C39" w:rsidRDefault="00D80C39" w:rsidP="00DC6EA9">
            <w:pPr>
              <w:jc w:val="center"/>
              <w:rPr>
                <w:rFonts w:ascii="Times New Roman" w:hAnsi="Times New Roman" w:cs="Times New Roman"/>
              </w:rPr>
            </w:pPr>
            <w:r>
              <w:rPr>
                <w:rFonts w:ascii="Times New Roman" w:hAnsi="Times New Roman" w:cs="Times New Roman"/>
              </w:rPr>
              <w:t>11 (.57)</w:t>
            </w:r>
          </w:p>
        </w:tc>
      </w:tr>
      <w:tr w:rsidR="00D80C39" w:rsidTr="00DC6EA9">
        <w:trPr>
          <w:gridAfter w:val="1"/>
          <w:wAfter w:w="13" w:type="dxa"/>
        </w:trPr>
        <w:tc>
          <w:tcPr>
            <w:tcW w:w="1335" w:type="dxa"/>
          </w:tcPr>
          <w:p w:rsidR="00D80C39" w:rsidRDefault="00D80C39" w:rsidP="00DC6EA9">
            <w:pPr>
              <w:jc w:val="center"/>
              <w:rPr>
                <w:rFonts w:ascii="Times New Roman" w:hAnsi="Times New Roman" w:cs="Times New Roman"/>
              </w:rPr>
            </w:pPr>
            <w:r>
              <w:rPr>
                <w:rFonts w:ascii="Times New Roman" w:hAnsi="Times New Roman" w:cs="Times New Roman"/>
              </w:rPr>
              <w:t>Case Mis</w:t>
            </w:r>
          </w:p>
        </w:tc>
        <w:tc>
          <w:tcPr>
            <w:tcW w:w="1629" w:type="dxa"/>
          </w:tcPr>
          <w:p w:rsidR="00D80C39" w:rsidRDefault="00D80C39" w:rsidP="00DC6EA9">
            <w:pPr>
              <w:jc w:val="center"/>
              <w:rPr>
                <w:rFonts w:ascii="Times New Roman" w:hAnsi="Times New Roman" w:cs="Times New Roman"/>
              </w:rPr>
            </w:pPr>
            <w:r>
              <w:rPr>
                <w:rFonts w:ascii="Times New Roman" w:hAnsi="Times New Roman" w:cs="Times New Roman"/>
              </w:rPr>
              <w:t>10 (.63)</w:t>
            </w:r>
          </w:p>
        </w:tc>
        <w:tc>
          <w:tcPr>
            <w:tcW w:w="1345" w:type="dxa"/>
            <w:tcBorders>
              <w:right w:val="dotted" w:sz="4" w:space="0" w:color="auto"/>
            </w:tcBorders>
          </w:tcPr>
          <w:p w:rsidR="00D80C39" w:rsidRDefault="00D80C39" w:rsidP="00DC6EA9">
            <w:pPr>
              <w:jc w:val="center"/>
              <w:rPr>
                <w:rFonts w:ascii="Times New Roman" w:hAnsi="Times New Roman" w:cs="Times New Roman"/>
              </w:rPr>
            </w:pPr>
            <w:r>
              <w:rPr>
                <w:rFonts w:ascii="Times New Roman" w:hAnsi="Times New Roman" w:cs="Times New Roman"/>
              </w:rPr>
              <w:t>12 (.47)</w:t>
            </w:r>
          </w:p>
        </w:tc>
        <w:tc>
          <w:tcPr>
            <w:tcW w:w="1620" w:type="dxa"/>
            <w:tcBorders>
              <w:left w:val="dotted" w:sz="4" w:space="0" w:color="auto"/>
            </w:tcBorders>
          </w:tcPr>
          <w:p w:rsidR="00D80C39" w:rsidRDefault="00D80C39" w:rsidP="00DC6EA9">
            <w:pPr>
              <w:jc w:val="center"/>
              <w:rPr>
                <w:rFonts w:ascii="Times New Roman" w:hAnsi="Times New Roman" w:cs="Times New Roman"/>
              </w:rPr>
            </w:pPr>
            <w:r>
              <w:rPr>
                <w:rFonts w:ascii="Times New Roman" w:hAnsi="Times New Roman" w:cs="Times New Roman"/>
              </w:rPr>
              <w:t>13 (.42)</w:t>
            </w:r>
          </w:p>
        </w:tc>
        <w:tc>
          <w:tcPr>
            <w:tcW w:w="1336" w:type="dxa"/>
          </w:tcPr>
          <w:p w:rsidR="00D80C39" w:rsidRDefault="00D80C39" w:rsidP="00DC6EA9">
            <w:pPr>
              <w:jc w:val="center"/>
              <w:rPr>
                <w:rFonts w:ascii="Times New Roman" w:hAnsi="Times New Roman" w:cs="Times New Roman"/>
              </w:rPr>
            </w:pPr>
            <w:r>
              <w:rPr>
                <w:rFonts w:ascii="Times New Roman" w:hAnsi="Times New Roman" w:cs="Times New Roman"/>
              </w:rPr>
              <w:t>8 (.70)</w:t>
            </w:r>
          </w:p>
        </w:tc>
      </w:tr>
      <w:tr w:rsidR="00D80C39" w:rsidTr="00DC6EA9">
        <w:trPr>
          <w:gridAfter w:val="1"/>
          <w:wAfter w:w="13" w:type="dxa"/>
        </w:trPr>
        <w:tc>
          <w:tcPr>
            <w:tcW w:w="1335" w:type="dxa"/>
            <w:tcBorders>
              <w:bottom w:val="single" w:sz="4" w:space="0" w:color="auto"/>
            </w:tcBorders>
          </w:tcPr>
          <w:p w:rsidR="00D80C39" w:rsidRDefault="00D80C39" w:rsidP="00DC6EA9">
            <w:pPr>
              <w:jc w:val="center"/>
              <w:rPr>
                <w:rFonts w:ascii="Times New Roman" w:hAnsi="Times New Roman" w:cs="Times New Roman"/>
              </w:rPr>
            </w:pPr>
            <w:r>
              <w:rPr>
                <w:rFonts w:ascii="Times New Roman" w:hAnsi="Times New Roman" w:cs="Times New Roman"/>
              </w:rPr>
              <w:t>Case Mix</w:t>
            </w:r>
          </w:p>
        </w:tc>
        <w:tc>
          <w:tcPr>
            <w:tcW w:w="1629" w:type="dxa"/>
            <w:tcBorders>
              <w:bottom w:val="single" w:sz="4" w:space="0" w:color="auto"/>
            </w:tcBorders>
          </w:tcPr>
          <w:p w:rsidR="00D80C39" w:rsidRDefault="00D80C39" w:rsidP="00DC6EA9">
            <w:pPr>
              <w:jc w:val="center"/>
              <w:rPr>
                <w:rFonts w:ascii="Times New Roman" w:hAnsi="Times New Roman" w:cs="Times New Roman"/>
              </w:rPr>
            </w:pPr>
            <w:r>
              <w:rPr>
                <w:rFonts w:ascii="Times New Roman" w:hAnsi="Times New Roman" w:cs="Times New Roman"/>
              </w:rPr>
              <w:t>6 (.84)</w:t>
            </w:r>
          </w:p>
        </w:tc>
        <w:tc>
          <w:tcPr>
            <w:tcW w:w="1345" w:type="dxa"/>
            <w:tcBorders>
              <w:bottom w:val="single" w:sz="4" w:space="0" w:color="auto"/>
              <w:right w:val="dotted" w:sz="4" w:space="0" w:color="auto"/>
            </w:tcBorders>
          </w:tcPr>
          <w:p w:rsidR="00D80C39" w:rsidRDefault="00D80C39" w:rsidP="00DC6EA9">
            <w:pPr>
              <w:jc w:val="center"/>
              <w:rPr>
                <w:rFonts w:ascii="Times New Roman" w:hAnsi="Times New Roman" w:cs="Times New Roman"/>
              </w:rPr>
            </w:pPr>
            <w:r>
              <w:rPr>
                <w:rFonts w:ascii="Times New Roman" w:hAnsi="Times New Roman" w:cs="Times New Roman"/>
              </w:rPr>
              <w:t>13 (.43)</w:t>
            </w:r>
          </w:p>
        </w:tc>
        <w:tc>
          <w:tcPr>
            <w:tcW w:w="1620" w:type="dxa"/>
            <w:tcBorders>
              <w:left w:val="dotted" w:sz="4" w:space="0" w:color="auto"/>
              <w:bottom w:val="single" w:sz="4" w:space="0" w:color="auto"/>
            </w:tcBorders>
          </w:tcPr>
          <w:p w:rsidR="00D80C39" w:rsidRDefault="00D80C39" w:rsidP="00DC6EA9">
            <w:pPr>
              <w:jc w:val="center"/>
              <w:rPr>
                <w:rFonts w:ascii="Times New Roman" w:hAnsi="Times New Roman" w:cs="Times New Roman"/>
              </w:rPr>
            </w:pPr>
            <w:r>
              <w:rPr>
                <w:rFonts w:ascii="Times New Roman" w:hAnsi="Times New Roman" w:cs="Times New Roman"/>
              </w:rPr>
              <w:t>10 (.58)</w:t>
            </w:r>
          </w:p>
        </w:tc>
        <w:tc>
          <w:tcPr>
            <w:tcW w:w="1336" w:type="dxa"/>
            <w:tcBorders>
              <w:bottom w:val="single" w:sz="4" w:space="0" w:color="auto"/>
            </w:tcBorders>
          </w:tcPr>
          <w:p w:rsidR="00D80C39" w:rsidRDefault="00D80C39" w:rsidP="00DC6EA9">
            <w:pPr>
              <w:jc w:val="center"/>
              <w:rPr>
                <w:rFonts w:ascii="Times New Roman" w:hAnsi="Times New Roman" w:cs="Times New Roman"/>
              </w:rPr>
            </w:pPr>
            <w:r>
              <w:rPr>
                <w:rFonts w:ascii="Times New Roman" w:hAnsi="Times New Roman" w:cs="Times New Roman"/>
              </w:rPr>
              <w:t>10 (.62)</w:t>
            </w:r>
          </w:p>
        </w:tc>
      </w:tr>
    </w:tbl>
    <w:p w:rsidR="00D80C39" w:rsidRDefault="00D80C39">
      <w:pPr>
        <w:rPr>
          <w:rFonts w:ascii="Times New Roman" w:hAnsi="Times New Roman" w:cs="Times New Roman"/>
        </w:rPr>
      </w:pPr>
      <w:r>
        <w:rPr>
          <w:rFonts w:ascii="Times New Roman" w:hAnsi="Times New Roman" w:cs="Times New Roman"/>
          <w:i/>
        </w:rPr>
        <w:t>Note</w:t>
      </w:r>
      <w:r>
        <w:rPr>
          <w:rFonts w:ascii="Times New Roman" w:hAnsi="Times New Roman" w:cs="Times New Roman"/>
        </w:rPr>
        <w:t>. Experimental (</w:t>
      </w:r>
      <w:r>
        <w:rPr>
          <w:rFonts w:ascii="Times New Roman" w:hAnsi="Times New Roman" w:cs="Times New Roman"/>
          <w:i/>
        </w:rPr>
        <w:t xml:space="preserve">n </w:t>
      </w:r>
      <w:r>
        <w:rPr>
          <w:rFonts w:ascii="Times New Roman" w:hAnsi="Times New Roman" w:cs="Times New Roman"/>
        </w:rPr>
        <w:t>= 28) and Control (</w:t>
      </w:r>
      <w:r>
        <w:rPr>
          <w:rFonts w:ascii="Times New Roman" w:hAnsi="Times New Roman" w:cs="Times New Roman"/>
          <w:i/>
        </w:rPr>
        <w:t xml:space="preserve">n </w:t>
      </w:r>
      <w:r>
        <w:rPr>
          <w:rFonts w:ascii="Times New Roman" w:hAnsi="Times New Roman" w:cs="Times New Roman"/>
        </w:rPr>
        <w:t>= 21). Inside parentheses are correlations between the two within-subjects measures (i.e., raw RTs on grammatical and ungrammatical items).</w:t>
      </w:r>
    </w:p>
    <w:p w:rsidR="00D80C39" w:rsidRDefault="00D80C39">
      <w:pPr>
        <w:rPr>
          <w:rFonts w:ascii="Times New Roman" w:hAnsi="Times New Roman" w:cs="Times New Roman"/>
        </w:rPr>
      </w:pPr>
      <w:r>
        <w:rPr>
          <w:rFonts w:ascii="Times New Roman" w:hAnsi="Times New Roman" w:cs="Times New Roman"/>
        </w:rPr>
        <w:br w:type="page"/>
      </w:r>
    </w:p>
    <w:p w:rsidR="00D80C39" w:rsidRDefault="00D80C39">
      <w:pPr>
        <w:rPr>
          <w:rFonts w:ascii="Times New Roman" w:hAnsi="Times New Roman" w:cs="Times New Roman"/>
        </w:rPr>
      </w:pPr>
    </w:p>
    <w:p w:rsidR="006A6162" w:rsidRDefault="006A6162" w:rsidP="006A6162">
      <w:pPr>
        <w:spacing w:line="480" w:lineRule="auto"/>
        <w:jc w:val="center"/>
        <w:rPr>
          <w:rFonts w:ascii="Times New Roman" w:hAnsi="Times New Roman" w:cs="Times New Roman"/>
          <w:b/>
        </w:rPr>
      </w:pPr>
      <w:r>
        <w:rPr>
          <w:rFonts w:ascii="Times New Roman" w:hAnsi="Times New Roman" w:cs="Times New Roman"/>
          <w:b/>
        </w:rPr>
        <w:t>References</w:t>
      </w:r>
    </w:p>
    <w:p w:rsidR="006A6162" w:rsidRDefault="006A6162" w:rsidP="006A6162">
      <w:pPr>
        <w:spacing w:line="480" w:lineRule="auto"/>
        <w:rPr>
          <w:rFonts w:ascii="Times New Roman" w:hAnsi="Times New Roman" w:cs="Times New Roman"/>
        </w:rPr>
      </w:pPr>
      <w:r w:rsidRPr="006A6162">
        <w:rPr>
          <w:rFonts w:ascii="Times New Roman" w:hAnsi="Times New Roman" w:cs="Times New Roman"/>
        </w:rPr>
        <w:t xml:space="preserve">Faul, F., Erdfelder, E., Lang, A.-G., &amp; Buchner, A. (2007). G*Power 3: A flexible statistical </w:t>
      </w:r>
    </w:p>
    <w:p w:rsidR="006A6162" w:rsidRDefault="006A6162" w:rsidP="006A6162">
      <w:pPr>
        <w:spacing w:line="480" w:lineRule="auto"/>
        <w:ind w:left="720"/>
        <w:rPr>
          <w:rFonts w:ascii="Times New Roman" w:hAnsi="Times New Roman" w:cs="Times New Roman"/>
        </w:rPr>
      </w:pPr>
      <w:r w:rsidRPr="006A6162">
        <w:rPr>
          <w:rFonts w:ascii="Times New Roman" w:hAnsi="Times New Roman" w:cs="Times New Roman"/>
        </w:rPr>
        <w:t xml:space="preserve">power analysis program for the social, behavioral, and biomedical sciences. </w:t>
      </w:r>
      <w:r w:rsidRPr="006A6162">
        <w:rPr>
          <w:rFonts w:ascii="Times New Roman" w:hAnsi="Times New Roman" w:cs="Times New Roman"/>
          <w:i/>
        </w:rPr>
        <w:t>Behavior Research Methods</w:t>
      </w:r>
      <w:r w:rsidRPr="006A6162">
        <w:rPr>
          <w:rFonts w:ascii="Times New Roman" w:hAnsi="Times New Roman" w:cs="Times New Roman"/>
        </w:rPr>
        <w:t xml:space="preserve">, </w:t>
      </w:r>
      <w:r w:rsidRPr="006A6162">
        <w:rPr>
          <w:rFonts w:ascii="Times New Roman" w:hAnsi="Times New Roman" w:cs="Times New Roman"/>
          <w:i/>
        </w:rPr>
        <w:t>39</w:t>
      </w:r>
      <w:r w:rsidRPr="006A6162">
        <w:rPr>
          <w:rFonts w:ascii="Times New Roman" w:hAnsi="Times New Roman" w:cs="Times New Roman"/>
        </w:rPr>
        <w:t>, 175</w:t>
      </w:r>
      <w:r w:rsidR="007A2287" w:rsidRPr="006A6162">
        <w:rPr>
          <w:rFonts w:ascii="Times New Roman" w:hAnsi="Times New Roman" w:cs="Times New Roman"/>
        </w:rPr>
        <w:t>–</w:t>
      </w:r>
      <w:bookmarkStart w:id="0" w:name="_GoBack"/>
      <w:bookmarkEnd w:id="0"/>
      <w:r w:rsidRPr="006A6162">
        <w:rPr>
          <w:rFonts w:ascii="Times New Roman" w:hAnsi="Times New Roman" w:cs="Times New Roman"/>
        </w:rPr>
        <w:t>191</w:t>
      </w:r>
      <w:r>
        <w:rPr>
          <w:rFonts w:ascii="Times New Roman" w:hAnsi="Times New Roman" w:cs="Times New Roman"/>
        </w:rPr>
        <w:t>.</w:t>
      </w:r>
    </w:p>
    <w:p w:rsidR="00A15B37" w:rsidRDefault="00A15B37" w:rsidP="00A15B37">
      <w:pPr>
        <w:spacing w:line="480" w:lineRule="auto"/>
        <w:rPr>
          <w:rFonts w:ascii="Times New Roman" w:hAnsi="Times New Roman" w:cs="Times New Roman"/>
        </w:rPr>
      </w:pPr>
      <w:r w:rsidRPr="00A15B37">
        <w:rPr>
          <w:rFonts w:ascii="Times New Roman" w:hAnsi="Times New Roman" w:cs="Times New Roman"/>
        </w:rPr>
        <w:t xml:space="preserve">Godfroid, A. (2016). The effects of implicit instruction on implicit and explicit knowledge </w:t>
      </w:r>
    </w:p>
    <w:p w:rsidR="00A15B37" w:rsidRDefault="00A15B37" w:rsidP="00A15B37">
      <w:pPr>
        <w:spacing w:line="480" w:lineRule="auto"/>
        <w:ind w:firstLine="720"/>
        <w:rPr>
          <w:rFonts w:ascii="Times New Roman" w:hAnsi="Times New Roman" w:cs="Times New Roman"/>
        </w:rPr>
      </w:pPr>
      <w:r w:rsidRPr="00A15B37">
        <w:rPr>
          <w:rFonts w:ascii="Times New Roman" w:hAnsi="Times New Roman" w:cs="Times New Roman"/>
        </w:rPr>
        <w:t xml:space="preserve">development. </w:t>
      </w:r>
      <w:r w:rsidRPr="00A15B37">
        <w:rPr>
          <w:rFonts w:ascii="Times New Roman" w:hAnsi="Times New Roman" w:cs="Times New Roman"/>
          <w:i/>
          <w:iCs/>
        </w:rPr>
        <w:t>Studies in Second Language Acquisition</w:t>
      </w:r>
      <w:r w:rsidRPr="00A15B37">
        <w:rPr>
          <w:rFonts w:ascii="Times New Roman" w:hAnsi="Times New Roman" w:cs="Times New Roman"/>
        </w:rPr>
        <w:t xml:space="preserve">, </w:t>
      </w:r>
      <w:r w:rsidRPr="00A15B37">
        <w:rPr>
          <w:rFonts w:ascii="Times New Roman" w:hAnsi="Times New Roman" w:cs="Times New Roman"/>
          <w:i/>
          <w:iCs/>
        </w:rPr>
        <w:t>38</w:t>
      </w:r>
      <w:r w:rsidRPr="00A15B37">
        <w:rPr>
          <w:rFonts w:ascii="Times New Roman" w:hAnsi="Times New Roman" w:cs="Times New Roman"/>
        </w:rPr>
        <w:t>(2), 177</w:t>
      </w:r>
      <w:r w:rsidR="007A2287" w:rsidRPr="006A6162">
        <w:rPr>
          <w:rFonts w:ascii="Times New Roman" w:hAnsi="Times New Roman" w:cs="Times New Roman"/>
        </w:rPr>
        <w:t>–</w:t>
      </w:r>
      <w:r w:rsidRPr="00A15B37">
        <w:rPr>
          <w:rFonts w:ascii="Times New Roman" w:hAnsi="Times New Roman" w:cs="Times New Roman"/>
        </w:rPr>
        <w:t>215.</w:t>
      </w:r>
    </w:p>
    <w:p w:rsidR="006A6162" w:rsidRDefault="006A6162" w:rsidP="006A6162">
      <w:pPr>
        <w:spacing w:line="480" w:lineRule="auto"/>
        <w:rPr>
          <w:rFonts w:ascii="Times New Roman" w:hAnsi="Times New Roman" w:cs="Times New Roman"/>
          <w:i/>
        </w:rPr>
      </w:pPr>
      <w:r>
        <w:rPr>
          <w:rFonts w:ascii="Times New Roman" w:hAnsi="Times New Roman" w:cs="Times New Roman"/>
        </w:rPr>
        <w:t xml:space="preserve">Hamrick, P. (2013). </w:t>
      </w:r>
      <w:r w:rsidRPr="006A6162">
        <w:rPr>
          <w:rFonts w:ascii="Times New Roman" w:hAnsi="Times New Roman" w:cs="Times New Roman"/>
          <w:i/>
        </w:rPr>
        <w:t xml:space="preserve">Development of conscious knowledge during early incidental learning of L2 </w:t>
      </w:r>
    </w:p>
    <w:p w:rsidR="006A6162" w:rsidRDefault="006A6162" w:rsidP="006A6162">
      <w:pPr>
        <w:spacing w:line="480" w:lineRule="auto"/>
        <w:ind w:firstLine="720"/>
        <w:rPr>
          <w:rFonts w:ascii="Times New Roman" w:hAnsi="Times New Roman" w:cs="Times New Roman"/>
        </w:rPr>
      </w:pPr>
      <w:r w:rsidRPr="006A6162">
        <w:rPr>
          <w:rFonts w:ascii="Times New Roman" w:hAnsi="Times New Roman" w:cs="Times New Roman"/>
          <w:i/>
        </w:rPr>
        <w:t>syntax</w:t>
      </w:r>
      <w:r>
        <w:rPr>
          <w:rFonts w:ascii="Times New Roman" w:hAnsi="Times New Roman" w:cs="Times New Roman"/>
        </w:rPr>
        <w:t xml:space="preserve">. </w:t>
      </w:r>
      <w:r w:rsidRPr="006A6162">
        <w:rPr>
          <w:rFonts w:ascii="Times New Roman" w:hAnsi="Times New Roman" w:cs="Times New Roman"/>
        </w:rPr>
        <w:t xml:space="preserve">Unpublished Ph.D. Dissertation. </w:t>
      </w:r>
      <w:r>
        <w:rPr>
          <w:rFonts w:ascii="Times New Roman" w:hAnsi="Times New Roman" w:cs="Times New Roman"/>
        </w:rPr>
        <w:t>Georgetown University</w:t>
      </w:r>
      <w:r w:rsidRPr="006A6162">
        <w:rPr>
          <w:rFonts w:ascii="Times New Roman" w:hAnsi="Times New Roman" w:cs="Times New Roman"/>
        </w:rPr>
        <w:t xml:space="preserve">, </w:t>
      </w:r>
      <w:r>
        <w:rPr>
          <w:rFonts w:ascii="Times New Roman" w:hAnsi="Times New Roman" w:cs="Times New Roman"/>
        </w:rPr>
        <w:t>Washington, D.C.</w:t>
      </w:r>
    </w:p>
    <w:p w:rsidR="006A6162" w:rsidRDefault="006A6162" w:rsidP="006A6162">
      <w:pPr>
        <w:spacing w:line="480" w:lineRule="auto"/>
        <w:rPr>
          <w:rFonts w:ascii="Times New Roman" w:hAnsi="Times New Roman" w:cs="Times New Roman"/>
          <w:i/>
        </w:rPr>
      </w:pPr>
      <w:r>
        <w:rPr>
          <w:rFonts w:ascii="Times New Roman" w:hAnsi="Times New Roman" w:cs="Times New Roman"/>
        </w:rPr>
        <w:t xml:space="preserve">Hamrick, P. (2014). Recognition memory for novel syntactic structures. </w:t>
      </w:r>
      <w:r>
        <w:rPr>
          <w:rFonts w:ascii="Times New Roman" w:hAnsi="Times New Roman" w:cs="Times New Roman"/>
          <w:i/>
        </w:rPr>
        <w:t xml:space="preserve">Canadian Journal of </w:t>
      </w:r>
    </w:p>
    <w:p w:rsidR="006A6162" w:rsidRDefault="006A6162" w:rsidP="006A6162">
      <w:pPr>
        <w:spacing w:line="480" w:lineRule="auto"/>
        <w:ind w:firstLine="720"/>
        <w:rPr>
          <w:rFonts w:ascii="Times New Roman" w:hAnsi="Times New Roman" w:cs="Times New Roman"/>
        </w:rPr>
      </w:pPr>
      <w:r>
        <w:rPr>
          <w:rFonts w:ascii="Times New Roman" w:hAnsi="Times New Roman" w:cs="Times New Roman"/>
          <w:i/>
        </w:rPr>
        <w:t>Experimental Psychology</w:t>
      </w:r>
      <w:r>
        <w:rPr>
          <w:rFonts w:ascii="Times New Roman" w:hAnsi="Times New Roman" w:cs="Times New Roman"/>
        </w:rPr>
        <w:t xml:space="preserve">, </w:t>
      </w:r>
      <w:r>
        <w:rPr>
          <w:rFonts w:ascii="Times New Roman" w:hAnsi="Times New Roman" w:cs="Times New Roman"/>
          <w:i/>
        </w:rPr>
        <w:t>68</w:t>
      </w:r>
      <w:r>
        <w:rPr>
          <w:rFonts w:ascii="Times New Roman" w:hAnsi="Times New Roman" w:cs="Times New Roman"/>
        </w:rPr>
        <w:t>(1), 2</w:t>
      </w:r>
      <w:r w:rsidR="007A2287" w:rsidRPr="006A6162">
        <w:rPr>
          <w:rFonts w:ascii="Times New Roman" w:hAnsi="Times New Roman" w:cs="Times New Roman"/>
        </w:rPr>
        <w:t>–</w:t>
      </w:r>
      <w:r>
        <w:rPr>
          <w:rFonts w:ascii="Times New Roman" w:hAnsi="Times New Roman" w:cs="Times New Roman"/>
        </w:rPr>
        <w:t>7.</w:t>
      </w:r>
    </w:p>
    <w:p w:rsidR="006A6162" w:rsidRPr="006A6162" w:rsidRDefault="006A6162" w:rsidP="006A6162">
      <w:pPr>
        <w:spacing w:line="480" w:lineRule="auto"/>
        <w:rPr>
          <w:rFonts w:ascii="Times New Roman" w:hAnsi="Times New Roman" w:cs="Times New Roman"/>
        </w:rPr>
      </w:pPr>
      <w:r w:rsidRPr="006A6162">
        <w:rPr>
          <w:rFonts w:ascii="Times New Roman" w:hAnsi="Times New Roman" w:cs="Times New Roman"/>
        </w:rPr>
        <w:t>Leung, J. H., &amp; Williams, J. N. (2012). Constraints on implicit learning of grammatical form-</w:t>
      </w:r>
    </w:p>
    <w:p w:rsidR="006A6162" w:rsidRPr="006A6162" w:rsidRDefault="006A6162" w:rsidP="007A2287">
      <w:pPr>
        <w:spacing w:line="480" w:lineRule="auto"/>
        <w:ind w:firstLine="720"/>
        <w:rPr>
          <w:rFonts w:ascii="Times New Roman" w:hAnsi="Times New Roman" w:cs="Times New Roman"/>
        </w:rPr>
      </w:pPr>
      <w:r w:rsidRPr="006A6162">
        <w:rPr>
          <w:rFonts w:ascii="Times New Roman" w:hAnsi="Times New Roman" w:cs="Times New Roman"/>
        </w:rPr>
        <w:t xml:space="preserve">meaning connections. </w:t>
      </w:r>
      <w:r w:rsidRPr="006A6162">
        <w:rPr>
          <w:rFonts w:ascii="Times New Roman" w:hAnsi="Times New Roman" w:cs="Times New Roman"/>
          <w:i/>
        </w:rPr>
        <w:t>Language Learning</w:t>
      </w:r>
      <w:r w:rsidRPr="006A6162">
        <w:rPr>
          <w:rFonts w:ascii="Times New Roman" w:hAnsi="Times New Roman" w:cs="Times New Roman"/>
        </w:rPr>
        <w:t xml:space="preserve">, </w:t>
      </w:r>
      <w:r w:rsidRPr="006A6162">
        <w:rPr>
          <w:rFonts w:ascii="Times New Roman" w:hAnsi="Times New Roman" w:cs="Times New Roman"/>
          <w:i/>
        </w:rPr>
        <w:t>62</w:t>
      </w:r>
      <w:r w:rsidRPr="006A6162">
        <w:rPr>
          <w:rFonts w:ascii="Times New Roman" w:hAnsi="Times New Roman" w:cs="Times New Roman"/>
        </w:rPr>
        <w:t>(2), 634–662.</w:t>
      </w:r>
    </w:p>
    <w:sectPr w:rsidR="006A6162" w:rsidRPr="006A6162" w:rsidSect="00F64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AE4"/>
    <w:rsid w:val="0000600E"/>
    <w:rsid w:val="00030C82"/>
    <w:rsid w:val="00064EA4"/>
    <w:rsid w:val="00071B9A"/>
    <w:rsid w:val="000A3FAD"/>
    <w:rsid w:val="00166EBB"/>
    <w:rsid w:val="00187E22"/>
    <w:rsid w:val="00192395"/>
    <w:rsid w:val="001A66EB"/>
    <w:rsid w:val="001A6C54"/>
    <w:rsid w:val="001F71D7"/>
    <w:rsid w:val="0020032C"/>
    <w:rsid w:val="00332357"/>
    <w:rsid w:val="0037589F"/>
    <w:rsid w:val="00386C9F"/>
    <w:rsid w:val="00396937"/>
    <w:rsid w:val="003E2576"/>
    <w:rsid w:val="003E7457"/>
    <w:rsid w:val="003F513A"/>
    <w:rsid w:val="00414AE4"/>
    <w:rsid w:val="00426A5C"/>
    <w:rsid w:val="00456988"/>
    <w:rsid w:val="00482A20"/>
    <w:rsid w:val="00572110"/>
    <w:rsid w:val="00576521"/>
    <w:rsid w:val="005A04DE"/>
    <w:rsid w:val="0060225A"/>
    <w:rsid w:val="00612C39"/>
    <w:rsid w:val="006A6162"/>
    <w:rsid w:val="006C5F54"/>
    <w:rsid w:val="006E329B"/>
    <w:rsid w:val="00774AF5"/>
    <w:rsid w:val="00780C28"/>
    <w:rsid w:val="007A2287"/>
    <w:rsid w:val="008C2231"/>
    <w:rsid w:val="00967A7C"/>
    <w:rsid w:val="009A1F59"/>
    <w:rsid w:val="009E64AE"/>
    <w:rsid w:val="009F5970"/>
    <w:rsid w:val="00A15B37"/>
    <w:rsid w:val="00A35725"/>
    <w:rsid w:val="00AA2ACA"/>
    <w:rsid w:val="00AC2442"/>
    <w:rsid w:val="00AD53BB"/>
    <w:rsid w:val="00B861E1"/>
    <w:rsid w:val="00C00006"/>
    <w:rsid w:val="00C35EAC"/>
    <w:rsid w:val="00C92DCE"/>
    <w:rsid w:val="00CB40CA"/>
    <w:rsid w:val="00CD48D0"/>
    <w:rsid w:val="00CE6CDC"/>
    <w:rsid w:val="00D046E6"/>
    <w:rsid w:val="00D415FC"/>
    <w:rsid w:val="00D7085D"/>
    <w:rsid w:val="00D80C39"/>
    <w:rsid w:val="00DA21C8"/>
    <w:rsid w:val="00DA2F13"/>
    <w:rsid w:val="00DB2998"/>
    <w:rsid w:val="00DD335F"/>
    <w:rsid w:val="00DD45AA"/>
    <w:rsid w:val="00E1295A"/>
    <w:rsid w:val="00E52110"/>
    <w:rsid w:val="00F34555"/>
    <w:rsid w:val="00F34F1C"/>
    <w:rsid w:val="00F55720"/>
    <w:rsid w:val="00F64B50"/>
    <w:rsid w:val="00FB5102"/>
    <w:rsid w:val="00FD0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5AD8EA3"/>
  <w15:chartTrackingRefBased/>
  <w15:docId w15:val="{730DD76D-A905-E54E-BD93-5FA2E0EB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589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589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50377">
      <w:bodyDiv w:val="1"/>
      <w:marLeft w:val="0"/>
      <w:marRight w:val="0"/>
      <w:marTop w:val="0"/>
      <w:marBottom w:val="0"/>
      <w:divBdr>
        <w:top w:val="none" w:sz="0" w:space="0" w:color="auto"/>
        <w:left w:val="none" w:sz="0" w:space="0" w:color="auto"/>
        <w:bottom w:val="none" w:sz="0" w:space="0" w:color="auto"/>
        <w:right w:val="none" w:sz="0" w:space="0" w:color="auto"/>
      </w:divBdr>
      <w:divsChild>
        <w:div w:id="626351137">
          <w:marLeft w:val="0"/>
          <w:marRight w:val="0"/>
          <w:marTop w:val="0"/>
          <w:marBottom w:val="0"/>
          <w:divBdr>
            <w:top w:val="none" w:sz="0" w:space="0" w:color="auto"/>
            <w:left w:val="none" w:sz="0" w:space="0" w:color="auto"/>
            <w:bottom w:val="none" w:sz="0" w:space="0" w:color="auto"/>
            <w:right w:val="none" w:sz="0" w:space="0" w:color="auto"/>
          </w:divBdr>
          <w:divsChild>
            <w:div w:id="696465316">
              <w:marLeft w:val="0"/>
              <w:marRight w:val="0"/>
              <w:marTop w:val="0"/>
              <w:marBottom w:val="0"/>
              <w:divBdr>
                <w:top w:val="none" w:sz="0" w:space="0" w:color="auto"/>
                <w:left w:val="none" w:sz="0" w:space="0" w:color="auto"/>
                <w:bottom w:val="none" w:sz="0" w:space="0" w:color="auto"/>
                <w:right w:val="none" w:sz="0" w:space="0" w:color="auto"/>
              </w:divBdr>
              <w:divsChild>
                <w:div w:id="13621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73837">
      <w:bodyDiv w:val="1"/>
      <w:marLeft w:val="0"/>
      <w:marRight w:val="0"/>
      <w:marTop w:val="0"/>
      <w:marBottom w:val="0"/>
      <w:divBdr>
        <w:top w:val="none" w:sz="0" w:space="0" w:color="auto"/>
        <w:left w:val="none" w:sz="0" w:space="0" w:color="auto"/>
        <w:bottom w:val="none" w:sz="0" w:space="0" w:color="auto"/>
        <w:right w:val="none" w:sz="0" w:space="0" w:color="auto"/>
      </w:divBdr>
      <w:divsChild>
        <w:div w:id="1449424011">
          <w:marLeft w:val="0"/>
          <w:marRight w:val="0"/>
          <w:marTop w:val="0"/>
          <w:marBottom w:val="0"/>
          <w:divBdr>
            <w:top w:val="none" w:sz="0" w:space="0" w:color="auto"/>
            <w:left w:val="none" w:sz="0" w:space="0" w:color="auto"/>
            <w:bottom w:val="none" w:sz="0" w:space="0" w:color="auto"/>
            <w:right w:val="none" w:sz="0" w:space="0" w:color="auto"/>
          </w:divBdr>
          <w:divsChild>
            <w:div w:id="2070689975">
              <w:marLeft w:val="0"/>
              <w:marRight w:val="0"/>
              <w:marTop w:val="0"/>
              <w:marBottom w:val="0"/>
              <w:divBdr>
                <w:top w:val="none" w:sz="0" w:space="0" w:color="auto"/>
                <w:left w:val="none" w:sz="0" w:space="0" w:color="auto"/>
                <w:bottom w:val="none" w:sz="0" w:space="0" w:color="auto"/>
                <w:right w:val="none" w:sz="0" w:space="0" w:color="auto"/>
              </w:divBdr>
              <w:divsChild>
                <w:div w:id="10422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155860">
      <w:bodyDiv w:val="1"/>
      <w:marLeft w:val="0"/>
      <w:marRight w:val="0"/>
      <w:marTop w:val="0"/>
      <w:marBottom w:val="0"/>
      <w:divBdr>
        <w:top w:val="none" w:sz="0" w:space="0" w:color="auto"/>
        <w:left w:val="none" w:sz="0" w:space="0" w:color="auto"/>
        <w:bottom w:val="none" w:sz="0" w:space="0" w:color="auto"/>
        <w:right w:val="none" w:sz="0" w:space="0" w:color="auto"/>
      </w:divBdr>
      <w:divsChild>
        <w:div w:id="922224228">
          <w:marLeft w:val="0"/>
          <w:marRight w:val="0"/>
          <w:marTop w:val="0"/>
          <w:marBottom w:val="0"/>
          <w:divBdr>
            <w:top w:val="none" w:sz="0" w:space="0" w:color="auto"/>
            <w:left w:val="none" w:sz="0" w:space="0" w:color="auto"/>
            <w:bottom w:val="none" w:sz="0" w:space="0" w:color="auto"/>
            <w:right w:val="none" w:sz="0" w:space="0" w:color="auto"/>
          </w:divBdr>
          <w:divsChild>
            <w:div w:id="1766607718">
              <w:marLeft w:val="0"/>
              <w:marRight w:val="0"/>
              <w:marTop w:val="0"/>
              <w:marBottom w:val="0"/>
              <w:divBdr>
                <w:top w:val="none" w:sz="0" w:space="0" w:color="auto"/>
                <w:left w:val="none" w:sz="0" w:space="0" w:color="auto"/>
                <w:bottom w:val="none" w:sz="0" w:space="0" w:color="auto"/>
                <w:right w:val="none" w:sz="0" w:space="0" w:color="auto"/>
              </w:divBdr>
              <w:divsChild>
                <w:div w:id="110719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16534">
      <w:bodyDiv w:val="1"/>
      <w:marLeft w:val="0"/>
      <w:marRight w:val="0"/>
      <w:marTop w:val="0"/>
      <w:marBottom w:val="0"/>
      <w:divBdr>
        <w:top w:val="none" w:sz="0" w:space="0" w:color="auto"/>
        <w:left w:val="none" w:sz="0" w:space="0" w:color="auto"/>
        <w:bottom w:val="none" w:sz="0" w:space="0" w:color="auto"/>
        <w:right w:val="none" w:sz="0" w:space="0" w:color="auto"/>
      </w:divBdr>
      <w:divsChild>
        <w:div w:id="512383040">
          <w:marLeft w:val="0"/>
          <w:marRight w:val="0"/>
          <w:marTop w:val="0"/>
          <w:marBottom w:val="0"/>
          <w:divBdr>
            <w:top w:val="none" w:sz="0" w:space="0" w:color="auto"/>
            <w:left w:val="none" w:sz="0" w:space="0" w:color="auto"/>
            <w:bottom w:val="none" w:sz="0" w:space="0" w:color="auto"/>
            <w:right w:val="none" w:sz="0" w:space="0" w:color="auto"/>
          </w:divBdr>
          <w:divsChild>
            <w:div w:id="514268536">
              <w:marLeft w:val="0"/>
              <w:marRight w:val="0"/>
              <w:marTop w:val="0"/>
              <w:marBottom w:val="0"/>
              <w:divBdr>
                <w:top w:val="none" w:sz="0" w:space="0" w:color="auto"/>
                <w:left w:val="none" w:sz="0" w:space="0" w:color="auto"/>
                <w:bottom w:val="none" w:sz="0" w:space="0" w:color="auto"/>
                <w:right w:val="none" w:sz="0" w:space="0" w:color="auto"/>
              </w:divBdr>
              <w:divsChild>
                <w:div w:id="88849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36471">
      <w:bodyDiv w:val="1"/>
      <w:marLeft w:val="0"/>
      <w:marRight w:val="0"/>
      <w:marTop w:val="0"/>
      <w:marBottom w:val="0"/>
      <w:divBdr>
        <w:top w:val="none" w:sz="0" w:space="0" w:color="auto"/>
        <w:left w:val="none" w:sz="0" w:space="0" w:color="auto"/>
        <w:bottom w:val="none" w:sz="0" w:space="0" w:color="auto"/>
        <w:right w:val="none" w:sz="0" w:space="0" w:color="auto"/>
      </w:divBdr>
      <w:divsChild>
        <w:div w:id="449281538">
          <w:marLeft w:val="0"/>
          <w:marRight w:val="0"/>
          <w:marTop w:val="0"/>
          <w:marBottom w:val="0"/>
          <w:divBdr>
            <w:top w:val="none" w:sz="0" w:space="0" w:color="auto"/>
            <w:left w:val="none" w:sz="0" w:space="0" w:color="auto"/>
            <w:bottom w:val="none" w:sz="0" w:space="0" w:color="auto"/>
            <w:right w:val="none" w:sz="0" w:space="0" w:color="auto"/>
          </w:divBdr>
          <w:divsChild>
            <w:div w:id="1752963975">
              <w:marLeft w:val="0"/>
              <w:marRight w:val="0"/>
              <w:marTop w:val="0"/>
              <w:marBottom w:val="0"/>
              <w:divBdr>
                <w:top w:val="none" w:sz="0" w:space="0" w:color="auto"/>
                <w:left w:val="none" w:sz="0" w:space="0" w:color="auto"/>
                <w:bottom w:val="none" w:sz="0" w:space="0" w:color="auto"/>
                <w:right w:val="none" w:sz="0" w:space="0" w:color="auto"/>
              </w:divBdr>
              <w:divsChild>
                <w:div w:id="112114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614695">
      <w:bodyDiv w:val="1"/>
      <w:marLeft w:val="0"/>
      <w:marRight w:val="0"/>
      <w:marTop w:val="0"/>
      <w:marBottom w:val="0"/>
      <w:divBdr>
        <w:top w:val="none" w:sz="0" w:space="0" w:color="auto"/>
        <w:left w:val="none" w:sz="0" w:space="0" w:color="auto"/>
        <w:bottom w:val="none" w:sz="0" w:space="0" w:color="auto"/>
        <w:right w:val="none" w:sz="0" w:space="0" w:color="auto"/>
      </w:divBdr>
      <w:divsChild>
        <w:div w:id="1554197616">
          <w:marLeft w:val="0"/>
          <w:marRight w:val="0"/>
          <w:marTop w:val="0"/>
          <w:marBottom w:val="0"/>
          <w:divBdr>
            <w:top w:val="none" w:sz="0" w:space="0" w:color="auto"/>
            <w:left w:val="none" w:sz="0" w:space="0" w:color="auto"/>
            <w:bottom w:val="none" w:sz="0" w:space="0" w:color="auto"/>
            <w:right w:val="none" w:sz="0" w:space="0" w:color="auto"/>
          </w:divBdr>
          <w:divsChild>
            <w:div w:id="1911504813">
              <w:marLeft w:val="0"/>
              <w:marRight w:val="0"/>
              <w:marTop w:val="0"/>
              <w:marBottom w:val="0"/>
              <w:divBdr>
                <w:top w:val="none" w:sz="0" w:space="0" w:color="auto"/>
                <w:left w:val="none" w:sz="0" w:space="0" w:color="auto"/>
                <w:bottom w:val="none" w:sz="0" w:space="0" w:color="auto"/>
                <w:right w:val="none" w:sz="0" w:space="0" w:color="auto"/>
              </w:divBdr>
              <w:divsChild>
                <w:div w:id="18458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6152">
      <w:bodyDiv w:val="1"/>
      <w:marLeft w:val="0"/>
      <w:marRight w:val="0"/>
      <w:marTop w:val="0"/>
      <w:marBottom w:val="0"/>
      <w:divBdr>
        <w:top w:val="none" w:sz="0" w:space="0" w:color="auto"/>
        <w:left w:val="none" w:sz="0" w:space="0" w:color="auto"/>
        <w:bottom w:val="none" w:sz="0" w:space="0" w:color="auto"/>
        <w:right w:val="none" w:sz="0" w:space="0" w:color="auto"/>
      </w:divBdr>
    </w:div>
    <w:div w:id="1829711100">
      <w:bodyDiv w:val="1"/>
      <w:marLeft w:val="0"/>
      <w:marRight w:val="0"/>
      <w:marTop w:val="0"/>
      <w:marBottom w:val="0"/>
      <w:divBdr>
        <w:top w:val="none" w:sz="0" w:space="0" w:color="auto"/>
        <w:left w:val="none" w:sz="0" w:space="0" w:color="auto"/>
        <w:bottom w:val="none" w:sz="0" w:space="0" w:color="auto"/>
        <w:right w:val="none" w:sz="0" w:space="0" w:color="auto"/>
      </w:divBdr>
      <w:divsChild>
        <w:div w:id="1372808432">
          <w:marLeft w:val="0"/>
          <w:marRight w:val="0"/>
          <w:marTop w:val="0"/>
          <w:marBottom w:val="0"/>
          <w:divBdr>
            <w:top w:val="none" w:sz="0" w:space="0" w:color="auto"/>
            <w:left w:val="none" w:sz="0" w:space="0" w:color="auto"/>
            <w:bottom w:val="none" w:sz="0" w:space="0" w:color="auto"/>
            <w:right w:val="none" w:sz="0" w:space="0" w:color="auto"/>
          </w:divBdr>
          <w:divsChild>
            <w:div w:id="509413112">
              <w:marLeft w:val="0"/>
              <w:marRight w:val="0"/>
              <w:marTop w:val="0"/>
              <w:marBottom w:val="0"/>
              <w:divBdr>
                <w:top w:val="none" w:sz="0" w:space="0" w:color="auto"/>
                <w:left w:val="none" w:sz="0" w:space="0" w:color="auto"/>
                <w:bottom w:val="none" w:sz="0" w:space="0" w:color="auto"/>
                <w:right w:val="none" w:sz="0" w:space="0" w:color="auto"/>
              </w:divBdr>
              <w:divsChild>
                <w:div w:id="171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07464">
      <w:bodyDiv w:val="1"/>
      <w:marLeft w:val="0"/>
      <w:marRight w:val="0"/>
      <w:marTop w:val="0"/>
      <w:marBottom w:val="0"/>
      <w:divBdr>
        <w:top w:val="none" w:sz="0" w:space="0" w:color="auto"/>
        <w:left w:val="none" w:sz="0" w:space="0" w:color="auto"/>
        <w:bottom w:val="none" w:sz="0" w:space="0" w:color="auto"/>
        <w:right w:val="none" w:sz="0" w:space="0" w:color="auto"/>
      </w:divBdr>
      <w:divsChild>
        <w:div w:id="1970738641">
          <w:marLeft w:val="0"/>
          <w:marRight w:val="0"/>
          <w:marTop w:val="0"/>
          <w:marBottom w:val="0"/>
          <w:divBdr>
            <w:top w:val="none" w:sz="0" w:space="0" w:color="auto"/>
            <w:left w:val="none" w:sz="0" w:space="0" w:color="auto"/>
            <w:bottom w:val="none" w:sz="0" w:space="0" w:color="auto"/>
            <w:right w:val="none" w:sz="0" w:space="0" w:color="auto"/>
          </w:divBdr>
          <w:divsChild>
            <w:div w:id="494759233">
              <w:marLeft w:val="0"/>
              <w:marRight w:val="0"/>
              <w:marTop w:val="0"/>
              <w:marBottom w:val="0"/>
              <w:divBdr>
                <w:top w:val="none" w:sz="0" w:space="0" w:color="auto"/>
                <w:left w:val="none" w:sz="0" w:space="0" w:color="auto"/>
                <w:bottom w:val="none" w:sz="0" w:space="0" w:color="auto"/>
                <w:right w:val="none" w:sz="0" w:space="0" w:color="auto"/>
              </w:divBdr>
              <w:divsChild>
                <w:div w:id="6349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56025">
      <w:bodyDiv w:val="1"/>
      <w:marLeft w:val="0"/>
      <w:marRight w:val="0"/>
      <w:marTop w:val="0"/>
      <w:marBottom w:val="0"/>
      <w:divBdr>
        <w:top w:val="none" w:sz="0" w:space="0" w:color="auto"/>
        <w:left w:val="none" w:sz="0" w:space="0" w:color="auto"/>
        <w:bottom w:val="none" w:sz="0" w:space="0" w:color="auto"/>
        <w:right w:val="none" w:sz="0" w:space="0" w:color="auto"/>
      </w:divBdr>
      <w:divsChild>
        <w:div w:id="715932106">
          <w:marLeft w:val="0"/>
          <w:marRight w:val="0"/>
          <w:marTop w:val="0"/>
          <w:marBottom w:val="0"/>
          <w:divBdr>
            <w:top w:val="none" w:sz="0" w:space="0" w:color="auto"/>
            <w:left w:val="none" w:sz="0" w:space="0" w:color="auto"/>
            <w:bottom w:val="none" w:sz="0" w:space="0" w:color="auto"/>
            <w:right w:val="none" w:sz="0" w:space="0" w:color="auto"/>
          </w:divBdr>
          <w:divsChild>
            <w:div w:id="1684821092">
              <w:marLeft w:val="0"/>
              <w:marRight w:val="0"/>
              <w:marTop w:val="0"/>
              <w:marBottom w:val="0"/>
              <w:divBdr>
                <w:top w:val="none" w:sz="0" w:space="0" w:color="auto"/>
                <w:left w:val="none" w:sz="0" w:space="0" w:color="auto"/>
                <w:bottom w:val="none" w:sz="0" w:space="0" w:color="auto"/>
                <w:right w:val="none" w:sz="0" w:space="0" w:color="auto"/>
              </w:divBdr>
              <w:divsChild>
                <w:div w:id="2981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52637">
      <w:bodyDiv w:val="1"/>
      <w:marLeft w:val="0"/>
      <w:marRight w:val="0"/>
      <w:marTop w:val="0"/>
      <w:marBottom w:val="0"/>
      <w:divBdr>
        <w:top w:val="none" w:sz="0" w:space="0" w:color="auto"/>
        <w:left w:val="none" w:sz="0" w:space="0" w:color="auto"/>
        <w:bottom w:val="none" w:sz="0" w:space="0" w:color="auto"/>
        <w:right w:val="none" w:sz="0" w:space="0" w:color="auto"/>
      </w:divBdr>
      <w:divsChild>
        <w:div w:id="865411144">
          <w:marLeft w:val="0"/>
          <w:marRight w:val="0"/>
          <w:marTop w:val="0"/>
          <w:marBottom w:val="0"/>
          <w:divBdr>
            <w:top w:val="none" w:sz="0" w:space="0" w:color="auto"/>
            <w:left w:val="none" w:sz="0" w:space="0" w:color="auto"/>
            <w:bottom w:val="none" w:sz="0" w:space="0" w:color="auto"/>
            <w:right w:val="none" w:sz="0" w:space="0" w:color="auto"/>
          </w:divBdr>
          <w:divsChild>
            <w:div w:id="802389786">
              <w:marLeft w:val="0"/>
              <w:marRight w:val="0"/>
              <w:marTop w:val="0"/>
              <w:marBottom w:val="0"/>
              <w:divBdr>
                <w:top w:val="none" w:sz="0" w:space="0" w:color="auto"/>
                <w:left w:val="none" w:sz="0" w:space="0" w:color="auto"/>
                <w:bottom w:val="none" w:sz="0" w:space="0" w:color="auto"/>
                <w:right w:val="none" w:sz="0" w:space="0" w:color="auto"/>
              </w:divBdr>
              <w:divsChild>
                <w:div w:id="9797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84546">
      <w:bodyDiv w:val="1"/>
      <w:marLeft w:val="0"/>
      <w:marRight w:val="0"/>
      <w:marTop w:val="0"/>
      <w:marBottom w:val="0"/>
      <w:divBdr>
        <w:top w:val="none" w:sz="0" w:space="0" w:color="auto"/>
        <w:left w:val="none" w:sz="0" w:space="0" w:color="auto"/>
        <w:bottom w:val="none" w:sz="0" w:space="0" w:color="auto"/>
        <w:right w:val="none" w:sz="0" w:space="0" w:color="auto"/>
      </w:divBdr>
      <w:divsChild>
        <w:div w:id="1847819262">
          <w:marLeft w:val="0"/>
          <w:marRight w:val="0"/>
          <w:marTop w:val="0"/>
          <w:marBottom w:val="0"/>
          <w:divBdr>
            <w:top w:val="none" w:sz="0" w:space="0" w:color="auto"/>
            <w:left w:val="none" w:sz="0" w:space="0" w:color="auto"/>
            <w:bottom w:val="none" w:sz="0" w:space="0" w:color="auto"/>
            <w:right w:val="none" w:sz="0" w:space="0" w:color="auto"/>
          </w:divBdr>
          <w:divsChild>
            <w:div w:id="239557227">
              <w:marLeft w:val="0"/>
              <w:marRight w:val="0"/>
              <w:marTop w:val="0"/>
              <w:marBottom w:val="0"/>
              <w:divBdr>
                <w:top w:val="none" w:sz="0" w:space="0" w:color="auto"/>
                <w:left w:val="none" w:sz="0" w:space="0" w:color="auto"/>
                <w:bottom w:val="none" w:sz="0" w:space="0" w:color="auto"/>
                <w:right w:val="none" w:sz="0" w:space="0" w:color="auto"/>
              </w:divBdr>
              <w:divsChild>
                <w:div w:id="19310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7</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 Maie</dc:creator>
  <cp:keywords/>
  <dc:description/>
  <cp:lastModifiedBy>Ryo Maie</cp:lastModifiedBy>
  <cp:revision>38</cp:revision>
  <cp:lastPrinted>2019-06-11T00:58:00Z</cp:lastPrinted>
  <dcterms:created xsi:type="dcterms:W3CDTF">2019-05-20T18:32:00Z</dcterms:created>
  <dcterms:modified xsi:type="dcterms:W3CDTF">2019-06-11T01:06:00Z</dcterms:modified>
</cp:coreProperties>
</file>