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F453" w14:textId="440EF2CE" w:rsidR="005E121D" w:rsidRPr="005E121D" w:rsidRDefault="005E121D" w:rsidP="005E121D">
      <w:pPr>
        <w:widowControl w:val="0"/>
        <w:spacing w:after="0" w:line="480" w:lineRule="auto"/>
        <w:ind w:left="709" w:hanging="720"/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DengXian" w:hAnsi="Times New Roman" w:cs="Times New Roman"/>
          <w:b/>
          <w:bCs/>
          <w:sz w:val="24"/>
          <w:szCs w:val="24"/>
          <w:lang w:eastAsia="en-US"/>
        </w:rPr>
        <w:t xml:space="preserve">Appendix A </w:t>
      </w:r>
      <w:r w:rsidRPr="005E121D">
        <w:rPr>
          <w:rFonts w:ascii="Times New Roman" w:eastAsia="DengXian" w:hAnsi="Times New Roman" w:cs="Times New Roman"/>
          <w:b/>
          <w:bCs/>
          <w:sz w:val="24"/>
          <w:szCs w:val="24"/>
          <w:lang w:eastAsia="en-US"/>
        </w:rPr>
        <w:t xml:space="preserve"> Studies</w:t>
      </w:r>
      <w:r w:rsidR="0080619B">
        <w:rPr>
          <w:rFonts w:ascii="Times New Roman" w:eastAsia="DengXian" w:hAnsi="Times New Roman" w:cs="Times New Roman"/>
          <w:b/>
          <w:bCs/>
          <w:sz w:val="24"/>
          <w:szCs w:val="24"/>
          <w:lang w:eastAsia="en-US"/>
        </w:rPr>
        <w:t xml:space="preserve"> Included in the Synthesis</w:t>
      </w:r>
    </w:p>
    <w:p w14:paraId="1CACE06F" w14:textId="34AF5643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Abrahamsson, N., &amp; Hyltenstam, K. (2008). The robustness of aptitude effects in near-native second language acquisition.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eastAsia="en-US"/>
        </w:rPr>
        <w:t xml:space="preserve">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Studies in Second Language Acquisition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eastAsia="en-US"/>
        </w:rPr>
        <w:t xml:space="preserve">,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30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, 481</w:t>
      </w:r>
      <w:r w:rsidR="0032045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509. </w:t>
      </w:r>
    </w:p>
    <w:p w14:paraId="2F2AB25B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Artieda, G., &amp; Muñoz, C. (2016). The LLAMA tests and the underlying structure of language </w:t>
      </w:r>
    </w:p>
    <w:p w14:paraId="14091119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aptitude at two levels of foreign language proficiency.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Learning and Individual </w:t>
      </w:r>
    </w:p>
    <w:p w14:paraId="3AE19CDC" w14:textId="78DDEC1C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Differences, 50,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42</w:t>
      </w:r>
      <w:r w:rsidR="0032045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8.</w:t>
      </w:r>
    </w:p>
    <w:p w14:paraId="6493746E" w14:textId="77777777" w:rsidR="00F22149" w:rsidRPr="005E121D" w:rsidRDefault="00F22149" w:rsidP="00F22149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Benson, S., &amp; DeKeyser, R. (2019). Effects of written corrective feedback and language </w:t>
      </w:r>
    </w:p>
    <w:p w14:paraId="07E693E1" w14:textId="28C4DA85" w:rsidR="00F22149" w:rsidRPr="005E121D" w:rsidRDefault="00F22149" w:rsidP="00F22149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aptitude on verb tense accuracy.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Teaching Research, 23,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702</w:t>
      </w:r>
      <w:r w:rsidR="00F27D9E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26.</w:t>
      </w:r>
    </w:p>
    <w:p w14:paraId="7C4B8746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Bokander, L., &amp; Bylund, E. (2020). Probing the internal validity of the LLAMA language </w:t>
      </w:r>
    </w:p>
    <w:p w14:paraId="78918316" w14:textId="4E94A014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aptitude tests.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Learning, 70,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11</w:t>
      </w:r>
      <w:r w:rsidR="00F27D9E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47.</w:t>
      </w:r>
    </w:p>
    <w:p w14:paraId="13839186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Bowles, A., Chang, C., &amp; Karuzis, V. (2016). Pitch ability as an aptitude for tone learning. </w:t>
      </w:r>
    </w:p>
    <w:p w14:paraId="39728D3F" w14:textId="15B7FF8C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Learning, 66,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774</w:t>
      </w:r>
      <w:r w:rsidR="00F27D9E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808.</w:t>
      </w:r>
    </w:p>
    <w:p w14:paraId="7AA1779F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Brooks, P., Kwoka, N., &amp; Kempe, V. (2016). Distributional effects and individual differences </w:t>
      </w:r>
    </w:p>
    <w:p w14:paraId="1F770D18" w14:textId="2C05B864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in L2 morphology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Learning, 67,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171</w:t>
      </w:r>
      <w:r w:rsidR="002077FC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207.</w:t>
      </w:r>
    </w:p>
    <w:p w14:paraId="353E0EC9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Buffington, J., Demos, A., &amp; Morgan-Short, K. (in press). The reliability and validity of </w:t>
      </w:r>
    </w:p>
    <w:p w14:paraId="28CA1049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procedural memory assessments in second language acquisition research.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 xml:space="preserve">Studies in </w:t>
      </w:r>
    </w:p>
    <w:p w14:paraId="6ADF7D22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>Second Language Acquisition.</w:t>
      </w:r>
    </w:p>
    <w:p w14:paraId="1AD07F89" w14:textId="77777777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Cox, J., Lynch, J., Mendes, N., &amp; Zhai, C. (2019). On bilingual aptitude for learning new languages: The roles of linguistic and nonlinguistic individual differences.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Language Learning, 69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, 478–514.</w:t>
      </w:r>
    </w:p>
    <w:p w14:paraId="4BB959C0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Curcic, M., Andringa, S., &amp; Kuiken, F. (2018). The role of awareness and cognitive aptitudes in </w:t>
      </w:r>
    </w:p>
    <w:p w14:paraId="20B4F052" w14:textId="173BC9A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L2 predictive language processing. Language Learning, 69, 42</w:t>
      </w:r>
      <w:r w:rsidR="0058288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71.</w:t>
      </w:r>
    </w:p>
    <w:p w14:paraId="58743DE6" w14:textId="372FC182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Dahlen, K., Caldwell-Harris, C. (2013). Rehearsal and aptitude in foreign vocabulary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lastRenderedPageBreak/>
        <w:t>Modern Language Journal, 97,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902</w:t>
      </w:r>
      <w:r w:rsidR="00D70AF6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16.</w:t>
      </w:r>
    </w:p>
    <w:p w14:paraId="7E777EA9" w14:textId="5681D231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DeKeyser, R. M. (2000). The robustness of critical period effects in second language acquisition.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Studies in second language acquisition, 22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(4), 499</w:t>
      </w:r>
      <w:r w:rsidR="00D70AF6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533. </w:t>
      </w:r>
    </w:p>
    <w:p w14:paraId="38EA9D3C" w14:textId="6611ADB5" w:rsidR="00B52267" w:rsidRDefault="00B52267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B52267">
        <w:rPr>
          <w:rFonts w:ascii="Times New Roman" w:eastAsia="DengXian" w:hAnsi="Times New Roman" w:cs="Times New Roman"/>
          <w:sz w:val="24"/>
          <w:szCs w:val="24"/>
          <w:lang w:val="en-NZ" w:eastAsia="en-US" w:bidi="en-US"/>
        </w:rPr>
        <w:t xml:space="preserve">Doughty, C. (2019). Cognitive language aptitude. </w:t>
      </w:r>
      <w:r w:rsidRPr="00B52267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 w:bidi="en-US"/>
        </w:rPr>
        <w:t>Language Learning, 69,</w:t>
      </w:r>
      <w:r w:rsidRPr="00B52267">
        <w:rPr>
          <w:rFonts w:ascii="Times New Roman" w:eastAsia="DengXian" w:hAnsi="Times New Roman" w:cs="Times New Roman"/>
          <w:sz w:val="24"/>
          <w:szCs w:val="24"/>
          <w:lang w:val="en-NZ" w:eastAsia="en-US" w:bidi="en-US"/>
        </w:rPr>
        <w:t xml:space="preserve"> 101</w:t>
      </w:r>
      <w:r w:rsidR="00D70AF6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B52267">
        <w:rPr>
          <w:rFonts w:ascii="Times New Roman" w:eastAsia="DengXian" w:hAnsi="Times New Roman" w:cs="Times New Roman"/>
          <w:sz w:val="24"/>
          <w:szCs w:val="24"/>
          <w:lang w:val="en-NZ" w:eastAsia="en-US" w:bidi="en-US"/>
        </w:rPr>
        <w:t>26.</w:t>
      </w:r>
    </w:p>
    <w:p w14:paraId="49431EFE" w14:textId="30D6223B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Erlam, R. (2005). Language aptitude and its relationship to instructional effectiveness in second language acquisition.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val="en-NZ" w:eastAsia="en-US"/>
        </w:rPr>
        <w:t xml:space="preserve">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Language Teaching Research, 9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(2), 147</w:t>
      </w:r>
      <w:r w:rsidR="00D70AF6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71.</w:t>
      </w:r>
    </w:p>
    <w:p w14:paraId="2F08CB05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GB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GB"/>
        </w:rPr>
        <w:t xml:space="preserve">Faretta-Stutenberg, M., &amp; Morgan-Short, K. (2018). The interplay of individual differences and </w:t>
      </w:r>
    </w:p>
    <w:p w14:paraId="7F6142FF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GB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GB"/>
        </w:rPr>
        <w:t xml:space="preserve">context of learning in behavioural and neurocognitive second language development. </w:t>
      </w:r>
    </w:p>
    <w:p w14:paraId="51543C14" w14:textId="57378351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GB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GB"/>
        </w:rPr>
        <w:t>Second Language Research, 34,</w:t>
      </w:r>
      <w:r w:rsidRPr="005E121D">
        <w:rPr>
          <w:rFonts w:ascii="Times New Roman" w:eastAsia="DengXian" w:hAnsi="Times New Roman" w:cs="Times New Roman"/>
          <w:sz w:val="24"/>
          <w:szCs w:val="24"/>
          <w:lang w:val="en-GB"/>
        </w:rPr>
        <w:t xml:space="preserve"> 67</w:t>
      </w:r>
      <w:r w:rsidR="00F036FD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GB"/>
        </w:rPr>
        <w:t>101.</w:t>
      </w:r>
    </w:p>
    <w:p w14:paraId="2791A675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Godfroid, A., &amp; Kim, K. (in press). On the contributions of implicit-statistical learning aptitude </w:t>
      </w:r>
    </w:p>
    <w:p w14:paraId="19AB8C28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to implicit grammatical knowledge.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>Studies in Second Language Acquisition.</w:t>
      </w:r>
    </w:p>
    <w:p w14:paraId="652C901A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Granena, G. (2013).  Individual differences in sequence learning ability and second language </w:t>
      </w:r>
    </w:p>
    <w:p w14:paraId="79A130C6" w14:textId="12FA9E1C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acquisition in early childhood and adulthood. 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/>
        </w:rPr>
        <w:t>Language Learning, 63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, 665</w:t>
      </w:r>
      <w:r w:rsidR="00F036FD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704.</w:t>
      </w:r>
    </w:p>
    <w:p w14:paraId="37D91B62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Granena, G. (2015). Cognitive aptitudes for implicit and explicit learning and information-</w:t>
      </w:r>
    </w:p>
    <w:p w14:paraId="1EFC5765" w14:textId="458724E0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processing styles: An individual differences study.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>Applied Psycholinguistics, 37,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 577</w:t>
      </w:r>
      <w:r w:rsidR="00F036FD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</w:p>
    <w:p w14:paraId="51B17A88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600.</w:t>
      </w:r>
    </w:p>
    <w:p w14:paraId="20B6A021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Granena, G. (2019). Cognitive aptitudes and L2 speaking proficiency.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 xml:space="preserve">Studies in Second </w:t>
      </w:r>
    </w:p>
    <w:p w14:paraId="1929DAF9" w14:textId="044C4302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>Language Acquisition, 41,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 313</w:t>
      </w:r>
      <w:r w:rsidR="008F128D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36.</w:t>
      </w:r>
    </w:p>
    <w:p w14:paraId="75C232C8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iCs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Granena, G., &amp; Long, M. H. (2013). 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val="en-NZ"/>
        </w:rPr>
        <w:t xml:space="preserve">Age of onset, length of residence, language aptitude, and </w:t>
      </w:r>
    </w:p>
    <w:p w14:paraId="362328EE" w14:textId="02A50B4B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iCs/>
          <w:sz w:val="24"/>
          <w:szCs w:val="24"/>
          <w:lang w:val="en-NZ"/>
        </w:rPr>
        <w:t>ultimate L2 attainment in three linguistic domains.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/>
        </w:rPr>
        <w:t>Second Language Research, 29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: </w:t>
      </w:r>
    </w:p>
    <w:p w14:paraId="7DE5F91D" w14:textId="074D75C1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311</w:t>
      </w:r>
      <w:r w:rsidR="008F128D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43.</w:t>
      </w:r>
    </w:p>
    <w:p w14:paraId="7A92D8C0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Hamrick, P. (2015). Declarative and procedural memory abilities as individual differences in </w:t>
      </w:r>
    </w:p>
    <w:p w14:paraId="6E922A78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incidental language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Learning and Individual Differences, 44,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9–15.</w:t>
      </w:r>
    </w:p>
    <w:p w14:paraId="78742D02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lastRenderedPageBreak/>
        <w:t xml:space="preserve">Hodel, A., Markant, J., Van Den Heuvel, S., Cirilli-Raether, J., &amp; Thomas, K. (2014). </w:t>
      </w:r>
    </w:p>
    <w:p w14:paraId="1BEFA9D4" w14:textId="77777777" w:rsidR="005E121D" w:rsidRPr="005E121D" w:rsidRDefault="005E121D" w:rsidP="005E121D">
      <w:pPr>
        <w:spacing w:after="0" w:line="480" w:lineRule="auto"/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Developmental differences in effects of task pacing on implicit sequence learning. </w:t>
      </w:r>
    </w:p>
    <w:p w14:paraId="5452E67B" w14:textId="756AD5AB" w:rsidR="005E121D" w:rsidRPr="005E121D" w:rsidRDefault="005E121D" w:rsidP="005E121D">
      <w:pPr>
        <w:spacing w:after="0" w:line="480" w:lineRule="auto"/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Frontiers in Psychology,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1</w:t>
      </w:r>
      <w:r w:rsidR="001F725C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10.</w:t>
      </w:r>
    </w:p>
    <w:p w14:paraId="0B60ECEE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Hu, X., Ackermann, H., Kartin, J., Erb, M., Winkler, S., &amp; Reiterer, S. (2013). 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Language </w:t>
      </w:r>
    </w:p>
    <w:p w14:paraId="206E1DAF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aptitude for pronunciation in advanced second language (L2) learners: Behavioural </w:t>
      </w:r>
    </w:p>
    <w:p w14:paraId="3B759765" w14:textId="2BFE61C4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predictors and neural substrates. </w:t>
      </w:r>
      <w:r w:rsidRPr="00940ECF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Brain &amp; Language, 127,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366</w:t>
      </w:r>
      <w:r w:rsidR="001F725C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76.</w:t>
      </w:r>
    </w:p>
    <w:p w14:paraId="293DC8D9" w14:textId="13ADB236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Hummel, K. (2009). Aptitude, phonological memory, and second language proficiency in nonnovice adult learners.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Applied Psycholinguistics, 30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, 225</w:t>
      </w:r>
      <w:r w:rsidR="00275090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49.</w:t>
      </w:r>
    </w:p>
    <w:p w14:paraId="424EE76D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Hummel, K., &amp; French, L. (2016). Phonological memory and aptitude components: </w:t>
      </w:r>
    </w:p>
    <w:p w14:paraId="68111C15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Contributions to second language proficiency.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Learning and Individual Differences, 51,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</w:t>
      </w:r>
    </w:p>
    <w:p w14:paraId="736F4983" w14:textId="5CBFBBB2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249</w:t>
      </w:r>
      <w:r w:rsidR="00EB617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55.</w:t>
      </w:r>
    </w:p>
    <w:p w14:paraId="0F641869" w14:textId="77777777" w:rsidR="005E121D" w:rsidRPr="005E121D" w:rsidRDefault="005E121D" w:rsidP="005E121D">
      <w:pPr>
        <w:widowControl w:val="0"/>
        <w:spacing w:after="0" w:line="480" w:lineRule="auto"/>
        <w:rPr>
          <w:rFonts w:ascii="Times New Roman" w:eastAsia="SimSun" w:hAnsi="Times New Roman" w:cs="Times New Roman"/>
          <w:bCs/>
          <w:sz w:val="24"/>
          <w:szCs w:val="24"/>
          <w:lang w:val="en-NZ"/>
        </w:rPr>
      </w:pP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>Hwu, F., Wei, P., &amp; Sun, S.</w:t>
      </w:r>
      <w:r w:rsidRPr="005E121D">
        <w:rPr>
          <w:rFonts w:ascii="Times New Roman" w:eastAsia="SimSun" w:hAnsi="Times New Roman" w:cs="Times New Roman"/>
          <w:b/>
          <w:bCs/>
          <w:sz w:val="24"/>
          <w:szCs w:val="24"/>
          <w:lang w:val="en-NZ"/>
        </w:rPr>
        <w:t xml:space="preserve"> (</w:t>
      </w: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 xml:space="preserve">2014). Aptitude-treatment interaction effects on explicit rule </w:t>
      </w:r>
    </w:p>
    <w:p w14:paraId="0E092454" w14:textId="3FDDEF26" w:rsidR="005E121D" w:rsidRPr="005E121D" w:rsidRDefault="005E121D" w:rsidP="005E121D">
      <w:pPr>
        <w:widowControl w:val="0"/>
        <w:spacing w:after="0" w:line="480" w:lineRule="auto"/>
        <w:ind w:firstLine="720"/>
        <w:rPr>
          <w:rFonts w:ascii="Times New Roman" w:eastAsia="SimSun" w:hAnsi="Times New Roman" w:cs="Times New Roman"/>
          <w:bCs/>
          <w:sz w:val="24"/>
          <w:szCs w:val="24"/>
          <w:lang w:val="en-NZ"/>
        </w:rPr>
      </w:pP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 xml:space="preserve">learning: A latent growth curve analysis. </w:t>
      </w:r>
      <w:r w:rsidRPr="005E121D">
        <w:rPr>
          <w:rFonts w:ascii="Times New Roman" w:eastAsia="SimSun" w:hAnsi="Times New Roman" w:cs="Times New Roman"/>
          <w:bCs/>
          <w:i/>
          <w:iCs/>
          <w:sz w:val="24"/>
          <w:szCs w:val="24"/>
          <w:lang w:val="en-NZ"/>
        </w:rPr>
        <w:t xml:space="preserve">Language Teaching Research, </w:t>
      </w:r>
      <w:r w:rsidRPr="005E121D">
        <w:rPr>
          <w:rFonts w:ascii="Times New Roman" w:eastAsia="SimSun" w:hAnsi="Times New Roman" w:cs="Times New Roman"/>
          <w:bCs/>
          <w:i/>
          <w:sz w:val="24"/>
          <w:szCs w:val="24"/>
          <w:lang w:val="en-NZ"/>
        </w:rPr>
        <w:t>18</w:t>
      </w: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>, 294</w:t>
      </w:r>
      <w:r w:rsidR="00EB617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>319.</w:t>
      </w:r>
    </w:p>
    <w:p w14:paraId="0FC35621" w14:textId="77777777" w:rsidR="005E121D" w:rsidRPr="005E121D" w:rsidRDefault="005E121D" w:rsidP="005E121D">
      <w:pPr>
        <w:widowControl w:val="0"/>
        <w:spacing w:after="0" w:line="480" w:lineRule="auto"/>
        <w:rPr>
          <w:rFonts w:ascii="Times New Roman" w:eastAsia="SimSun" w:hAnsi="Times New Roman" w:cs="Times New Roman"/>
          <w:bCs/>
          <w:sz w:val="24"/>
          <w:szCs w:val="24"/>
          <w:lang w:val="en-NZ"/>
        </w:rPr>
      </w:pP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 xml:space="preserve">Kasprowicz, R., Marsden, E., &amp; Sephton, N. (2019). Investigating distribution of practice </w:t>
      </w:r>
    </w:p>
    <w:p w14:paraId="53CBD886" w14:textId="77777777" w:rsidR="005E121D" w:rsidRPr="005E121D" w:rsidRDefault="005E121D" w:rsidP="005E121D">
      <w:pPr>
        <w:widowControl w:val="0"/>
        <w:spacing w:after="0" w:line="480" w:lineRule="auto"/>
        <w:ind w:firstLine="720"/>
        <w:rPr>
          <w:rFonts w:ascii="Times New Roman" w:eastAsia="SimSun" w:hAnsi="Times New Roman" w:cs="Times New Roman"/>
          <w:bCs/>
          <w:sz w:val="24"/>
          <w:szCs w:val="24"/>
          <w:lang w:val="en-NZ"/>
        </w:rPr>
      </w:pP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 xml:space="preserve">effects for the learning of foreign language verb morphology in the young learner </w:t>
      </w:r>
    </w:p>
    <w:p w14:paraId="4E3E70C9" w14:textId="0217E788" w:rsidR="005E121D" w:rsidRPr="005E121D" w:rsidRDefault="005E121D" w:rsidP="005E121D">
      <w:pPr>
        <w:widowControl w:val="0"/>
        <w:spacing w:after="0" w:line="480" w:lineRule="auto"/>
        <w:ind w:firstLine="720"/>
        <w:rPr>
          <w:rFonts w:ascii="Times New Roman" w:eastAsia="SimSun" w:hAnsi="Times New Roman" w:cs="Times New Roman"/>
          <w:bCs/>
          <w:i/>
          <w:iCs/>
          <w:sz w:val="24"/>
          <w:szCs w:val="24"/>
          <w:lang w:val="en-NZ"/>
        </w:rPr>
      </w:pPr>
      <w:r w:rsidRPr="005E121D">
        <w:rPr>
          <w:rFonts w:ascii="Times New Roman" w:eastAsia="SimSun" w:hAnsi="Times New Roman" w:cs="Times New Roman"/>
          <w:bCs/>
          <w:sz w:val="24"/>
          <w:szCs w:val="24"/>
          <w:lang w:val="en-NZ"/>
        </w:rPr>
        <w:t xml:space="preserve">classroom. </w:t>
      </w:r>
      <w:r w:rsidRPr="005E121D">
        <w:rPr>
          <w:rFonts w:ascii="Times New Roman" w:eastAsia="SimSun" w:hAnsi="Times New Roman" w:cs="Times New Roman"/>
          <w:bCs/>
          <w:i/>
          <w:iCs/>
          <w:sz w:val="24"/>
          <w:szCs w:val="24"/>
          <w:lang w:val="en-NZ"/>
        </w:rPr>
        <w:t xml:space="preserve">Modern Language Journal, 103, </w:t>
      </w:r>
      <w:r w:rsidRPr="00EB6179">
        <w:rPr>
          <w:rFonts w:ascii="Times New Roman" w:eastAsia="SimSun" w:hAnsi="Times New Roman" w:cs="Times New Roman"/>
          <w:bCs/>
          <w:sz w:val="24"/>
          <w:szCs w:val="24"/>
          <w:lang w:val="en-NZ"/>
        </w:rPr>
        <w:t>580</w:t>
      </w:r>
      <w:r w:rsidR="00EB617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EB6179">
        <w:rPr>
          <w:rFonts w:ascii="Times New Roman" w:eastAsia="SimSun" w:hAnsi="Times New Roman" w:cs="Times New Roman"/>
          <w:bCs/>
          <w:sz w:val="24"/>
          <w:szCs w:val="24"/>
          <w:lang w:val="en-NZ"/>
        </w:rPr>
        <w:t>606.</w:t>
      </w:r>
    </w:p>
    <w:p w14:paraId="4C799C45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Kaufman, S., DeYoung, C., Gray, J., Jiménez, L., Brown, J., &amp; Mackintosh, N. (2010). Implicit </w:t>
      </w:r>
    </w:p>
    <w:p w14:paraId="706CE751" w14:textId="003B6CA5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learning as an ability.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Cognition, 116,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321</w:t>
      </w:r>
      <w:r w:rsidR="00EB617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40.</w:t>
      </w:r>
    </w:p>
    <w:p w14:paraId="1CF30FFB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Kiss, C., &amp; Nikolov, M. (2005). Developing, piloting, and validating an instrument to measure </w:t>
      </w:r>
    </w:p>
    <w:p w14:paraId="33B8C5E9" w14:textId="5D97EA3E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young learners’ aptitude.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Learning, 55,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99</w:t>
      </w:r>
      <w:r w:rsidR="008A63B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150.</w:t>
      </w:r>
    </w:p>
    <w:p w14:paraId="528D3830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"/>
        </w:rPr>
        <w:t xml:space="preserve">Kormos, J. and Trebits, A. (2012). The role of task complexity, modality, and aptitude in </w:t>
      </w:r>
    </w:p>
    <w:p w14:paraId="0EB15A4A" w14:textId="2802460F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"/>
        </w:rPr>
        <w:t xml:space="preserve">narrative task performance.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"/>
        </w:rPr>
        <w:t xml:space="preserve">Language Learning, 62, </w:t>
      </w:r>
      <w:r w:rsidRPr="005E121D">
        <w:rPr>
          <w:rFonts w:ascii="Times New Roman" w:eastAsia="DengXian" w:hAnsi="Times New Roman" w:cs="Times New Roman"/>
          <w:sz w:val="24"/>
          <w:szCs w:val="24"/>
          <w:lang w:val="en"/>
        </w:rPr>
        <w:t>439–72.</w:t>
      </w:r>
    </w:p>
    <w:p w14:paraId="44E17BFC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Kourtali, N., &amp; Revesz, A. (2020). The roles of recasts, task complexity, and aptitude in child </w:t>
      </w:r>
    </w:p>
    <w:p w14:paraId="195E47BE" w14:textId="7C934CA4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lastRenderedPageBreak/>
        <w:t xml:space="preserve">second language development.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Learning, 70,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179</w:t>
      </w:r>
      <w:r w:rsidR="008A63B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218.</w:t>
      </w:r>
    </w:p>
    <w:p w14:paraId="50F30BA7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Lado, B. (2017). Aptitude and pedagogical conditions in the early development of a nonprimary </w:t>
      </w:r>
    </w:p>
    <w:p w14:paraId="1712F863" w14:textId="4D68E8C8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language.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Applied Psycholinguistics, 38,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679</w:t>
      </w:r>
      <w:r w:rsidR="008A63B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701.</w:t>
      </w:r>
    </w:p>
    <w:p w14:paraId="4DCFA4F6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Li, M., &amp; DeKeyser, R. (2017). Perception practice, production practice, and musical ability in </w:t>
      </w:r>
    </w:p>
    <w:p w14:paraId="31F857A5" w14:textId="2B15428E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L2 Mandarin tone-word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Studies in Second Language Acquisition, 39,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593</w:t>
      </w:r>
      <w:r w:rsidR="008A63B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620.</w:t>
      </w:r>
    </w:p>
    <w:p w14:paraId="1F472C76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Li, S. (2013). The interactions between the effects of implicit and explicit feedback and </w:t>
      </w:r>
    </w:p>
    <w:p w14:paraId="08816457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individual differences in language analytic ability and working memory. </w:t>
      </w:r>
      <w:r w:rsidRPr="005E121D">
        <w:rPr>
          <w:rFonts w:ascii="Times New Roman" w:eastAsia="DengXian" w:hAnsi="Times New Roman" w:cs="Times New Roman"/>
          <w:i/>
          <w:sz w:val="24"/>
          <w:szCs w:val="24"/>
        </w:rPr>
        <w:t xml:space="preserve">Modern </w:t>
      </w:r>
    </w:p>
    <w:p w14:paraId="66F31D4B" w14:textId="452B054B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sz w:val="24"/>
          <w:szCs w:val="24"/>
        </w:rPr>
        <w:t>Language Journal, 97,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634</w:t>
      </w:r>
      <w:r w:rsidR="00465313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54.</w:t>
      </w:r>
    </w:p>
    <w:p w14:paraId="17B7AF39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Li, S., &amp; Qian, J. (in press). Exploring syntactic priming as a measure of implicit aptitude. </w:t>
      </w:r>
    </w:p>
    <w:p w14:paraId="7CC9E389" w14:textId="77777777" w:rsidR="005E121D" w:rsidRPr="005E121D" w:rsidRDefault="005E121D" w:rsidP="005E121D">
      <w:pPr>
        <w:spacing w:after="0" w:line="480" w:lineRule="auto"/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Studies in Second Language Acquisition.</w:t>
      </w:r>
    </w:p>
    <w:p w14:paraId="682B0A0F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Li, S., Ellis, R., and Zhu, Y. (2019). The associations between cognitive ability and L2 </w:t>
      </w:r>
    </w:p>
    <w:p w14:paraId="562DD510" w14:textId="77777777" w:rsidR="005E121D" w:rsidRPr="005E121D" w:rsidRDefault="005E121D" w:rsidP="005E121D">
      <w:pPr>
        <w:spacing w:after="0" w:line="480" w:lineRule="auto"/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development under five different instructional conditions.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Applied Psycholinguistics, 40,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</w:t>
      </w:r>
    </w:p>
    <w:p w14:paraId="3753AB11" w14:textId="53DA7858" w:rsidR="005E121D" w:rsidRPr="005E121D" w:rsidRDefault="005E121D" w:rsidP="005E121D">
      <w:pPr>
        <w:spacing w:after="0" w:line="480" w:lineRule="auto"/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>693</w:t>
      </w:r>
      <w:r w:rsidR="00465313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722.</w:t>
      </w:r>
    </w:p>
    <w:p w14:paraId="1FD6865E" w14:textId="79A738E9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Linck, J. et al. (2013). Hi-LAB: A new measure of aptitude for high-level language proficiency.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Language Learning,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63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: 530</w:t>
      </w:r>
      <w:r w:rsidR="00465313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66.</w:t>
      </w:r>
    </w:p>
    <w:p w14:paraId="03ED79CD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McDonough, K., &amp; Trofimovich, P. (2016). The role of statistical learning and working memory </w:t>
      </w:r>
    </w:p>
    <w:p w14:paraId="4866630C" w14:textId="59FCC4AE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in L2 speakers’ pattern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Modern Language Journal, 100,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1</w:t>
      </w:r>
      <w:r w:rsidR="00465313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18.</w:t>
      </w:r>
    </w:p>
    <w:p w14:paraId="1AF29855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Morgan-Short, K., Faretta-Stutenberg, M., Brill-Schuetz, K., Carpenter, H., &amp; Wong, P. (2014). </w:t>
      </w:r>
    </w:p>
    <w:p w14:paraId="67CAA79A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Declarative and procedural memory as individual differences in second language </w:t>
      </w:r>
    </w:p>
    <w:p w14:paraId="648CBE06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acquisition.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Bilingualism: Language and Cognition, 17,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56–72.</w:t>
      </w:r>
    </w:p>
    <w:p w14:paraId="0662C86C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Pili-Moss, D., Brill-Schuetz, K., Faretta-Stutenberg, M., &amp; Morgan-Short, K. (2020). </w:t>
      </w:r>
    </w:p>
    <w:p w14:paraId="16AF7B5A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Contributions of declarative and procedural memory to accuracy and automatization </w:t>
      </w:r>
    </w:p>
    <w:p w14:paraId="651BF44D" w14:textId="51122C10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during second language practice.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Bilingualism: Language and Cognition, 23,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639–51.</w:t>
      </w:r>
    </w:p>
    <w:p w14:paraId="7C78082F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lastRenderedPageBreak/>
        <w:t xml:space="preserve">Potter, C., Wang, T., &amp; Saffran, J. (2017). Second language experience facilitates statistical </w:t>
      </w:r>
    </w:p>
    <w:p w14:paraId="23DEE797" w14:textId="1B98E703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learning of novel linguistic materials.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/>
        </w:rPr>
        <w:t>Cognitive Science, 41,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 913</w:t>
      </w:r>
      <w:r w:rsidR="00465313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>27.</w:t>
      </w:r>
    </w:p>
    <w:p w14:paraId="396750B7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Roehr, K., &amp; Gánem-Gutiérrez, G. (2009). The status of metalinguistic knowledge in instructed </w:t>
      </w:r>
    </w:p>
    <w:p w14:paraId="4B90538C" w14:textId="49E9308E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adult L2 learning.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val="en-NZ" w:eastAsia="en-US"/>
        </w:rPr>
        <w:t xml:space="preserve">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Language Awareness, 18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, 165</w:t>
      </w:r>
      <w:r w:rsidR="00465313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81.</w:t>
      </w:r>
    </w:p>
    <w:p w14:paraId="7AE1FE3E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Roehr-Brackin, K., &amp; Tellier, A. (2019). The role of language-analytic ability in children’s </w:t>
      </w:r>
    </w:p>
    <w:p w14:paraId="4AE38F4D" w14:textId="3FA64C12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instructed second language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Studies in Second Language Acquisition, 41, </w:t>
      </w:r>
      <w:r w:rsidRPr="005E121D">
        <w:rPr>
          <w:rFonts w:ascii="Times New Roman" w:eastAsia="DengXian" w:hAnsi="Times New Roman" w:cs="Times New Roman"/>
          <w:sz w:val="24"/>
          <w:szCs w:val="24"/>
        </w:rPr>
        <w:t>1111</w:t>
      </w:r>
      <w:r w:rsidR="001F4430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</w:p>
    <w:p w14:paraId="16FD63B4" w14:textId="69C132DE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>31.</w:t>
      </w:r>
    </w:p>
    <w:p w14:paraId="11E6A4FE" w14:textId="33C950CE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Sáfár, A., &amp; Kormos, J. (2008). Revisiting problems with foreign language aptitude.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eastAsia="en-US"/>
        </w:rPr>
        <w:t>International Review of Applied Linguistics in Language Teaching, 46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, 113–36. </w:t>
      </w:r>
    </w:p>
    <w:p w14:paraId="58546B61" w14:textId="77777777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Saito, K., Sun, H., &amp; Tierney, A. (2019). Explicit and implicit aptitude effects on second </w:t>
      </w:r>
    </w:p>
    <w:p w14:paraId="39A8508A" w14:textId="4D2DC6BA" w:rsidR="005E121D" w:rsidRPr="005E121D" w:rsidRDefault="005E121D" w:rsidP="005E121D">
      <w:pPr>
        <w:widowControl w:val="0"/>
        <w:spacing w:after="0" w:line="480" w:lineRule="auto"/>
        <w:ind w:left="709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language speech learning: Scrutinizing segmental and suprasegmental sensitivity and </w:t>
      </w:r>
    </w:p>
    <w:p w14:paraId="092691FB" w14:textId="42284DF7" w:rsidR="005E121D" w:rsidRPr="005E121D" w:rsidRDefault="005E121D" w:rsidP="005E121D">
      <w:pPr>
        <w:widowControl w:val="0"/>
        <w:spacing w:after="0" w:line="480" w:lineRule="auto"/>
        <w:ind w:left="709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performance via behavioural and neurophysiological measures.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Bilingualism: Language and Cognition,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1123</w:t>
      </w:r>
      <w:r w:rsidR="00AF063F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40.</w:t>
      </w:r>
    </w:p>
    <w:p w14:paraId="27BB077A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Saito, K., Suzukida, Y., &amp; Sun, H. (2019). Aptitude, experience, and second language </w:t>
      </w:r>
    </w:p>
    <w:p w14:paraId="4D1A9D20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pronunciation proficiency development in classroom settings: A longitudinal study. </w:t>
      </w:r>
    </w:p>
    <w:p w14:paraId="110AAB3F" w14:textId="099104F2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 xml:space="preserve">Studies in Second Language Acquisition, 41, 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201</w:t>
      </w:r>
      <w:r w:rsidR="00AF063F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25.</w:t>
      </w:r>
    </w:p>
    <w:p w14:paraId="61584276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Sheen, Y. (2008). The effect of focused written corrective feedback and language aptitude on </w:t>
      </w:r>
    </w:p>
    <w:p w14:paraId="11FA9A03" w14:textId="5098FEE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ESL learners’ acquisition of articles.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TESOL Quarterly, 41,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255</w:t>
      </w:r>
      <w:r w:rsidR="00AF063F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83.</w:t>
      </w:r>
    </w:p>
    <w:p w14:paraId="55F32334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Shintani, N., &amp; Ellis, R. (2015). Does language analytical ability mediate the effect of written </w:t>
      </w:r>
    </w:p>
    <w:p w14:paraId="6B9A71FB" w14:textId="208C793B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feedback on grammatical accuracy in second language writing?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System, 49,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110</w:t>
      </w:r>
      <w:r w:rsidR="0003334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19.  </w:t>
      </w:r>
    </w:p>
    <w:p w14:paraId="1F13A033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i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Skehan, P. (2012). Language aptitude. In Gass, S. &amp; A. Mackey (Eds.): </w:t>
      </w:r>
      <w:r w:rsidRPr="005E121D">
        <w:rPr>
          <w:rFonts w:ascii="Times New Roman" w:eastAsia="DengXian" w:hAnsi="Times New Roman" w:cs="Times New Roman"/>
          <w:i/>
          <w:sz w:val="24"/>
          <w:szCs w:val="24"/>
        </w:rPr>
        <w:t xml:space="preserve">Handbook of second </w:t>
      </w:r>
    </w:p>
    <w:p w14:paraId="4EF57B4D" w14:textId="6B49B713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sz w:val="24"/>
          <w:szCs w:val="24"/>
        </w:rPr>
        <w:t>language acquisition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(pp. 381</w:t>
      </w:r>
      <w:r w:rsidR="00033349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95). N</w:t>
      </w:r>
      <w:r w:rsidR="00033349">
        <w:rPr>
          <w:rFonts w:ascii="Times New Roman" w:eastAsia="DengXian" w:hAnsi="Times New Roman" w:cs="Times New Roman"/>
          <w:sz w:val="24"/>
          <w:szCs w:val="24"/>
        </w:rPr>
        <w:t xml:space="preserve">ew </w:t>
      </w:r>
      <w:r w:rsidRPr="005E121D">
        <w:rPr>
          <w:rFonts w:ascii="Times New Roman" w:eastAsia="DengXian" w:hAnsi="Times New Roman" w:cs="Times New Roman"/>
          <w:sz w:val="24"/>
          <w:szCs w:val="24"/>
        </w:rPr>
        <w:t>Y</w:t>
      </w:r>
      <w:r w:rsidR="00033349">
        <w:rPr>
          <w:rFonts w:ascii="Times New Roman" w:eastAsia="DengXian" w:hAnsi="Times New Roman" w:cs="Times New Roman"/>
          <w:sz w:val="24"/>
          <w:szCs w:val="24"/>
        </w:rPr>
        <w:t>ork</w:t>
      </w:r>
      <w:r w:rsidRPr="005E121D">
        <w:rPr>
          <w:rFonts w:ascii="Times New Roman" w:eastAsia="DengXian" w:hAnsi="Times New Roman" w:cs="Times New Roman"/>
          <w:sz w:val="24"/>
          <w:szCs w:val="24"/>
        </w:rPr>
        <w:t>: Routledge.</w:t>
      </w:r>
    </w:p>
    <w:p w14:paraId="3A880A58" w14:textId="77777777" w:rsidR="005E121D" w:rsidRPr="005E121D" w:rsidRDefault="005E121D" w:rsidP="005E121D">
      <w:pPr>
        <w:widowControl w:val="0"/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Smemoe, W., &amp; Haslam, N. (2013). The effect of language learning aptitude, strategy use, and </w:t>
      </w:r>
    </w:p>
    <w:p w14:paraId="1001B5DA" w14:textId="109CA362" w:rsidR="005E121D" w:rsidRPr="005E121D" w:rsidRDefault="005E121D" w:rsidP="005E121D">
      <w:pPr>
        <w:widowControl w:val="0"/>
        <w:spacing w:after="0" w:line="480" w:lineRule="auto"/>
        <w:ind w:firstLine="709"/>
        <w:rPr>
          <w:rFonts w:ascii="Times New Roman" w:eastAsia="DengXian" w:hAnsi="Times New Roman" w:cs="Times New Roman"/>
          <w:sz w:val="24"/>
          <w:szCs w:val="24"/>
          <w:lang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lastRenderedPageBreak/>
        <w:t xml:space="preserve">learning context on L2 pronunciation learning.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eastAsia="en-US"/>
        </w:rPr>
        <w:t>Applied Linguistics, 34,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 xml:space="preserve"> 435</w:t>
      </w:r>
      <w:r w:rsidR="00357815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eastAsia="en-US"/>
        </w:rPr>
        <w:t>56.</w:t>
      </w:r>
    </w:p>
    <w:p w14:paraId="2CAA248B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Sparks, R. L., Patton, J., Ganschow, L., &amp; Humbach, N. (2011). Subcomponents of second- </w:t>
      </w:r>
    </w:p>
    <w:p w14:paraId="1648B2C1" w14:textId="1C3C5C39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language aptitude and second- language proficiency.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val="en-NZ" w:eastAsia="en-US"/>
        </w:rPr>
        <w:t xml:space="preserve">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Modern Language Journal, 95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, </w:t>
      </w:r>
    </w:p>
    <w:p w14:paraId="7DFE49CF" w14:textId="53F04171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253</w:t>
      </w:r>
      <w:r w:rsidR="00357815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73.</w:t>
      </w:r>
    </w:p>
    <w:p w14:paraId="1F629724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Sparks, R. L., Patton, J., Ganschow, L., &amp; Humbach, N. (2012). Relationships among L1 print </w:t>
      </w:r>
    </w:p>
    <w:p w14:paraId="244D0D2E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exposure and early L1 literacy skills, L2 aptitude, and L2 proficiency.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 xml:space="preserve">Reading and </w:t>
      </w:r>
    </w:p>
    <w:p w14:paraId="3AFF7407" w14:textId="28450282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Writing,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25, 1599</w:t>
      </w:r>
      <w:r w:rsidR="00357815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634.</w:t>
      </w:r>
    </w:p>
    <w:p w14:paraId="751313F8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Suzuki, Y. (in press). Probing the construct validity of LLAMA_D as a measure of implicit </w:t>
      </w:r>
    </w:p>
    <w:p w14:paraId="77F212B7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learning aptitude: Incidental instructions, confidence ratings, and reaction time measure. </w:t>
      </w:r>
    </w:p>
    <w:p w14:paraId="1CC4FFFA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Studies in Second Language Acquisition.</w:t>
      </w:r>
    </w:p>
    <w:p w14:paraId="4C9CD949" w14:textId="77777777" w:rsidR="005E121D" w:rsidRPr="005E121D" w:rsidRDefault="005E121D" w:rsidP="005E121D">
      <w:pPr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Suzuki, Y., &amp; DeKeyser, R. (2015). Comparing elicited imitation and word monitoring as </w:t>
      </w:r>
    </w:p>
    <w:p w14:paraId="38489997" w14:textId="43D19FDA" w:rsidR="005E121D" w:rsidRPr="005E121D" w:rsidRDefault="005E121D" w:rsidP="005E121D">
      <w:pPr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measures of implicit knowledge.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Learning, 65,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860</w:t>
      </w:r>
      <w:r w:rsidR="00887CA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95.</w:t>
      </w:r>
    </w:p>
    <w:p w14:paraId="5439080D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Suzuki, Y., &amp; DeKeyser, R. (2017). The interface of explicit and implicit knowledge in a </w:t>
      </w:r>
    </w:p>
    <w:p w14:paraId="2AF6BE87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second language: Insights from individual differences in cognitive aptitudes.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Language </w:t>
      </w:r>
    </w:p>
    <w:p w14:paraId="56F818C8" w14:textId="5DA20636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Learning, 65,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860</w:t>
      </w:r>
      <w:r w:rsidR="00887CAA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95.</w:t>
      </w:r>
    </w:p>
    <w:p w14:paraId="06DBA566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Suzuki, Y. (2018). The role of procedural learning ability in automatization of L2 morphology </w:t>
      </w:r>
    </w:p>
    <w:p w14:paraId="3364ED62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under different learning schedules: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 xml:space="preserve">An exploratory study. Studies in Second Language </w:t>
      </w:r>
    </w:p>
    <w:p w14:paraId="41F38C56" w14:textId="3217379A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 xml:space="preserve">Acquisition, 40, 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923</w:t>
      </w:r>
      <w:r w:rsidR="00DB1174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37.</w:t>
      </w:r>
    </w:p>
    <w:p w14:paraId="375BA0E0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Talamini, F., Grassi, M., Toffalini, E., Santoni, R., &amp; Carretti, B. (2018). Learning a second </w:t>
      </w:r>
    </w:p>
    <w:p w14:paraId="51377EDA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language: Can music aptitude or music training have a role?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 xml:space="preserve">Learning and Individual </w:t>
      </w:r>
    </w:p>
    <w:p w14:paraId="590A43FD" w14:textId="4D71D63C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Differences, 64,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1</w:t>
      </w:r>
      <w:r w:rsidR="00DB1174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7.</w:t>
      </w:r>
    </w:p>
    <w:p w14:paraId="79DF3618" w14:textId="77777777" w:rsidR="005E121D" w:rsidRPr="005E121D" w:rsidRDefault="005E121D" w:rsidP="005E121D">
      <w:pPr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VanPatten, B., &amp; Borst, S. (2012). The roles of explicit information and grammatical sensitivity </w:t>
      </w:r>
    </w:p>
    <w:p w14:paraId="032B3A39" w14:textId="77777777" w:rsidR="005E121D" w:rsidRPr="005E121D" w:rsidRDefault="005E121D" w:rsidP="005E121D">
      <w:pPr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in processing instruction: Nominative-accusative case marking and word order in German </w:t>
      </w:r>
    </w:p>
    <w:p w14:paraId="2C6547CB" w14:textId="330FC361" w:rsidR="005E121D" w:rsidRPr="005E121D" w:rsidRDefault="005E121D" w:rsidP="005E121D">
      <w:pPr>
        <w:ind w:firstLine="709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L2.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Foreign Language Annals, 45,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92</w:t>
      </w:r>
      <w:r w:rsidR="00DB1174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109.</w:t>
      </w:r>
    </w:p>
    <w:p w14:paraId="447FFB3C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lastRenderedPageBreak/>
        <w:t xml:space="preserve">VanPatten, B., &amp; Smith, M. (2015). Aptitude as grammatical sensitivity and the initial stages of </w:t>
      </w:r>
    </w:p>
    <w:p w14:paraId="7CD5F806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learning Japanese as a L2: Parametric variation and case marking.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 xml:space="preserve">Studies in Second </w:t>
      </w:r>
    </w:p>
    <w:p w14:paraId="3798E61B" w14:textId="3B680A4F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Language Acquisition, 37,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135</w:t>
      </w:r>
      <w:r w:rsidR="00DB1174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65.</w:t>
      </w:r>
    </w:p>
    <w:p w14:paraId="7FC0713F" w14:textId="0B1CDF6A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Walker, N., Monaghan, P., Schoetensack, C., &amp; Rebuschat, P. (2020). Distinctions in the acquisition of vocabulary and grammar: An individual differences approach.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Language Learning, 70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, 221–54</w:t>
      </w:r>
      <w:r w:rsidR="004E7C91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.</w:t>
      </w:r>
    </w:p>
    <w:p w14:paraId="14C57D1E" w14:textId="1F232029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Winke, P. (2005). Individual differences in adult Chinese second language acquisition: The relationships between aptitude, memory, and strategies for learning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.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PhD dissertation. Georgetown University. </w:t>
      </w:r>
    </w:p>
    <w:p w14:paraId="775DABDB" w14:textId="7F069CDE" w:rsidR="005E121D" w:rsidRPr="005E121D" w:rsidRDefault="005E121D" w:rsidP="005E121D">
      <w:pPr>
        <w:widowControl w:val="0"/>
        <w:spacing w:after="0" w:line="480" w:lineRule="auto"/>
        <w:ind w:left="709" w:hanging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Winke, P. (2013). An investigation into second language aptitude for advanced Chinese language learning.</w:t>
      </w:r>
      <w:r w:rsidRPr="005E121D">
        <w:rPr>
          <w:rFonts w:ascii="Times New Roman" w:eastAsia="DengXian" w:hAnsi="Times New Roman" w:cs="Times New Roman"/>
          <w:iCs/>
          <w:sz w:val="24"/>
          <w:szCs w:val="24"/>
          <w:lang w:val="en-NZ" w:eastAsia="en-US"/>
        </w:rPr>
        <w:t xml:space="preserve">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Modern Language Journal, 97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, 109</w:t>
      </w:r>
      <w:r w:rsidR="004E7C91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30. </w:t>
      </w:r>
    </w:p>
    <w:p w14:paraId="5F96E718" w14:textId="77777777" w:rsidR="005E121D" w:rsidRPr="005E121D" w:rsidRDefault="005E121D" w:rsidP="005E121D">
      <w:pPr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Yalçın, Ş., Çeçen, S., &amp; Erçetin, G. (2016).  The relationship between aptitude and working </w:t>
      </w:r>
    </w:p>
    <w:p w14:paraId="3B2C6B58" w14:textId="5BE65C21" w:rsidR="005E121D" w:rsidRPr="005E121D" w:rsidRDefault="005E121D" w:rsidP="005E121D">
      <w:pPr>
        <w:ind w:firstLine="720"/>
        <w:rPr>
          <w:rFonts w:ascii="Times New Roman" w:eastAsia="DengXian" w:hAnsi="Times New Roman" w:cs="Times New Roman"/>
          <w:sz w:val="24"/>
          <w:szCs w:val="24"/>
          <w:lang w:val="en-NZ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memory: an instructed SLA context.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/>
        </w:rPr>
        <w:t>Language Awareness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/>
        </w:rPr>
        <w:t>, 25,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 144</w:t>
      </w:r>
      <w:r w:rsidR="004E7C91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/>
        </w:rPr>
        <w:t xml:space="preserve">58.  </w:t>
      </w:r>
    </w:p>
    <w:p w14:paraId="321EF0D4" w14:textId="77777777" w:rsidR="005E121D" w:rsidRPr="005E121D" w:rsidRDefault="005E121D" w:rsidP="005E121D">
      <w:pPr>
        <w:widowControl w:val="0"/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Yalçın, Ş., &amp; Spada, N. (2016). Language aptitude and grammatical difficulty: An EFL </w:t>
      </w:r>
    </w:p>
    <w:p w14:paraId="6809B108" w14:textId="73BD641B" w:rsidR="005E121D" w:rsidRPr="005E121D" w:rsidRDefault="005E121D" w:rsidP="005E121D">
      <w:pPr>
        <w:widowControl w:val="0"/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classroom-based study. </w:t>
      </w:r>
      <w:r w:rsidRPr="005E121D">
        <w:rPr>
          <w:rFonts w:ascii="Times New Roman" w:eastAsia="DengXian" w:hAnsi="Times New Roman" w:cs="Times New Roman"/>
          <w:i/>
          <w:sz w:val="24"/>
          <w:szCs w:val="24"/>
          <w:lang w:val="en-NZ" w:eastAsia="en-US"/>
        </w:rPr>
        <w:t>Studies in Second Language Acquisition, 38,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239</w:t>
      </w:r>
      <w:r w:rsidR="004E7C91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63.</w:t>
      </w:r>
    </w:p>
    <w:p w14:paraId="56D96CB3" w14:textId="77777777" w:rsidR="005E121D" w:rsidRPr="005E121D" w:rsidRDefault="005E121D" w:rsidP="005E121D">
      <w:pPr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Yi, W. (2018). Statistical sensitivity, cognitive aptitudes, and processing of collocations. </w:t>
      </w:r>
    </w:p>
    <w:p w14:paraId="6E2C0556" w14:textId="44E1D82E" w:rsidR="005E121D" w:rsidRPr="005E121D" w:rsidRDefault="005E121D" w:rsidP="005E121D">
      <w:pPr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Studies in Second Language Acquisition,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831</w:t>
      </w:r>
      <w:r w:rsidR="004E7C91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56.  </w:t>
      </w:r>
    </w:p>
    <w:p w14:paraId="29D5AD2E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Yilmaz, Y., &amp; Granena, G. (2019). Cognitive individual differences as predictors of </w:t>
      </w:r>
    </w:p>
    <w:p w14:paraId="056177C9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improvement and awareness under implicit and explicit feedback conditions.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Modern </w:t>
      </w:r>
    </w:p>
    <w:p w14:paraId="073D04BC" w14:textId="5B5A993A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</w:rPr>
      </w:pPr>
      <w:r w:rsidRPr="005E121D">
        <w:rPr>
          <w:rFonts w:ascii="Times New Roman" w:eastAsia="DengXian" w:hAnsi="Times New Roman" w:cs="Times New Roman"/>
          <w:i/>
          <w:iCs/>
          <w:sz w:val="24"/>
          <w:szCs w:val="24"/>
        </w:rPr>
        <w:t>Language Journal, 103,</w:t>
      </w:r>
      <w:r w:rsidRPr="005E121D">
        <w:rPr>
          <w:rFonts w:ascii="Times New Roman" w:eastAsia="DengXian" w:hAnsi="Times New Roman" w:cs="Times New Roman"/>
          <w:sz w:val="24"/>
          <w:szCs w:val="24"/>
        </w:rPr>
        <w:t xml:space="preserve"> 686</w:t>
      </w:r>
      <w:r w:rsidR="004E7C91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</w:rPr>
        <w:t>702.</w:t>
      </w:r>
    </w:p>
    <w:p w14:paraId="4AEB41F0" w14:textId="77777777" w:rsidR="005E121D" w:rsidRPr="005E121D" w:rsidRDefault="005E121D" w:rsidP="005E121D">
      <w:pPr>
        <w:spacing w:after="0" w:line="480" w:lineRule="auto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Yilmaz, Y. (2013). Relative effects of explicit and implicit feedback: The role of working </w:t>
      </w:r>
    </w:p>
    <w:p w14:paraId="3E4D8362" w14:textId="2659C6E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memory and language analytic ability. </w:t>
      </w:r>
      <w:r w:rsidRPr="005E121D">
        <w:rPr>
          <w:rFonts w:ascii="Times New Roman" w:eastAsia="DengXian" w:hAnsi="Times New Roman" w:cs="Times New Roman"/>
          <w:i/>
          <w:iCs/>
          <w:sz w:val="24"/>
          <w:szCs w:val="24"/>
          <w:lang w:val="en-NZ" w:eastAsia="en-US"/>
        </w:rPr>
        <w:t>Applied Linguistics, 34,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 xml:space="preserve"> 344</w:t>
      </w:r>
      <w:r w:rsidR="00EC720F">
        <w:rPr>
          <w:rFonts w:ascii="Times New Roman" w:eastAsia="DengXian" w:hAnsi="Times New Roman" w:cs="Times New Roman"/>
          <w:sz w:val="24"/>
          <w:szCs w:val="24"/>
          <w:lang w:eastAsia="en-US"/>
        </w:rPr>
        <w:t>–</w:t>
      </w:r>
      <w:r w:rsidRPr="005E121D">
        <w:rPr>
          <w:rFonts w:ascii="Times New Roman" w:eastAsia="DengXian" w:hAnsi="Times New Roman" w:cs="Times New Roman"/>
          <w:sz w:val="24"/>
          <w:szCs w:val="24"/>
          <w:lang w:val="en-NZ" w:eastAsia="en-US"/>
        </w:rPr>
        <w:t>68.</w:t>
      </w:r>
    </w:p>
    <w:p w14:paraId="3EB60F5B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</w:p>
    <w:p w14:paraId="6977FE35" w14:textId="77777777" w:rsidR="005E121D" w:rsidRPr="005E121D" w:rsidRDefault="005E121D" w:rsidP="005E121D">
      <w:pPr>
        <w:spacing w:after="0" w:line="480" w:lineRule="auto"/>
        <w:ind w:firstLine="720"/>
        <w:rPr>
          <w:rFonts w:ascii="Times New Roman" w:eastAsia="DengXian" w:hAnsi="Times New Roman" w:cs="Times New Roman"/>
          <w:sz w:val="24"/>
          <w:szCs w:val="24"/>
          <w:lang w:val="en-NZ" w:eastAsia="en-US"/>
        </w:rPr>
      </w:pPr>
    </w:p>
    <w:p w14:paraId="3B602387" w14:textId="77777777" w:rsidR="005E121D" w:rsidRPr="005E121D" w:rsidRDefault="005E121D" w:rsidP="005E121D">
      <w:pPr>
        <w:spacing w:after="0" w:line="480" w:lineRule="auto"/>
        <w:rPr>
          <w:rFonts w:ascii="Calibri" w:eastAsia="DengXian" w:hAnsi="Calibri" w:cs="Times New Roman"/>
        </w:rPr>
      </w:pPr>
    </w:p>
    <w:p w14:paraId="78979F03" w14:textId="03B7F8B4" w:rsidR="00033E06" w:rsidRPr="00033E06" w:rsidRDefault="005E121D" w:rsidP="005E121D">
      <w:pPr>
        <w:spacing w:after="120" w:line="480" w:lineRule="auto"/>
        <w:jc w:val="center"/>
        <w:rPr>
          <w:rFonts w:ascii="Times New Roman" w:eastAsia="DengXian" w:hAnsi="Times New Roman" w:cs="Times New Roman"/>
          <w:b/>
          <w:bCs/>
          <w:sz w:val="24"/>
          <w:szCs w:val="24"/>
        </w:rPr>
      </w:pPr>
      <w:r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Appendix B </w:t>
      </w:r>
      <w:r w:rsidR="00033E06" w:rsidRPr="00033E06">
        <w:rPr>
          <w:rFonts w:ascii="Times New Roman" w:eastAsia="DengXian" w:hAnsi="Times New Roman" w:cs="Times New Roman"/>
          <w:b/>
          <w:bCs/>
          <w:sz w:val="24"/>
          <w:szCs w:val="24"/>
        </w:rPr>
        <w:t>Example Measures of Explicit and Implicit Knowledge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218"/>
        <w:gridCol w:w="5142"/>
      </w:tblGrid>
      <w:tr w:rsidR="00033E06" w:rsidRPr="00033E06" w14:paraId="7CDD5EB5" w14:textId="77777777" w:rsidTr="009D7B0A">
        <w:trPr>
          <w:trHeight w:val="657"/>
        </w:trPr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14:paraId="6BBC3FE1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  <w:t>Constructs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14:paraId="2FEB9C71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  <w:t>Measures</w:t>
            </w:r>
          </w:p>
        </w:tc>
      </w:tr>
      <w:tr w:rsidR="00033E06" w:rsidRPr="00033E06" w14:paraId="6E8EAB79" w14:textId="77777777" w:rsidTr="009D7B0A">
        <w:trPr>
          <w:trHeight w:val="669"/>
        </w:trPr>
        <w:tc>
          <w:tcPr>
            <w:tcW w:w="1990" w:type="dxa"/>
            <w:tcBorders>
              <w:top w:val="single" w:sz="4" w:space="0" w:color="auto"/>
              <w:bottom w:val="nil"/>
            </w:tcBorders>
          </w:tcPr>
          <w:p w14:paraId="538746C8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07B33868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Explicit knowledge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0187A7C8" w14:textId="77777777" w:rsidR="00033E06" w:rsidRP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Untimed written grammaticality judgment: learners judge whether given sentences are grammatical (and make corrections to ungrammatical sentences) (Kasprowicz et al., 2019; Lado, 2017; Yalçın &amp; Spada, 2016; Yilmaz &amp; Granena, 2019)</w:t>
            </w:r>
          </w:p>
          <w:p w14:paraId="4C3C4766" w14:textId="77777777" w:rsidR="00033E06" w:rsidRP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Metalinguistic knowledge: learners explain a rule violation in a sentence or select an accurate description of the rule violation (Granena, 2013; Roehr &amp; </w:t>
            </w:r>
            <w:r w:rsidRPr="00033E06">
              <w:rPr>
                <w:rFonts w:ascii="Times New Roman" w:eastAsia="DengXian" w:hAnsi="Times New Roman" w:cs="Times New Roman"/>
                <w:spacing w:val="-1"/>
                <w:w w:val="99"/>
                <w:sz w:val="24"/>
                <w:szCs w:val="24"/>
              </w:rPr>
              <w:t>G</w:t>
            </w:r>
            <w:r w:rsidRPr="00033E06">
              <w:rPr>
                <w:rFonts w:ascii="Times New Roman" w:eastAsia="DengXian" w:hAnsi="Times New Roman" w:cs="Times New Roman"/>
                <w:spacing w:val="-83"/>
                <w:w w:val="99"/>
                <w:sz w:val="24"/>
                <w:szCs w:val="24"/>
              </w:rPr>
              <w:t>a</w:t>
            </w:r>
            <w:r w:rsidRPr="00033E06">
              <w:rPr>
                <w:rFonts w:ascii="Times New Roman" w:eastAsia="DengXian" w:hAnsi="Times New Roman" w:cs="Times New Roman"/>
                <w:spacing w:val="16"/>
                <w:w w:val="99"/>
                <w:sz w:val="24"/>
                <w:szCs w:val="24"/>
              </w:rPr>
              <w:t>´</w:t>
            </w:r>
            <w:r w:rsidRPr="00033E06">
              <w:rPr>
                <w:rFonts w:ascii="Times New Roman" w:eastAsia="DengXian" w:hAnsi="Times New Roman" w:cs="Times New Roman"/>
                <w:spacing w:val="-1"/>
                <w:w w:val="99"/>
                <w:sz w:val="24"/>
                <w:szCs w:val="24"/>
              </w:rPr>
              <w:t>nem-Gut</w:t>
            </w:r>
            <w:r w:rsidRPr="00033E06">
              <w:rPr>
                <w:rFonts w:ascii="Times New Roman" w:eastAsia="DengXian" w:hAnsi="Times New Roman" w:cs="Times New Roman"/>
                <w:w w:val="99"/>
                <w:sz w:val="24"/>
                <w:szCs w:val="24"/>
              </w:rPr>
              <w:t>i</w:t>
            </w:r>
            <w:r w:rsidRPr="00033E06">
              <w:rPr>
                <w:rFonts w:ascii="Times New Roman" w:eastAsia="DengXian" w:hAnsi="Times New Roman" w:cs="Times New Roman"/>
                <w:spacing w:val="-77"/>
                <w:w w:val="99"/>
                <w:sz w:val="24"/>
                <w:szCs w:val="24"/>
              </w:rPr>
              <w:t>e</w:t>
            </w:r>
            <w:r w:rsidRPr="00033E06">
              <w:rPr>
                <w:rFonts w:ascii="Times New Roman" w:eastAsia="DengXian" w:hAnsi="Times New Roman" w:cs="Times New Roman"/>
                <w:spacing w:val="10"/>
                <w:w w:val="99"/>
                <w:sz w:val="24"/>
                <w:szCs w:val="24"/>
              </w:rPr>
              <w:t>´</w:t>
            </w:r>
            <w:r w:rsidRPr="00033E06">
              <w:rPr>
                <w:rFonts w:ascii="Times New Roman" w:eastAsia="DengXian" w:hAnsi="Times New Roman" w:cs="Times New Roman"/>
                <w:w w:val="99"/>
                <w:sz w:val="24"/>
                <w:szCs w:val="24"/>
              </w:rPr>
              <w:t>r</w:t>
            </w:r>
            <w:r w:rsidRPr="00033E06">
              <w:rPr>
                <w:rFonts w:ascii="Times New Roman" w:eastAsia="DengXian" w:hAnsi="Times New Roman" w:cs="Times New Roman"/>
                <w:spacing w:val="-8"/>
                <w:w w:val="99"/>
                <w:sz w:val="24"/>
                <w:szCs w:val="24"/>
              </w:rPr>
              <w:t>r</w:t>
            </w:r>
            <w:r w:rsidRPr="00033E06">
              <w:rPr>
                <w:rFonts w:ascii="Times New Roman" w:eastAsia="DengXian" w:hAnsi="Times New Roman" w:cs="Times New Roman"/>
                <w:spacing w:val="-1"/>
                <w:w w:val="99"/>
                <w:sz w:val="24"/>
                <w:szCs w:val="24"/>
              </w:rPr>
              <w:t>e</w:t>
            </w:r>
            <w:r w:rsidRPr="00033E06">
              <w:rPr>
                <w:rFonts w:ascii="Times New Roman" w:eastAsia="DengXian" w:hAnsi="Times New Roman" w:cs="Times New Roman"/>
                <w:w w:val="99"/>
                <w:sz w:val="24"/>
                <w:szCs w:val="24"/>
              </w:rPr>
              <w:t>z, 2009; Suzuki &amp; DeKeyser, 2015)</w:t>
            </w:r>
          </w:p>
          <w:p w14:paraId="3F8BE02F" w14:textId="77777777" w:rsidR="00033E06" w:rsidRP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Adding morphological endings: learners add grammatical features to bare words (Suzuki &amp; DeKeyser, 2017) </w:t>
            </w:r>
          </w:p>
          <w:p w14:paraId="74243EFE" w14:textId="77777777" w:rsidR="00033E06" w:rsidRP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Discrete item description: learners describe discretely presented pictures using clues (Suzuki &amp; DeKeyser, 2017) </w:t>
            </w:r>
          </w:p>
          <w:p w14:paraId="2D9180E6" w14:textId="77777777" w:rsidR="00033E06" w:rsidRP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Written production: learners are asked to write in response to given prompts (Kourtail &amp; Revesz, 2020; Sheen, 2008)</w:t>
            </w:r>
          </w:p>
          <w:p w14:paraId="420ABD50" w14:textId="77777777" w:rsidR="00033E06" w:rsidRP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Error correction: learners correct grammar errors in given sentences (Sheen, 2008)</w:t>
            </w:r>
          </w:p>
          <w:p w14:paraId="25B26254" w14:textId="77777777" w:rsidR="00033E06" w:rsidRDefault="00033E06" w:rsidP="00033E06">
            <w:pPr>
              <w:numPr>
                <w:ilvl w:val="0"/>
                <w:numId w:val="4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Multiple choice: learners select the correct answer from several options (Talamini et al., 2018; Yilmaz, 2013)</w:t>
            </w:r>
          </w:p>
          <w:p w14:paraId="310D8406" w14:textId="19B73D2B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31BD088D" w14:textId="77777777" w:rsidTr="009D7B0A">
        <w:trPr>
          <w:trHeight w:val="657"/>
        </w:trPr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7255443B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4C276E43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Implicit knowledge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1FBDF0A9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Elicited imitation: learners listen to and repeat grammatical and ungrammatical sentences correctly in the L2 (Kourtail &amp; Revesz, 2020; Li, 2013)</w:t>
            </w:r>
          </w:p>
          <w:p w14:paraId="54C64196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Word monitoring: learners respond to a monitored word that immediately follows the target structure in auditorily presented grammatical and ungrammatical sentences (Granena, 2013; Suzuki &amp; DeKeyser, 2015) </w:t>
            </w:r>
          </w:p>
          <w:p w14:paraId="54CEE830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Self-paced reading: learners read grammatical and ungrammatical sentences, and their performance is represented by the difference in reading time between grammatical and 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 xml:space="preserve">ungrammatical sentences (VanPatten &amp; Smith, 2014).  </w:t>
            </w:r>
          </w:p>
          <w:p w14:paraId="20AE6B55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Auditory grammaticality judgment: learners listen to sentences and judge whether they are grammatical (Granena &amp; Long, 2013) </w:t>
            </w:r>
          </w:p>
          <w:p w14:paraId="5E5852F3" w14:textId="7B754E83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Free oral production: learners perform an oral task</w:t>
            </w:r>
            <w:r w:rsidR="0034355D">
              <w:rPr>
                <w:rFonts w:ascii="Times New Roman" w:eastAsia="DengXian" w:hAnsi="Times New Roman" w:cs="Times New Roman"/>
                <w:sz w:val="24"/>
                <w:szCs w:val="24"/>
              </w:rPr>
              <w:t>,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and their accuracy rate is calculated (Granena &amp; Long, 2013; Yalçın &amp; Spada, 2016)</w:t>
            </w:r>
          </w:p>
          <w:p w14:paraId="7D732185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Recognition: learners read and judge whether they have seen sentences in the treatment/exposure stage (Hamrick, 2015)</w:t>
            </w:r>
          </w:p>
          <w:p w14:paraId="44D9E513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Sentence matching: learners match sentences with pictures based on meaning (Kasprowicz et al., 2019; Lado, 2017)</w:t>
            </w:r>
          </w:p>
          <w:p w14:paraId="7635EA2F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Coefficient of variance (CV): ratio between the standard deviation of reaction time and mean reaction time for correct responses (Pili-Moss et al., 2020; Suzuki, 2018). A decrease in CV represents faster reaction time as well as lower variability of learning outcomes. It is a measure of automatization and restructuring. </w:t>
            </w:r>
          </w:p>
          <w:p w14:paraId="0D65F694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Dictation: learners write down sentences containing the measured linguistic structure (Sheen, 2008).</w:t>
            </w:r>
          </w:p>
          <w:p w14:paraId="1BB135A7" w14:textId="77777777" w:rsidR="00033E06" w:rsidRP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Trials to criterion: the number of items learners complete before they start to answer three items correctly in a row during the instructional treatment (VanPatten &amp; Borst, 2012). Each item requires the learner to choose one of two pictures based on the meaning of a sentence they read.</w:t>
            </w:r>
          </w:p>
          <w:p w14:paraId="226701FC" w14:textId="77777777" w:rsidR="00033E06" w:rsidRDefault="00033E06" w:rsidP="00033E06">
            <w:pPr>
              <w:numPr>
                <w:ilvl w:val="0"/>
                <w:numId w:val="1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Limited oral production: learners give brief descriptions to discrete pictures (Yilmaz, 2013; Yilmaz &amp; Granena, 2019).</w:t>
            </w:r>
          </w:p>
          <w:p w14:paraId="78640FBF" w14:textId="477303D6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5DC8E0B4" w14:textId="77777777" w:rsidTr="009D7B0A">
        <w:trPr>
          <w:trHeight w:val="657"/>
        </w:trPr>
        <w:tc>
          <w:tcPr>
            <w:tcW w:w="1990" w:type="dxa"/>
            <w:tcBorders>
              <w:top w:val="single" w:sz="4" w:space="0" w:color="auto"/>
              <w:bottom w:val="nil"/>
            </w:tcBorders>
          </w:tcPr>
          <w:p w14:paraId="3BFDCDEF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Vocabulary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12D212F5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Collocations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202DFF46" w14:textId="21DE4253" w:rsidR="00033E06" w:rsidRPr="00033E06" w:rsidRDefault="00033E06" w:rsidP="00033E06">
            <w:pPr>
              <w:numPr>
                <w:ilvl w:val="0"/>
                <w:numId w:val="2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Phrase completion: learners complete multiword units (Granena &amp; Long, 2013)</w:t>
            </w:r>
          </w:p>
          <w:p w14:paraId="74C1376E" w14:textId="01B70555" w:rsidR="00033E06" w:rsidRDefault="00033E06" w:rsidP="00033E06">
            <w:pPr>
              <w:numPr>
                <w:ilvl w:val="0"/>
                <w:numId w:val="2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Phrasal judgment: learners judge the appropriateness of multiword units (Granena &amp; Long, 2013); scoring can be based on both accuracy and reaction time (Yi, 2018)</w:t>
            </w:r>
          </w:p>
          <w:p w14:paraId="1FA6D1BC" w14:textId="2FB2ADC5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23D0E8C4" w14:textId="77777777" w:rsidTr="009D7B0A">
        <w:trPr>
          <w:trHeight w:val="657"/>
        </w:trPr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7E613733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728F8940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Words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0791417B" w14:textId="77777777" w:rsidR="00033E06" w:rsidRPr="00033E06" w:rsidRDefault="00033E06" w:rsidP="00033E06">
            <w:pPr>
              <w:numPr>
                <w:ilvl w:val="0"/>
                <w:numId w:val="2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Picture naming: learners name pictures orally (Li &amp; DeKeyser, 2017)</w:t>
            </w:r>
          </w:p>
          <w:p w14:paraId="6A89CE71" w14:textId="77777777" w:rsidR="00033E06" w:rsidRPr="00033E06" w:rsidRDefault="00033E06" w:rsidP="00033E06">
            <w:pPr>
              <w:numPr>
                <w:ilvl w:val="0"/>
                <w:numId w:val="2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Word comprehension: learners hear a word and then select a picture that matches its meaning (Li &amp; DeKeyser, 2017)</w:t>
            </w:r>
          </w:p>
          <w:p w14:paraId="43C1BF2F" w14:textId="77777777" w:rsidR="00033E06" w:rsidRPr="00033E06" w:rsidRDefault="00033E06" w:rsidP="00033E06">
            <w:pPr>
              <w:numPr>
                <w:ilvl w:val="0"/>
                <w:numId w:val="2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Dictation: learners write down words they hear (Talimini et al., 2018)</w:t>
            </w:r>
          </w:p>
          <w:p w14:paraId="2C333E07" w14:textId="77777777" w:rsidR="00033E06" w:rsidRDefault="00033E06" w:rsidP="00033E06">
            <w:pPr>
              <w:numPr>
                <w:ilvl w:val="0"/>
                <w:numId w:val="2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Translation: learners translate words from L1 to L2 (Winke, 2005)</w:t>
            </w:r>
          </w:p>
          <w:p w14:paraId="7AD04AC2" w14:textId="33786123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43B87BBE" w14:textId="77777777" w:rsidTr="009D7B0A">
        <w:trPr>
          <w:trHeight w:val="669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07E7D73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Pronunciation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2F9F5AE0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0F6E22C3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Reading aloud </w:t>
            </w:r>
          </w:p>
          <w:p w14:paraId="0F384F16" w14:textId="77777777" w:rsidR="00033E06" w:rsidRPr="00033E06" w:rsidRDefault="00033E06" w:rsidP="00033E06">
            <w:pPr>
              <w:numPr>
                <w:ilvl w:val="0"/>
                <w:numId w:val="7"/>
              </w:numPr>
              <w:spacing w:after="1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Sentences: learners read sentences and their speech samples were rated in terms of 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  <w:t xml:space="preserve">accentedness 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(Granena &amp; Long, 2013; Hu et al., 2013; Smemoe &amp; Haslam, 2013; Winke, 2005)</w:t>
            </w:r>
          </w:p>
          <w:p w14:paraId="7E3EB3F7" w14:textId="77777777" w:rsidR="00033E06" w:rsidRPr="00033E06" w:rsidRDefault="00033E06" w:rsidP="00033E06">
            <w:pPr>
              <w:numPr>
                <w:ilvl w:val="0"/>
                <w:numId w:val="7"/>
              </w:numPr>
              <w:spacing w:after="1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Words: learners read a list of words (Li &amp; DeKeyser, 2017)</w:t>
            </w:r>
          </w:p>
          <w:p w14:paraId="468AF4AE" w14:textId="77777777" w:rsidR="00033E06" w:rsidRPr="00033E06" w:rsidRDefault="00033E06" w:rsidP="00033E06">
            <w:pPr>
              <w:numPr>
                <w:ilvl w:val="0"/>
                <w:numId w:val="7"/>
              </w:numPr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Sound recognition: learners hear a word and select the right pronunciation (Li &amp; DeKeyser, 2017)</w:t>
            </w:r>
          </w:p>
          <w:p w14:paraId="71B0764C" w14:textId="65543630" w:rsidR="00033E06" w:rsidRDefault="00033E06" w:rsidP="00033E06">
            <w:pPr>
              <w:numPr>
                <w:ilvl w:val="0"/>
                <w:numId w:val="8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Spontaneous production: learners freely speak about a topic and are rated in terms of accentedness, fluency, comprehensibility and segmental (sounds) and suprasegmental (stress, rhythm, etc.) accuracy (Saito et al., 2019a, b; SSLA and Bilingualism; Smemoe &amp; Haslam, 2013)</w:t>
            </w:r>
          </w:p>
          <w:p w14:paraId="5BD98B0E" w14:textId="630FD6CE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48C94E9E" w14:textId="77777777" w:rsidTr="009D7B0A">
        <w:trPr>
          <w:trHeight w:val="657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176FF1D5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3C9D28A2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742CA7CA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Tasks </w:t>
            </w:r>
          </w:p>
          <w:p w14:paraId="702DE186" w14:textId="77777777" w:rsidR="00033E06" w:rsidRPr="00033E06" w:rsidRDefault="00033E06" w:rsidP="00033E06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Monologue (Granena &amp; Long, 2013; Smemoe &amp; Haslem, 2013)</w:t>
            </w:r>
          </w:p>
          <w:p w14:paraId="2B31B64F" w14:textId="77777777" w:rsidR="00033E06" w:rsidRPr="00033E06" w:rsidRDefault="00033E06" w:rsidP="00033E06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Interviews (Sparks et al., 2012)</w:t>
            </w:r>
          </w:p>
          <w:p w14:paraId="2D2BCC71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Measured aspects</w:t>
            </w:r>
          </w:p>
          <w:p w14:paraId="044ED96E" w14:textId="643A472E" w:rsidR="00033E06" w:rsidRPr="00033E06" w:rsidRDefault="00033E06" w:rsidP="00033E06">
            <w:pPr>
              <w:numPr>
                <w:ilvl w:val="0"/>
                <w:numId w:val="5"/>
              </w:numPr>
              <w:spacing w:after="1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Objective measures: and 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  <w:t>calculations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were made for complexity, accuracy, and fluency based on the 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  <w:t>transcripts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(Granena, 2019); task-specific measures may be included</w:t>
            </w:r>
            <w:r w:rsidR="00E9041C">
              <w:rPr>
                <w:rFonts w:ascii="Times New Roman" w:eastAsia="DengXian" w:hAnsi="Times New Roman" w:cs="Times New Roman"/>
                <w:sz w:val="24"/>
                <w:szCs w:val="24"/>
              </w:rPr>
              <w:t>,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such as the past tense and relative clauses (Kormos &amp; Trebits, 2012) </w:t>
            </w:r>
          </w:p>
          <w:p w14:paraId="48E0ADB3" w14:textId="77777777" w:rsidR="00033E06" w:rsidRDefault="00033E06" w:rsidP="00033E06">
            <w:pPr>
              <w:numPr>
                <w:ilvl w:val="0"/>
                <w:numId w:val="5"/>
              </w:numPr>
              <w:spacing w:after="1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Subjective measures: the speech samples were 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  <w:t>rated</w:t>
            </w: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holistically by native speakers (Smemoe &amp; Haslam, 2013; Sparks et al., 2012) </w:t>
            </w:r>
          </w:p>
          <w:p w14:paraId="5FF80449" w14:textId="44DF62DE" w:rsidR="009D7B0A" w:rsidRPr="00033E06" w:rsidRDefault="009D7B0A" w:rsidP="009D7B0A">
            <w:pPr>
              <w:spacing w:after="120"/>
              <w:ind w:left="720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5B2620E5" w14:textId="77777777" w:rsidTr="009D7B0A">
        <w:trPr>
          <w:trHeight w:val="657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DD9E507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Reading/Listening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5B343161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7C574F8B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Multiple choice (Roehr-Brackin &amp; Tellier, 2019)</w:t>
            </w:r>
          </w:p>
          <w:p w14:paraId="3C938A9F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Translation (reading comprehension): learners translate sentences from L2 to L1 (Winke, 2005)</w:t>
            </w:r>
          </w:p>
          <w:p w14:paraId="05211FC4" w14:textId="77777777" w:rsid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Recall (listening comprehension): learners listen to a text and write down main ideas (Winke, 2005)</w:t>
            </w:r>
          </w:p>
          <w:p w14:paraId="0339CACF" w14:textId="6E7477B4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377B92A6" w14:textId="77777777" w:rsidTr="009D7B0A">
        <w:trPr>
          <w:trHeight w:val="657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0C8C5C9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Writing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1158A3A3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108A621C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Sentence making (for children): children copy key words and see examples with pictures before writing their own sentences (Roehr-Brackin &amp; Tellier, 2019)</w:t>
            </w:r>
          </w:p>
          <w:p w14:paraId="55AEF27C" w14:textId="77777777" w:rsid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Letter writing: learners write a letter in response to a letter they read (Sparks et al., 2012)</w:t>
            </w:r>
          </w:p>
          <w:p w14:paraId="27E28100" w14:textId="62CC60EB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033E06" w:rsidRPr="00033E06" w14:paraId="57B6700D" w14:textId="77777777" w:rsidTr="009D7B0A">
        <w:trPr>
          <w:trHeight w:val="669"/>
        </w:trPr>
        <w:tc>
          <w:tcPr>
            <w:tcW w:w="4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5C63F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Overall proficiency</w:t>
            </w:r>
          </w:p>
          <w:p w14:paraId="4A830D7E" w14:textId="77777777" w:rsidR="00033E06" w:rsidRPr="00033E06" w:rsidRDefault="00033E06" w:rsidP="00033E06">
            <w:pPr>
              <w:spacing w:after="1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20A973DE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Michigan Test of English Language Proficiency: standardized test consisting of grammar, vocabulary, and reading (Hummel &amp; French, 2016).</w:t>
            </w:r>
          </w:p>
          <w:p w14:paraId="1FCEBE01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General Certificate of Second Education national exams (Kaufman et al., 2010)</w:t>
            </w:r>
          </w:p>
          <w:p w14:paraId="595BE23C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Test developed by researchers comprising reading, listening, and writing (Kiss &amp; Nikolov, 2005)</w:t>
            </w:r>
          </w:p>
          <w:p w14:paraId="350308A4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Course grades (Sparks et al., 2012)</w:t>
            </w:r>
          </w:p>
          <w:p w14:paraId="506F442F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Cambridge First Certificate Exam (Safar &amp; Kormos, 2008) </w:t>
            </w:r>
          </w:p>
          <w:p w14:paraId="57979949" w14:textId="77777777" w:rsidR="00033E06" w:rsidRP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Tests created based on the ACTFL guidelines (Sparks et al., 2012)</w:t>
            </w:r>
          </w:p>
          <w:p w14:paraId="1C3BD66B" w14:textId="77777777" w:rsidR="00033E06" w:rsidRDefault="00033E06" w:rsidP="00033E06">
            <w:pPr>
              <w:numPr>
                <w:ilvl w:val="0"/>
                <w:numId w:val="3"/>
              </w:numPr>
              <w:spacing w:after="120"/>
              <w:ind w:left="288" w:hanging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33E06">
              <w:rPr>
                <w:rFonts w:ascii="Times New Roman" w:eastAsia="DengXian" w:hAnsi="Times New Roman" w:cs="Times New Roman"/>
                <w:sz w:val="24"/>
                <w:szCs w:val="24"/>
              </w:rPr>
              <w:t>Defense Language Proficiency Tests (Winke, 2013)</w:t>
            </w:r>
          </w:p>
          <w:p w14:paraId="6DE07A08" w14:textId="33995417" w:rsidR="009D7B0A" w:rsidRPr="00033E06" w:rsidRDefault="009D7B0A" w:rsidP="009D7B0A">
            <w:pPr>
              <w:spacing w:after="120"/>
              <w:ind w:left="288"/>
              <w:contextualSpacing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</w:tbl>
    <w:p w14:paraId="451FFDF4" w14:textId="77777777" w:rsidR="00033E06" w:rsidRPr="00033E06" w:rsidRDefault="00033E06" w:rsidP="00033E06">
      <w:pPr>
        <w:spacing w:after="120"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3F377607" w14:textId="77777777" w:rsidR="009C02CE" w:rsidRDefault="00E9041C"/>
    <w:sectPr w:rsidR="009C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C63"/>
    <w:multiLevelType w:val="hybridMultilevel"/>
    <w:tmpl w:val="83AE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0AE8"/>
    <w:multiLevelType w:val="hybridMultilevel"/>
    <w:tmpl w:val="2C6E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B37"/>
    <w:multiLevelType w:val="hybridMultilevel"/>
    <w:tmpl w:val="2ACC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C4253"/>
    <w:multiLevelType w:val="hybridMultilevel"/>
    <w:tmpl w:val="2506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4382B"/>
    <w:multiLevelType w:val="hybridMultilevel"/>
    <w:tmpl w:val="07D0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2E60"/>
    <w:multiLevelType w:val="hybridMultilevel"/>
    <w:tmpl w:val="C608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F208C"/>
    <w:multiLevelType w:val="hybridMultilevel"/>
    <w:tmpl w:val="992E1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0429D"/>
    <w:multiLevelType w:val="hybridMultilevel"/>
    <w:tmpl w:val="74681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7BB"/>
    <w:multiLevelType w:val="hybridMultilevel"/>
    <w:tmpl w:val="C12A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06"/>
    <w:rsid w:val="00033349"/>
    <w:rsid w:val="00033E06"/>
    <w:rsid w:val="000E5D07"/>
    <w:rsid w:val="001F4430"/>
    <w:rsid w:val="001F725C"/>
    <w:rsid w:val="002077FC"/>
    <w:rsid w:val="00275090"/>
    <w:rsid w:val="0032045A"/>
    <w:rsid w:val="003269B5"/>
    <w:rsid w:val="0034355D"/>
    <w:rsid w:val="00357815"/>
    <w:rsid w:val="00465313"/>
    <w:rsid w:val="004E7C91"/>
    <w:rsid w:val="00582889"/>
    <w:rsid w:val="005E121D"/>
    <w:rsid w:val="00790B62"/>
    <w:rsid w:val="0080619B"/>
    <w:rsid w:val="00812413"/>
    <w:rsid w:val="00887CAA"/>
    <w:rsid w:val="008A63BA"/>
    <w:rsid w:val="008F128D"/>
    <w:rsid w:val="00940ECF"/>
    <w:rsid w:val="009D7B0A"/>
    <w:rsid w:val="00AF063F"/>
    <w:rsid w:val="00B52267"/>
    <w:rsid w:val="00C37086"/>
    <w:rsid w:val="00C9478F"/>
    <w:rsid w:val="00D70AF6"/>
    <w:rsid w:val="00DB1174"/>
    <w:rsid w:val="00E9041C"/>
    <w:rsid w:val="00EB6179"/>
    <w:rsid w:val="00EC720F"/>
    <w:rsid w:val="00EE2016"/>
    <w:rsid w:val="00EF1CBD"/>
    <w:rsid w:val="00F036FD"/>
    <w:rsid w:val="00F22149"/>
    <w:rsid w:val="00F27D9E"/>
    <w:rsid w:val="00F33352"/>
    <w:rsid w:val="00F4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87A4"/>
  <w15:chartTrackingRefBased/>
  <w15:docId w15:val="{652F2ECD-72F5-4325-97E5-C513BA1B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2612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Li</dc:creator>
  <cp:keywords/>
  <dc:description/>
  <cp:lastModifiedBy>David Kaufman</cp:lastModifiedBy>
  <cp:revision>27</cp:revision>
  <dcterms:created xsi:type="dcterms:W3CDTF">2021-01-28T19:56:00Z</dcterms:created>
  <dcterms:modified xsi:type="dcterms:W3CDTF">2021-01-30T19:36:00Z</dcterms:modified>
</cp:coreProperties>
</file>