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BB92" w14:textId="76109BF1" w:rsidR="00965FC1" w:rsidRPr="008929AB" w:rsidRDefault="000964B2" w:rsidP="000964B2">
      <w:pPr>
        <w:pStyle w:val="Title"/>
        <w:rPr>
          <w:b/>
          <w:bCs/>
          <w:sz w:val="36"/>
          <w:szCs w:val="36"/>
        </w:rPr>
      </w:pPr>
      <w:r w:rsidRPr="008929AB">
        <w:rPr>
          <w:b/>
          <w:bCs/>
          <w:sz w:val="36"/>
          <w:szCs w:val="36"/>
        </w:rPr>
        <w:t>Supplementary material</w:t>
      </w:r>
      <w:r w:rsidR="008929AB" w:rsidRPr="008929AB">
        <w:rPr>
          <w:b/>
          <w:bCs/>
          <w:sz w:val="36"/>
          <w:szCs w:val="36"/>
        </w:rPr>
        <w:t xml:space="preserve"> A1</w:t>
      </w:r>
    </w:p>
    <w:p w14:paraId="32082CC9" w14:textId="77777777" w:rsidR="008929AB" w:rsidRPr="008929AB" w:rsidRDefault="008929AB" w:rsidP="008929AB"/>
    <w:p w14:paraId="0A0C12BB" w14:textId="0C37570B" w:rsidR="008929AB" w:rsidRDefault="008929AB" w:rsidP="008929AB">
      <w:pPr>
        <w:rPr>
          <w:vertAlign w:val="superscript"/>
        </w:rPr>
      </w:pPr>
      <w:r>
        <w:t>Trevan Flynn</w:t>
      </w:r>
      <w:r>
        <w:rPr>
          <w:vertAlign w:val="superscript"/>
        </w:rPr>
        <w:t>1</w:t>
      </w:r>
      <w:r>
        <w:t xml:space="preserve">*, </w:t>
      </w:r>
      <w:r>
        <w:rPr>
          <w:rFonts w:eastAsia="Times New Roman"/>
          <w:lang w:eastAsia="en-GB"/>
        </w:rPr>
        <w:t>Jiri Tuma</w:t>
      </w:r>
      <w:r>
        <w:rPr>
          <w:rFonts w:eastAsia="Times New Roman"/>
          <w:vertAlign w:val="superscript"/>
          <w:lang w:eastAsia="en-GB"/>
        </w:rPr>
        <w:t>2,3</w:t>
      </w:r>
      <w:r>
        <w:t>, Tom M. Fayle</w:t>
      </w:r>
      <w:r>
        <w:rPr>
          <w:vertAlign w:val="superscript"/>
        </w:rPr>
        <w:t>4,2</w:t>
      </w:r>
      <w:r w:rsidRPr="00846C05">
        <w:t xml:space="preserve">, </w:t>
      </w:r>
      <w:r>
        <w:t>Hana Vesel</w:t>
      </w:r>
      <w:r>
        <w:rPr>
          <w:lang w:val="cs-CZ"/>
        </w:rPr>
        <w:t>á</w:t>
      </w:r>
      <w:r>
        <w:rPr>
          <w:vertAlign w:val="superscript"/>
          <w:lang w:val="cs-CZ"/>
        </w:rPr>
        <w:t>5</w:t>
      </w:r>
      <w:r>
        <w:t xml:space="preserve"> Jan Frouz</w:t>
      </w:r>
      <w:r>
        <w:rPr>
          <w:vertAlign w:val="superscript"/>
        </w:rPr>
        <w:t>1,5</w:t>
      </w:r>
    </w:p>
    <w:p w14:paraId="4F62CE30" w14:textId="77777777" w:rsidR="008929AB" w:rsidRDefault="008929AB" w:rsidP="008929AB">
      <w:pPr>
        <w:spacing w:after="0" w:line="240" w:lineRule="auto"/>
        <w:contextualSpacing/>
      </w:pPr>
      <w:r w:rsidRPr="00776886">
        <w:rPr>
          <w:vertAlign w:val="superscript"/>
        </w:rPr>
        <w:t>1</w:t>
      </w:r>
      <w:r w:rsidRPr="00776886">
        <w:t xml:space="preserve">Biology Centre of the Czech Academy of Sciences, </w:t>
      </w:r>
      <w:proofErr w:type="spellStart"/>
      <w:r w:rsidRPr="00776886">
        <w:t>SoWa</w:t>
      </w:r>
      <w:proofErr w:type="spellEnd"/>
      <w:r w:rsidRPr="00776886">
        <w:t xml:space="preserve"> Research Infrastructure, Na </w:t>
      </w:r>
      <w:proofErr w:type="spellStart"/>
      <w:r w:rsidRPr="00776886">
        <w:t>Sádkach</w:t>
      </w:r>
      <w:proofErr w:type="spellEnd"/>
      <w:r w:rsidRPr="00776886">
        <w:t xml:space="preserve"> 7, 370 05 </w:t>
      </w:r>
      <w:proofErr w:type="spellStart"/>
      <w:r w:rsidRPr="00776886">
        <w:t>České</w:t>
      </w:r>
      <w:proofErr w:type="spellEnd"/>
      <w:r w:rsidRPr="00776886">
        <w:t xml:space="preserve"> </w:t>
      </w:r>
      <w:proofErr w:type="spellStart"/>
      <w:r w:rsidRPr="00776886">
        <w:t>Budějovice</w:t>
      </w:r>
      <w:proofErr w:type="spellEnd"/>
      <w:r w:rsidRPr="00776886">
        <w:t>, Czech Republic</w:t>
      </w:r>
    </w:p>
    <w:p w14:paraId="1C8CEB78" w14:textId="77777777" w:rsidR="008929AB" w:rsidRDefault="008929AB" w:rsidP="008929AB">
      <w:pPr>
        <w:spacing w:after="0" w:line="240" w:lineRule="auto"/>
        <w:contextualSpacing/>
      </w:pPr>
    </w:p>
    <w:p w14:paraId="653220E0" w14:textId="77777777" w:rsidR="008929AB" w:rsidRDefault="008929AB" w:rsidP="008929AB">
      <w:pPr>
        <w:spacing w:line="240" w:lineRule="auto"/>
      </w:pPr>
      <w:r>
        <w:rPr>
          <w:rFonts w:eastAsia="Times New Roman"/>
          <w:vertAlign w:val="superscript"/>
        </w:rPr>
        <w:t>2</w:t>
      </w:r>
      <w:r>
        <w:rPr>
          <w:rFonts w:eastAsia="Times New Roman"/>
        </w:rPr>
        <w:t xml:space="preserve">Biology Centre of the Czech Academy of Sciences, Institute of Entomology, </w:t>
      </w:r>
      <w:proofErr w:type="spellStart"/>
      <w:r>
        <w:rPr>
          <w:rFonts w:eastAsia="Times New Roman"/>
        </w:rPr>
        <w:t>Branišovská</w:t>
      </w:r>
      <w:proofErr w:type="spellEnd"/>
      <w:r>
        <w:rPr>
          <w:rFonts w:eastAsia="Times New Roman"/>
        </w:rPr>
        <w:t xml:space="preserve"> 1160/31, 370 05, </w:t>
      </w:r>
      <w:proofErr w:type="spellStart"/>
      <w:r>
        <w:rPr>
          <w:rFonts w:eastAsia="Times New Roman"/>
        </w:rPr>
        <w:t>České</w:t>
      </w:r>
      <w:proofErr w:type="spellEnd"/>
      <w:r>
        <w:rPr>
          <w:rFonts w:eastAsia="Times New Roman"/>
        </w:rPr>
        <w:t xml:space="preserve"> </w:t>
      </w:r>
      <w:proofErr w:type="spellStart"/>
      <w:r>
        <w:rPr>
          <w:rFonts w:eastAsia="Times New Roman"/>
        </w:rPr>
        <w:t>Budějovice</w:t>
      </w:r>
      <w:proofErr w:type="spellEnd"/>
      <w:r>
        <w:rPr>
          <w:rFonts w:eastAsia="Times New Roman"/>
        </w:rPr>
        <w:t>, Czech Republic</w:t>
      </w:r>
    </w:p>
    <w:p w14:paraId="4F2419C0" w14:textId="77777777" w:rsidR="008929AB" w:rsidRDefault="008929AB" w:rsidP="008929AB">
      <w:pPr>
        <w:spacing w:after="0" w:line="240" w:lineRule="auto"/>
        <w:rPr>
          <w:rFonts w:eastAsia="Times New Roman"/>
        </w:rPr>
      </w:pPr>
      <w:r>
        <w:rPr>
          <w:rFonts w:cstheme="minorHAnsi"/>
          <w:vertAlign w:val="superscript"/>
        </w:rPr>
        <w:t>3</w:t>
      </w:r>
      <w:r>
        <w:rPr>
          <w:rFonts w:eastAsia="Times New Roman"/>
        </w:rPr>
        <w:t xml:space="preserve">Biology Centre of the Czech Academy of Sciences, Institute of Soil Biology, Na </w:t>
      </w:r>
      <w:proofErr w:type="spellStart"/>
      <w:r>
        <w:rPr>
          <w:rFonts w:eastAsia="Times New Roman"/>
        </w:rPr>
        <w:t>Sádkach</w:t>
      </w:r>
      <w:proofErr w:type="spellEnd"/>
      <w:r>
        <w:rPr>
          <w:rFonts w:eastAsia="Times New Roman"/>
        </w:rPr>
        <w:t xml:space="preserve"> 7, 370 05, </w:t>
      </w:r>
      <w:proofErr w:type="spellStart"/>
      <w:r>
        <w:rPr>
          <w:rFonts w:eastAsia="Times New Roman"/>
        </w:rPr>
        <w:t>České</w:t>
      </w:r>
      <w:proofErr w:type="spellEnd"/>
      <w:r>
        <w:rPr>
          <w:rFonts w:eastAsia="Times New Roman"/>
        </w:rPr>
        <w:t xml:space="preserve"> </w:t>
      </w:r>
      <w:proofErr w:type="spellStart"/>
      <w:r>
        <w:rPr>
          <w:rFonts w:eastAsia="Times New Roman"/>
        </w:rPr>
        <w:t>Budějovice</w:t>
      </w:r>
      <w:proofErr w:type="spellEnd"/>
      <w:r>
        <w:rPr>
          <w:rFonts w:eastAsia="Times New Roman"/>
        </w:rPr>
        <w:t>, Czech Republic </w:t>
      </w:r>
    </w:p>
    <w:p w14:paraId="36FCB590" w14:textId="77777777" w:rsidR="008929AB" w:rsidRDefault="008929AB" w:rsidP="008929AB">
      <w:pPr>
        <w:spacing w:after="0" w:line="240" w:lineRule="auto"/>
        <w:rPr>
          <w:rFonts w:eastAsia="Times New Roman"/>
        </w:rPr>
      </w:pPr>
    </w:p>
    <w:p w14:paraId="17CE34D9" w14:textId="77777777" w:rsidR="008929AB" w:rsidRDefault="008929AB" w:rsidP="008929AB">
      <w:pPr>
        <w:spacing w:after="0" w:line="240" w:lineRule="auto"/>
        <w:rPr>
          <w:rFonts w:eastAsia="Times New Roman"/>
        </w:rPr>
      </w:pPr>
      <w:r w:rsidRPr="00776886">
        <w:rPr>
          <w:rFonts w:eastAsia="Times New Roman"/>
          <w:vertAlign w:val="superscript"/>
        </w:rPr>
        <w:t>4</w:t>
      </w:r>
      <w:r w:rsidRPr="00466337">
        <w:rPr>
          <w:rFonts w:eastAsia="Times New Roman"/>
        </w:rPr>
        <w:t>School of Biological and Behavioural</w:t>
      </w:r>
      <w:r>
        <w:rPr>
          <w:rFonts w:eastAsia="Times New Roman"/>
        </w:rPr>
        <w:t xml:space="preserve"> </w:t>
      </w:r>
      <w:r w:rsidRPr="00466337">
        <w:rPr>
          <w:rFonts w:eastAsia="Times New Roman"/>
        </w:rPr>
        <w:t>Sciences, Queen Mary University of</w:t>
      </w:r>
      <w:r>
        <w:rPr>
          <w:rFonts w:eastAsia="Times New Roman"/>
        </w:rPr>
        <w:t xml:space="preserve"> </w:t>
      </w:r>
      <w:r w:rsidRPr="00466337">
        <w:rPr>
          <w:rFonts w:eastAsia="Times New Roman"/>
        </w:rPr>
        <w:t>London, London, UK</w:t>
      </w:r>
    </w:p>
    <w:p w14:paraId="5CCE3302" w14:textId="77777777" w:rsidR="008929AB" w:rsidRDefault="008929AB" w:rsidP="008929AB">
      <w:pPr>
        <w:spacing w:after="0" w:line="240" w:lineRule="auto"/>
        <w:rPr>
          <w:rFonts w:eastAsia="Times New Roman"/>
        </w:rPr>
      </w:pPr>
    </w:p>
    <w:p w14:paraId="6D87CD2F" w14:textId="77777777" w:rsidR="008929AB" w:rsidRDefault="008929AB" w:rsidP="008929AB">
      <w:pPr>
        <w:spacing w:after="0" w:line="240" w:lineRule="auto"/>
        <w:rPr>
          <w:rFonts w:cstheme="minorHAnsi"/>
        </w:rPr>
      </w:pPr>
      <w:r>
        <w:rPr>
          <w:rFonts w:cstheme="minorHAnsi"/>
          <w:vertAlign w:val="superscript"/>
        </w:rPr>
        <w:t>5</w:t>
      </w:r>
      <w:r>
        <w:rPr>
          <w:rFonts w:cstheme="minorHAnsi"/>
        </w:rPr>
        <w:t xml:space="preserve">Institute for Environmental studies, Charles University, </w:t>
      </w:r>
      <w:proofErr w:type="spellStart"/>
      <w:r>
        <w:rPr>
          <w:rFonts w:cstheme="minorHAnsi"/>
        </w:rPr>
        <w:t>Benátská</w:t>
      </w:r>
      <w:proofErr w:type="spellEnd"/>
      <w:r>
        <w:rPr>
          <w:rFonts w:cstheme="minorHAnsi"/>
        </w:rPr>
        <w:t xml:space="preserve"> 2, 12800 Prague, Czech Republic</w:t>
      </w:r>
    </w:p>
    <w:p w14:paraId="0DD76EC7" w14:textId="77777777" w:rsidR="008929AB" w:rsidRDefault="008929AB" w:rsidP="008929AB">
      <w:pPr>
        <w:spacing w:after="0" w:line="240" w:lineRule="auto"/>
        <w:rPr>
          <w:lang w:eastAsia="en-GB"/>
        </w:rPr>
      </w:pPr>
    </w:p>
    <w:p w14:paraId="1CC16E95" w14:textId="77777777" w:rsidR="008929AB" w:rsidRDefault="008929AB" w:rsidP="008929AB">
      <w:pPr>
        <w:spacing w:after="0" w:line="240" w:lineRule="auto"/>
        <w:rPr>
          <w:rFonts w:cstheme="minorHAnsi"/>
        </w:rPr>
      </w:pPr>
      <w:r>
        <w:rPr>
          <w:vertAlign w:val="superscript"/>
          <w:lang w:eastAsia="en-GB"/>
        </w:rPr>
        <w:t>4</w:t>
      </w:r>
      <w:r w:rsidRPr="0044619E">
        <w:rPr>
          <w:lang w:eastAsia="en-GB"/>
        </w:rPr>
        <w:t xml:space="preserve">Institute for Tropical Biology and Conservation, </w:t>
      </w:r>
      <w:proofErr w:type="spellStart"/>
      <w:r w:rsidRPr="0044619E">
        <w:rPr>
          <w:lang w:eastAsia="en-GB"/>
        </w:rPr>
        <w:t>Universiti</w:t>
      </w:r>
      <w:proofErr w:type="spellEnd"/>
      <w:r w:rsidRPr="0044619E">
        <w:rPr>
          <w:lang w:eastAsia="en-GB"/>
        </w:rPr>
        <w:t xml:space="preserve"> Malaysia Sabah, 88400, Kota Kinabalu, Sabah, Malaysia</w:t>
      </w:r>
    </w:p>
    <w:p w14:paraId="43BC1D00" w14:textId="77777777" w:rsidR="008929AB" w:rsidRDefault="008929AB" w:rsidP="008929AB">
      <w:pPr>
        <w:spacing w:after="0" w:line="240" w:lineRule="auto"/>
        <w:rPr>
          <w:rFonts w:cstheme="minorHAnsi"/>
        </w:rPr>
      </w:pPr>
    </w:p>
    <w:p w14:paraId="22B15ECC" w14:textId="77777777" w:rsidR="008929AB" w:rsidRDefault="008929AB" w:rsidP="008929AB">
      <w:pPr>
        <w:spacing w:after="0" w:line="240" w:lineRule="auto"/>
        <w:rPr>
          <w:rFonts w:cstheme="minorHAnsi"/>
        </w:rPr>
      </w:pPr>
    </w:p>
    <w:p w14:paraId="098E6AC4" w14:textId="77777777" w:rsidR="008929AB" w:rsidRDefault="008929AB" w:rsidP="008929AB">
      <w:pPr>
        <w:spacing w:after="0"/>
        <w:rPr>
          <w:rFonts w:cstheme="minorHAnsi"/>
        </w:rPr>
      </w:pPr>
      <w:r>
        <w:rPr>
          <w:rFonts w:cstheme="minorHAnsi"/>
        </w:rPr>
        <w:t xml:space="preserve">*Corresponding author’s email: </w:t>
      </w:r>
      <w:hyperlink r:id="rId5" w:history="1">
        <w:r w:rsidRPr="005617CB">
          <w:rPr>
            <w:rStyle w:val="Hyperlink"/>
            <w:rFonts w:cstheme="minorHAnsi"/>
          </w:rPr>
          <w:t>trevanflynn@gmail.com</w:t>
        </w:r>
      </w:hyperlink>
      <w:r>
        <w:rPr>
          <w:rFonts w:cstheme="minorHAnsi"/>
        </w:rPr>
        <w:t xml:space="preserve"> </w:t>
      </w:r>
    </w:p>
    <w:p w14:paraId="495469C0" w14:textId="77777777" w:rsidR="008929AB" w:rsidRDefault="008929AB" w:rsidP="008929AB"/>
    <w:p w14:paraId="7B617D0E" w14:textId="77777777" w:rsidR="008929AB" w:rsidRDefault="008929AB" w:rsidP="008929AB"/>
    <w:p w14:paraId="45BFC96D" w14:textId="77777777" w:rsidR="008929AB" w:rsidRDefault="008929AB" w:rsidP="008929AB"/>
    <w:p w14:paraId="1DF3041C" w14:textId="77777777" w:rsidR="008929AB" w:rsidRDefault="008929AB" w:rsidP="008929AB"/>
    <w:p w14:paraId="5D145AF3" w14:textId="77777777" w:rsidR="008929AB" w:rsidRDefault="008929AB" w:rsidP="008929AB"/>
    <w:p w14:paraId="0D78CEB4" w14:textId="77777777" w:rsidR="008929AB" w:rsidRDefault="008929AB" w:rsidP="008929AB"/>
    <w:p w14:paraId="529F09DA" w14:textId="77777777" w:rsidR="008929AB" w:rsidRDefault="008929AB" w:rsidP="008929AB"/>
    <w:p w14:paraId="3F64E413" w14:textId="77777777" w:rsidR="008929AB" w:rsidRDefault="008929AB" w:rsidP="008929AB"/>
    <w:p w14:paraId="231335DA" w14:textId="77777777" w:rsidR="008929AB" w:rsidRDefault="008929AB" w:rsidP="008929AB"/>
    <w:p w14:paraId="7D6331C5" w14:textId="77777777" w:rsidR="008929AB" w:rsidRDefault="008929AB" w:rsidP="008929AB"/>
    <w:p w14:paraId="042FFAEC" w14:textId="77777777" w:rsidR="008929AB" w:rsidRDefault="008929AB" w:rsidP="008929AB"/>
    <w:p w14:paraId="5BD52330" w14:textId="77777777" w:rsidR="008929AB" w:rsidRDefault="008929AB" w:rsidP="008929AB"/>
    <w:p w14:paraId="01E55948" w14:textId="77777777" w:rsidR="008929AB" w:rsidRPr="008929AB" w:rsidRDefault="008929AB" w:rsidP="008929AB"/>
    <w:p w14:paraId="60B6BAA2" w14:textId="77777777" w:rsidR="001F177C" w:rsidRDefault="001F177C">
      <w:pPr>
        <w:rPr>
          <w:rFonts w:asciiTheme="majorHAnsi" w:eastAsiaTheme="majorEastAsia" w:hAnsiTheme="majorHAnsi" w:cstheme="majorBidi"/>
          <w:b/>
          <w:bCs/>
          <w:sz w:val="32"/>
          <w:szCs w:val="32"/>
        </w:rPr>
      </w:pPr>
      <w:r>
        <w:rPr>
          <w:b/>
          <w:bCs/>
        </w:rPr>
        <w:br w:type="page"/>
      </w:r>
    </w:p>
    <w:p w14:paraId="09852E55" w14:textId="763B6C4D" w:rsidR="008929AB" w:rsidRPr="008929AB" w:rsidRDefault="008929AB" w:rsidP="000964B2">
      <w:pPr>
        <w:pStyle w:val="Heading1"/>
        <w:rPr>
          <w:b/>
          <w:bCs/>
          <w:color w:val="auto"/>
        </w:rPr>
      </w:pPr>
      <w:r w:rsidRPr="008929AB">
        <w:rPr>
          <w:b/>
          <w:bCs/>
          <w:color w:val="auto"/>
        </w:rPr>
        <w:lastRenderedPageBreak/>
        <w:t>Summary of theoretical variograms</w:t>
      </w:r>
    </w:p>
    <w:p w14:paraId="2441A193" w14:textId="2E86EED5" w:rsidR="000964B2" w:rsidRDefault="000964B2" w:rsidP="000964B2">
      <w:pPr>
        <w:pStyle w:val="Heading1"/>
      </w:pPr>
      <w:r>
        <w:t>Summary</w:t>
      </w:r>
    </w:p>
    <w:p w14:paraId="09B0F7F3" w14:textId="428BDB53" w:rsidR="000964B2" w:rsidRPr="004B4459" w:rsidRDefault="000964B2" w:rsidP="000964B2">
      <w:r>
        <w:t xml:space="preserve">Description and mathematical formula for the theoretical variograms tested. </w:t>
      </w:r>
      <w:r w:rsidR="004B4459">
        <w:t xml:space="preserve">Theoretical models are curves modelled from sample variograms (point pairs of observations). </w:t>
      </w:r>
      <w:r>
        <w:t xml:space="preserve">For a more in depth </w:t>
      </w:r>
      <w:proofErr w:type="gramStart"/>
      <w:r>
        <w:t>look into</w:t>
      </w:r>
      <w:proofErr w:type="gramEnd"/>
      <w:r>
        <w:t xml:space="preserve"> variogram models please refer to </w:t>
      </w:r>
      <w:sdt>
        <w:sdtPr>
          <w:rPr>
            <w:color w:val="000000"/>
          </w:rPr>
          <w:tag w:val="MENDELEY_CITATION_v3_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"/>
          <w:id w:val="901338795"/>
          <w:placeholder>
            <w:docPart w:val="DefaultPlaceholder_-1854013440"/>
          </w:placeholder>
        </w:sdtPr>
        <w:sdtContent>
          <w:r w:rsidR="00F43398" w:rsidRPr="00F43398">
            <w:rPr>
              <w:rFonts w:eastAsia="Times New Roman"/>
              <w:color w:val="000000"/>
            </w:rPr>
            <w:t>Webster &amp; Oliver (2001).</w:t>
          </w:r>
        </w:sdtContent>
      </w:sdt>
    </w:p>
    <w:p w14:paraId="6C37805D" w14:textId="06D97CC4" w:rsidR="00F43398" w:rsidRDefault="00F43398" w:rsidP="00F43398">
      <w:pPr>
        <w:pStyle w:val="Heading1"/>
      </w:pPr>
      <w:r>
        <w:t>Symbology</w:t>
      </w:r>
    </w:p>
    <w:p w14:paraId="6094318F" w14:textId="55E9DD42" w:rsidR="00F43398" w:rsidRDefault="00852E30" w:rsidP="00F43398">
      <w:pPr>
        <w:rPr>
          <w:rFonts w:eastAsiaTheme="minorEastAsia"/>
          <w:iCs/>
        </w:rPr>
      </w:pPr>
      <m:oMath>
        <m:r>
          <w:rPr>
            <w:rFonts w:ascii="Cambria Math" w:hAnsi="Cambria Math"/>
          </w:rPr>
          <m:t>γ</m:t>
        </m:r>
        <m:d>
          <m:dPr>
            <m:ctrlPr>
              <w:rPr>
                <w:rFonts w:ascii="Cambria Math" w:hAnsi="Cambria Math"/>
                <w:i/>
                <w:iCs/>
              </w:rPr>
            </m:ctrlPr>
          </m:dPr>
          <m:e>
            <m:r>
              <w:rPr>
                <w:rFonts w:ascii="Cambria Math" w:hAnsi="Cambria Math"/>
              </w:rPr>
              <m:t>h</m:t>
            </m:r>
          </m:e>
        </m:d>
        <m:r>
          <w:rPr>
            <w:rFonts w:ascii="Cambria Math" w:eastAsiaTheme="minorEastAsia" w:hAnsi="Cambria Math"/>
          </w:rPr>
          <m:t>=</m:t>
        </m:r>
      </m:oMath>
      <w:r>
        <w:rPr>
          <w:rFonts w:eastAsiaTheme="minorEastAsia"/>
          <w:iCs/>
        </w:rPr>
        <w:t xml:space="preserve"> semivariance at </w:t>
      </w:r>
      <w:r w:rsidR="00CE45B7">
        <w:rPr>
          <w:rFonts w:eastAsiaTheme="minorEastAsia"/>
          <w:iCs/>
        </w:rPr>
        <w:t xml:space="preserve">distance </w:t>
      </w:r>
      <m:oMath>
        <m:r>
          <w:rPr>
            <w:rFonts w:ascii="Cambria Math" w:hAnsi="Cambria Math"/>
          </w:rPr>
          <m:t>h</m:t>
        </m:r>
      </m:oMath>
    </w:p>
    <w:p w14:paraId="07DA1B80" w14:textId="0E388AF8" w:rsidR="00CE45B7" w:rsidRDefault="00CE45B7" w:rsidP="00F43398">
      <w:pPr>
        <w:rPr>
          <w:rFonts w:eastAsiaTheme="minorEastAsia"/>
          <w:iCs/>
        </w:rPr>
      </w:pPr>
      <m:oMath>
        <m:r>
          <w:rPr>
            <w:rFonts w:ascii="Cambria Math" w:eastAsiaTheme="minorEastAsia" w:hAnsi="Cambria Math"/>
          </w:rPr>
          <m:t>α</m:t>
        </m:r>
      </m:oMath>
      <w:r>
        <w:rPr>
          <w:rFonts w:eastAsiaTheme="minorEastAsia"/>
          <w:iCs/>
        </w:rPr>
        <w:t xml:space="preserve"> = range or distance where there is no more spatial dependency</w:t>
      </w:r>
    </w:p>
    <w:p w14:paraId="65396C1C" w14:textId="57EAB6B3" w:rsidR="00CE45B7" w:rsidRPr="00CE45B7" w:rsidRDefault="00CE45B7" w:rsidP="00F43398">
      <w:pPr>
        <w:rPr>
          <w:rFonts w:eastAsiaTheme="minorEastAsia"/>
          <w:iCs/>
        </w:rPr>
      </w:pPr>
      <m:oMath>
        <m:r>
          <w:rPr>
            <w:rFonts w:ascii="Cambria Math" w:eastAsiaTheme="minorEastAsia" w:hAnsi="Cambria Math"/>
          </w:rPr>
          <m:t xml:space="preserve">C= </m:t>
        </m:r>
      </m:oMath>
      <w:r>
        <w:rPr>
          <w:rFonts w:eastAsiaTheme="minorEastAsia"/>
          <w:iCs/>
        </w:rPr>
        <w:t>the semivariance at or above the range</w:t>
      </w:r>
    </w:p>
    <w:p w14:paraId="1BBC440A" w14:textId="247620D9" w:rsidR="000964B2" w:rsidRDefault="000964B2" w:rsidP="000964B2">
      <w:pPr>
        <w:pStyle w:val="Heading1"/>
      </w:pPr>
      <w:r>
        <w:t>Spherical variogram</w:t>
      </w:r>
      <w:r w:rsidR="00F43398">
        <w:t xml:space="preserve"> (Sph)</w:t>
      </w:r>
    </w:p>
    <w:p w14:paraId="424CF7A8" w14:textId="06E01A67" w:rsidR="000964B2" w:rsidRDefault="000964B2" w:rsidP="000964B2">
      <w:pPr>
        <w:rPr>
          <w:iCs/>
        </w:rPr>
      </w:pPr>
      <w:r>
        <w:t xml:space="preserve">The </w:t>
      </w:r>
      <w:r w:rsidR="00E10482">
        <w:t>s</w:t>
      </w:r>
      <w:r>
        <w:t xml:space="preserve">pherical </w:t>
      </w:r>
      <w:r w:rsidR="00E10482">
        <w:t>model</w:t>
      </w:r>
      <w:r>
        <w:t xml:space="preserve"> has a clear range where there is no more spatial autocorrelation. At this distance (</w:t>
      </w:r>
      <w:r>
        <w:rPr>
          <w:rFonts w:cstheme="minorHAnsi"/>
        </w:rPr>
        <w:t>α</w:t>
      </w:r>
      <w:r>
        <w:t>) the observations are no longer correlated in space and the variables greater than this range are independent. The sill (</w:t>
      </w:r>
      <w:r>
        <w:rPr>
          <w:i/>
        </w:rPr>
        <w:t xml:space="preserve">C) </w:t>
      </w:r>
      <w:r>
        <w:rPr>
          <w:iCs/>
        </w:rPr>
        <w:t>is the value of the semi variance at or larger than the range.</w:t>
      </w:r>
      <w:r w:rsidR="00F43398">
        <w:rPr>
          <w:iCs/>
        </w:rPr>
        <w:t xml:space="preserve"> The formula is:</w:t>
      </w:r>
    </w:p>
    <w:p w14:paraId="5607A860" w14:textId="2BE1CC98" w:rsidR="00F43398" w:rsidRPr="00F43398" w:rsidRDefault="00F43398" w:rsidP="000964B2">
      <w:pPr>
        <w:rPr>
          <w:rFonts w:eastAsiaTheme="minorEastAsia"/>
          <w:iCs/>
        </w:rPr>
      </w:pPr>
      <m:oMathPara>
        <m:oMath>
          <m:r>
            <w:rPr>
              <w:rFonts w:ascii="Cambria Math" w:hAnsi="Cambria Math"/>
            </w:rPr>
            <m:t>γ</m:t>
          </m:r>
          <m:d>
            <m:dPr>
              <m:ctrlPr>
                <w:rPr>
                  <w:rFonts w:ascii="Cambria Math" w:hAnsi="Cambria Math"/>
                  <w:i/>
                  <w:iCs/>
                </w:rPr>
              </m:ctrlPr>
            </m:dPr>
            <m:e>
              <m:r>
                <w:rPr>
                  <w:rFonts w:ascii="Cambria Math" w:hAnsi="Cambria Math"/>
                </w:rPr>
                <m:t>h</m:t>
              </m:r>
            </m:e>
          </m:d>
          <m:r>
            <w:rPr>
              <w:rFonts w:ascii="Cambria Math" w:eastAsiaTheme="minorEastAsia" w:hAnsi="Cambria Math"/>
            </w:rPr>
            <m:t>=C</m:t>
          </m:r>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3</m:t>
                  </m:r>
                  <m:r>
                    <w:rPr>
                      <w:rFonts w:ascii="Cambria Math" w:eastAsiaTheme="minorEastAsia" w:hAnsi="Cambria Math"/>
                    </w:rPr>
                    <m:t>h</m:t>
                  </m:r>
                </m:num>
                <m:den>
                  <m:r>
                    <w:rPr>
                      <w:rFonts w:ascii="Cambria Math" w:eastAsiaTheme="minorEastAsia" w:hAnsi="Cambria Math"/>
                    </w:rPr>
                    <m:t>2α</m:t>
                  </m:r>
                </m:den>
              </m:f>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h</m:t>
                      </m:r>
                    </m:e>
                    <m:sup>
                      <m:r>
                        <w:rPr>
                          <w:rFonts w:ascii="Cambria Math" w:eastAsiaTheme="minorEastAsia" w:hAnsi="Cambria Math"/>
                        </w:rPr>
                        <m:t>3</m:t>
                      </m:r>
                    </m:sup>
                  </m:sSup>
                </m:num>
                <m:den>
                  <m:sSup>
                    <m:sSupPr>
                      <m:ctrlPr>
                        <w:rPr>
                          <w:rFonts w:ascii="Cambria Math" w:eastAsiaTheme="minorEastAsia" w:hAnsi="Cambria Math"/>
                          <w:i/>
                          <w:iCs/>
                        </w:rPr>
                      </m:ctrlPr>
                    </m:sSupPr>
                    <m:e>
                      <m:r>
                        <w:rPr>
                          <w:rFonts w:ascii="Cambria Math" w:eastAsiaTheme="minorEastAsia" w:hAnsi="Cambria Math"/>
                        </w:rPr>
                        <m:t>2α</m:t>
                      </m:r>
                    </m:e>
                    <m:sup>
                      <m:r>
                        <w:rPr>
                          <w:rFonts w:ascii="Cambria Math" w:eastAsiaTheme="minorEastAsia" w:hAnsi="Cambria Math"/>
                        </w:rPr>
                        <m:t>3</m:t>
                      </m:r>
                    </m:sup>
                  </m:sSup>
                </m:den>
              </m:f>
            </m:e>
          </m:d>
          <m:r>
            <w:rPr>
              <w:rFonts w:ascii="Cambria Math" w:eastAsiaTheme="minorEastAsia" w:hAnsi="Cambria Math"/>
            </w:rPr>
            <m:t xml:space="preserve"> if h&lt; α</m:t>
          </m:r>
        </m:oMath>
      </m:oMathPara>
    </w:p>
    <w:p w14:paraId="1072AE73" w14:textId="24CE9582" w:rsidR="00F43398" w:rsidRPr="0050224A" w:rsidRDefault="00F43398" w:rsidP="000964B2">
      <w:pPr>
        <w:rPr>
          <w:rFonts w:eastAsiaTheme="minorEastAsia"/>
          <w:iCs/>
        </w:rPr>
      </w:pPr>
      <m:oMathPara>
        <m:oMath>
          <m:r>
            <w:rPr>
              <w:rFonts w:ascii="Cambria Math" w:hAnsi="Cambria Math"/>
            </w:rPr>
            <m:t>γ</m:t>
          </m:r>
          <m:d>
            <m:dPr>
              <m:ctrlPr>
                <w:rPr>
                  <w:rFonts w:ascii="Cambria Math" w:hAnsi="Cambria Math"/>
                  <w:i/>
                  <w:iCs/>
                </w:rPr>
              </m:ctrlPr>
            </m:dPr>
            <m:e>
              <m:r>
                <w:rPr>
                  <w:rFonts w:ascii="Cambria Math" w:hAnsi="Cambria Math"/>
                </w:rPr>
                <m:t>h</m:t>
              </m:r>
            </m:e>
          </m:d>
          <m:r>
            <w:rPr>
              <w:rFonts w:ascii="Cambria Math" w:hAnsi="Cambria Math"/>
            </w:rPr>
            <m:t>=C, if h≥α</m:t>
          </m:r>
        </m:oMath>
      </m:oMathPara>
    </w:p>
    <w:p w14:paraId="1E8C6166" w14:textId="77777777" w:rsidR="00403E96" w:rsidRDefault="00403E96" w:rsidP="00403E96">
      <w:pPr>
        <w:keepNext/>
      </w:pPr>
      <w:r>
        <w:rPr>
          <w:rFonts w:eastAsiaTheme="minorEastAsia"/>
          <w:iCs/>
          <w:noProof/>
        </w:rPr>
        <w:drawing>
          <wp:inline distT="0" distB="0" distL="0" distR="0" wp14:anchorId="22F33301" wp14:editId="6B18AE51">
            <wp:extent cx="5731510" cy="3706495"/>
            <wp:effectExtent l="0" t="0" r="2540" b="8255"/>
            <wp:docPr id="234490420"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90420" name="Picture 9"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706495"/>
                    </a:xfrm>
                    <a:prstGeom prst="rect">
                      <a:avLst/>
                    </a:prstGeom>
                  </pic:spPr>
                </pic:pic>
              </a:graphicData>
            </a:graphic>
          </wp:inline>
        </w:drawing>
      </w:r>
    </w:p>
    <w:p w14:paraId="244A515A" w14:textId="381694DB" w:rsidR="0050224A" w:rsidRPr="00F43398" w:rsidRDefault="00403E96" w:rsidP="00403E96">
      <w:pPr>
        <w:pStyle w:val="Caption"/>
        <w:rPr>
          <w:rFonts w:eastAsiaTheme="minorEastAsia"/>
          <w:iCs w:val="0"/>
        </w:rPr>
      </w:pPr>
      <w:r>
        <w:t xml:space="preserve">Figure </w:t>
      </w:r>
      <w:fldSimple w:instr=" SEQ Figure \* ARABIC ">
        <w:r>
          <w:rPr>
            <w:noProof/>
          </w:rPr>
          <w:t>1</w:t>
        </w:r>
      </w:fldSimple>
      <w:r>
        <w:t>: Spherical variogram where</w:t>
      </w:r>
      <w:r w:rsidR="004B4459">
        <w:t xml:space="preserve"> the</w:t>
      </w:r>
      <w:r>
        <w:t xml:space="preserve"> nugget = 38</w:t>
      </w:r>
      <w:r w:rsidR="004B4459">
        <w:t>.0</w:t>
      </w:r>
      <w:r>
        <w:t xml:space="preserve">, sill = </w:t>
      </w:r>
      <w:r w:rsidR="004B4459">
        <w:t>79.0 and range = 2.80 m.</w:t>
      </w:r>
    </w:p>
    <w:p w14:paraId="340A8E29" w14:textId="13FC9C4E" w:rsidR="00F43398" w:rsidRDefault="00F43398" w:rsidP="000964B2">
      <w:pPr>
        <w:rPr>
          <w:rFonts w:eastAsiaTheme="minorEastAsia"/>
          <w:iCs/>
        </w:rPr>
      </w:pPr>
    </w:p>
    <w:p w14:paraId="5D0514E8" w14:textId="56C38922" w:rsidR="00F43398" w:rsidRPr="00F43398" w:rsidRDefault="00F43398" w:rsidP="00F43398">
      <w:pPr>
        <w:pStyle w:val="Heading1"/>
        <w:rPr>
          <w:rFonts w:eastAsiaTheme="minorEastAsia"/>
        </w:rPr>
      </w:pPr>
      <w:r>
        <w:rPr>
          <w:rFonts w:eastAsiaTheme="minorEastAsia"/>
        </w:rPr>
        <w:lastRenderedPageBreak/>
        <w:t>Exponential variogram (Exp)</w:t>
      </w:r>
    </w:p>
    <w:p w14:paraId="51F219DE" w14:textId="0A69D7B9" w:rsidR="00F43398" w:rsidRDefault="00E10482" w:rsidP="000964B2">
      <w:pPr>
        <w:rPr>
          <w:rFonts w:cstheme="minorHAnsi"/>
          <w:iCs/>
        </w:rPr>
      </w:pPr>
      <w:r>
        <w:rPr>
          <w:iCs/>
        </w:rPr>
        <w:t xml:space="preserve">The exponential model is </w:t>
      </w:r>
      <w:proofErr w:type="gramStart"/>
      <w:r>
        <w:rPr>
          <w:iCs/>
        </w:rPr>
        <w:t>similar to</w:t>
      </w:r>
      <w:proofErr w:type="gramEnd"/>
      <w:r>
        <w:rPr>
          <w:iCs/>
        </w:rPr>
        <w:t xml:space="preserve"> the spherical model </w:t>
      </w:r>
      <w:r w:rsidR="00234A01">
        <w:rPr>
          <w:iCs/>
        </w:rPr>
        <w:t xml:space="preserve">with a linear increase near the nugget, </w:t>
      </w:r>
      <w:r>
        <w:rPr>
          <w:iCs/>
        </w:rPr>
        <w:t>however, there is no finite range which the sill reaches the limit and are considered still correlated. Therefore, there is an effective range that is defined as 3</w:t>
      </w:r>
      <w:r>
        <w:rPr>
          <w:rFonts w:cstheme="minorHAnsi"/>
          <w:iCs/>
        </w:rPr>
        <w:t xml:space="preserve">α that is </w:t>
      </w:r>
      <w:proofErr w:type="gramStart"/>
      <w:r>
        <w:rPr>
          <w:rFonts w:cstheme="minorHAnsi"/>
          <w:iCs/>
        </w:rPr>
        <w:t>more or less independent</w:t>
      </w:r>
      <w:proofErr w:type="gramEnd"/>
      <w:r>
        <w:rPr>
          <w:rFonts w:cstheme="minorHAnsi"/>
          <w:iCs/>
        </w:rPr>
        <w:t xml:space="preserve">. </w:t>
      </w:r>
    </w:p>
    <w:p w14:paraId="6649B147" w14:textId="260F7DCD" w:rsidR="00E10482" w:rsidRPr="0050224A" w:rsidRDefault="00E10482" w:rsidP="000964B2">
      <w:pPr>
        <w:rPr>
          <w:rFonts w:eastAsiaTheme="minorEastAsia"/>
          <w:iCs/>
        </w:rPr>
      </w:pPr>
      <m:oMathPara>
        <m:oMath>
          <m:r>
            <w:rPr>
              <w:rFonts w:ascii="Cambria Math" w:hAnsi="Cambria Math"/>
            </w:rPr>
            <m:t>γ</m:t>
          </m:r>
          <m:d>
            <m:dPr>
              <m:ctrlPr>
                <w:rPr>
                  <w:rFonts w:ascii="Cambria Math" w:hAnsi="Cambria Math"/>
                  <w:i/>
                  <w:iCs/>
                </w:rPr>
              </m:ctrlPr>
            </m:dPr>
            <m:e>
              <m:r>
                <w:rPr>
                  <w:rFonts w:ascii="Cambria Math" w:hAnsi="Cambria Math"/>
                </w:rPr>
                <m:t>h</m:t>
              </m:r>
            </m:e>
          </m:d>
          <m:r>
            <w:rPr>
              <w:rFonts w:ascii="Cambria Math" w:hAnsi="Cambria Math"/>
            </w:rPr>
            <m:t>=C</m:t>
          </m:r>
          <m:d>
            <m:dPr>
              <m:ctrlPr>
                <w:rPr>
                  <w:rFonts w:ascii="Cambria Math" w:hAnsi="Cambria Math"/>
                  <w:i/>
                  <w:iCs/>
                </w:rPr>
              </m:ctrlPr>
            </m:dPr>
            <m:e>
              <m:r>
                <w:rPr>
                  <w:rFonts w:ascii="Cambria Math" w:hAnsi="Cambria Math"/>
                </w:rPr>
                <m:t>1-</m:t>
              </m:r>
              <m:sSup>
                <m:sSupPr>
                  <m:ctrlPr>
                    <w:rPr>
                      <w:rFonts w:ascii="Cambria Math" w:hAnsi="Cambria Math"/>
                      <w:i/>
                      <w:iCs/>
                    </w:rPr>
                  </m:ctrlPr>
                </m:sSupPr>
                <m:e>
                  <m:r>
                    <w:rPr>
                      <w:rFonts w:ascii="Cambria Math" w:hAnsi="Cambria Math"/>
                    </w:rPr>
                    <m:t>e</m:t>
                  </m:r>
                </m:e>
                <m:sup>
                  <m:r>
                    <w:rPr>
                      <w:rFonts w:ascii="Cambria Math" w:hAnsi="Cambria Math"/>
                    </w:rPr>
                    <m:t>-</m:t>
                  </m:r>
                  <m:f>
                    <m:fPr>
                      <m:ctrlPr>
                        <w:rPr>
                          <w:rFonts w:ascii="Cambria Math" w:hAnsi="Cambria Math"/>
                          <w:i/>
                          <w:iCs/>
                        </w:rPr>
                      </m:ctrlPr>
                    </m:fPr>
                    <m:num>
                      <m:r>
                        <w:rPr>
                          <w:rFonts w:ascii="Cambria Math" w:hAnsi="Cambria Math"/>
                        </w:rPr>
                        <m:t>h</m:t>
                      </m:r>
                    </m:num>
                    <m:den>
                      <m:r>
                        <w:rPr>
                          <w:rFonts w:ascii="Cambria Math" w:hAnsi="Cambria Math"/>
                        </w:rPr>
                        <m:t>α</m:t>
                      </m:r>
                    </m:den>
                  </m:f>
                </m:sup>
              </m:sSup>
            </m:e>
          </m:d>
          <m:r>
            <w:rPr>
              <w:rFonts w:ascii="Cambria Math" w:hAnsi="Cambria Math"/>
            </w:rPr>
            <m:t xml:space="preserve"> where C≥0</m:t>
          </m:r>
        </m:oMath>
      </m:oMathPara>
    </w:p>
    <w:p w14:paraId="4886D7DF" w14:textId="77777777" w:rsidR="00403E96" w:rsidRDefault="0050224A" w:rsidP="00403E96">
      <w:pPr>
        <w:keepNext/>
      </w:pPr>
      <w:r>
        <w:rPr>
          <w:rFonts w:eastAsiaTheme="minorEastAsia"/>
          <w:iCs/>
          <w:noProof/>
        </w:rPr>
        <w:drawing>
          <wp:inline distT="0" distB="0" distL="0" distR="0" wp14:anchorId="778FF931" wp14:editId="1AC8DE1F">
            <wp:extent cx="5731510" cy="3704590"/>
            <wp:effectExtent l="0" t="0" r="2540" b="0"/>
            <wp:docPr id="78066575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65752" name="Picture 2"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704590"/>
                    </a:xfrm>
                    <a:prstGeom prst="rect">
                      <a:avLst/>
                    </a:prstGeom>
                  </pic:spPr>
                </pic:pic>
              </a:graphicData>
            </a:graphic>
          </wp:inline>
        </w:drawing>
      </w:r>
    </w:p>
    <w:p w14:paraId="3B59F159" w14:textId="164A85DD" w:rsidR="0050224A" w:rsidRPr="00E10482" w:rsidRDefault="00403E96" w:rsidP="00403E96">
      <w:pPr>
        <w:pStyle w:val="Caption"/>
        <w:rPr>
          <w:rFonts w:eastAsiaTheme="minorEastAsia"/>
          <w:iCs w:val="0"/>
        </w:rPr>
      </w:pPr>
      <w:r>
        <w:t xml:space="preserve">Figure </w:t>
      </w:r>
      <w:fldSimple w:instr=" SEQ Figure \* ARABIC ">
        <w:r>
          <w:rPr>
            <w:noProof/>
          </w:rPr>
          <w:t>2</w:t>
        </w:r>
      </w:fldSimple>
      <w:r>
        <w:t>: Exponential variogram</w:t>
      </w:r>
      <w:r w:rsidR="004B4459">
        <w:t xml:space="preserve"> where the nugget = 0.00, sill = 0.02 and range = 0.03 m.</w:t>
      </w:r>
    </w:p>
    <w:p w14:paraId="209D7CFE" w14:textId="06D96E0C" w:rsidR="00E10482" w:rsidRDefault="00E10482" w:rsidP="00E10482">
      <w:pPr>
        <w:pStyle w:val="Heading1"/>
      </w:pPr>
      <w:r>
        <w:t>Gaussian variogram (Gau)</w:t>
      </w:r>
    </w:p>
    <w:p w14:paraId="5E5F8352" w14:textId="11EAC5DA" w:rsidR="00E10482" w:rsidRDefault="00E10482" w:rsidP="00E10482">
      <w:pPr>
        <w:rPr>
          <w:rFonts w:eastAsiaTheme="minorEastAsia"/>
        </w:rPr>
      </w:pPr>
      <w:r>
        <w:t xml:space="preserve">Again, the gaussian model has no limit where there is a range, for this model the effective range is defined as </w:t>
      </w:r>
      <m:oMath>
        <m:rad>
          <m:radPr>
            <m:degHide m:val="1"/>
            <m:ctrlPr>
              <w:rPr>
                <w:rFonts w:ascii="Cambria Math" w:hAnsi="Cambria Math"/>
                <w:i/>
              </w:rPr>
            </m:ctrlPr>
          </m:radPr>
          <m:deg/>
          <m:e>
            <m:r>
              <w:rPr>
                <w:rFonts w:ascii="Cambria Math" w:hAnsi="Cambria Math"/>
              </w:rPr>
              <m:t>3α</m:t>
            </m:r>
          </m:e>
        </m:rad>
      </m:oMath>
      <w:r>
        <w:rPr>
          <w:rFonts w:eastAsiaTheme="minorEastAsia"/>
        </w:rPr>
        <w:t xml:space="preserve">. The gaussian is </w:t>
      </w:r>
      <w:proofErr w:type="gramStart"/>
      <w:r>
        <w:rPr>
          <w:rFonts w:eastAsiaTheme="minorEastAsia"/>
        </w:rPr>
        <w:t>similar to</w:t>
      </w:r>
      <w:proofErr w:type="gramEnd"/>
      <w:r>
        <w:rPr>
          <w:rFonts w:eastAsiaTheme="minorEastAsia"/>
        </w:rPr>
        <w:t xml:space="preserve"> the exponential curve but </w:t>
      </w:r>
      <w:r w:rsidR="00234A01">
        <w:rPr>
          <w:rFonts w:eastAsiaTheme="minorEastAsia"/>
        </w:rPr>
        <w:t>has</w:t>
      </w:r>
      <w:r>
        <w:rPr>
          <w:rFonts w:eastAsiaTheme="minorEastAsia"/>
        </w:rPr>
        <w:t xml:space="preserve"> a normal probabilistic curve with an inflection point</w:t>
      </w:r>
      <w:r w:rsidR="00234A01">
        <w:rPr>
          <w:rFonts w:eastAsiaTheme="minorEastAsia"/>
        </w:rPr>
        <w:t xml:space="preserve"> showing a quadratic increase near the nugget. </w:t>
      </w:r>
      <w:r>
        <w:rPr>
          <w:rFonts w:eastAsiaTheme="minorEastAsia"/>
        </w:rPr>
        <w:t>The formula for the gaussian formula is</w:t>
      </w:r>
      <w:r w:rsidR="00234A01">
        <w:rPr>
          <w:rFonts w:eastAsiaTheme="minorEastAsia"/>
        </w:rPr>
        <w:t>:</w:t>
      </w:r>
      <w:r>
        <w:rPr>
          <w:rFonts w:eastAsiaTheme="minorEastAsia"/>
        </w:rPr>
        <w:t xml:space="preserve"> </w:t>
      </w:r>
    </w:p>
    <w:p w14:paraId="14F41B53" w14:textId="02B65210" w:rsidR="00234A01" w:rsidRPr="00234A01" w:rsidRDefault="00234A01" w:rsidP="00234A01">
      <w:pPr>
        <w:rPr>
          <w:rFonts w:eastAsiaTheme="minorEastAsia"/>
          <w:iCs/>
        </w:rPr>
      </w:pPr>
      <m:oMathPara>
        <m:oMath>
          <m:r>
            <w:rPr>
              <w:rFonts w:ascii="Cambria Math" w:hAnsi="Cambria Math"/>
            </w:rPr>
            <m:t>γ</m:t>
          </m:r>
          <m:d>
            <m:dPr>
              <m:ctrlPr>
                <w:rPr>
                  <w:rFonts w:ascii="Cambria Math" w:hAnsi="Cambria Math"/>
                  <w:i/>
                  <w:iCs/>
                </w:rPr>
              </m:ctrlPr>
            </m:dPr>
            <m:e>
              <m:r>
                <w:rPr>
                  <w:rFonts w:ascii="Cambria Math" w:hAnsi="Cambria Math"/>
                </w:rPr>
                <m:t>h</m:t>
              </m:r>
            </m:e>
          </m:d>
          <m:r>
            <w:rPr>
              <w:rFonts w:ascii="Cambria Math" w:hAnsi="Cambria Math"/>
            </w:rPr>
            <m:t>=C</m:t>
          </m:r>
          <m:d>
            <m:dPr>
              <m:ctrlPr>
                <w:rPr>
                  <w:rFonts w:ascii="Cambria Math" w:hAnsi="Cambria Math"/>
                  <w:i/>
                  <w:iCs/>
                </w:rPr>
              </m:ctrlPr>
            </m:dPr>
            <m:e>
              <m:r>
                <w:rPr>
                  <w:rFonts w:ascii="Cambria Math" w:hAnsi="Cambria Math"/>
                </w:rPr>
                <m:t>1-</m:t>
              </m:r>
              <m:sSup>
                <m:sSupPr>
                  <m:ctrlPr>
                    <w:rPr>
                      <w:rFonts w:ascii="Cambria Math" w:hAnsi="Cambria Math"/>
                      <w:i/>
                      <w:iCs/>
                    </w:rPr>
                  </m:ctrlPr>
                </m:sSupPr>
                <m:e>
                  <m:r>
                    <w:rPr>
                      <w:rFonts w:ascii="Cambria Math" w:hAnsi="Cambria Math"/>
                    </w:rPr>
                    <m:t>e</m:t>
                  </m:r>
                </m:e>
                <m:sup>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h</m:t>
                          </m:r>
                        </m:e>
                        <m:sup>
                          <m:r>
                            <w:rPr>
                              <w:rFonts w:ascii="Cambria Math" w:hAnsi="Cambria Math"/>
                            </w:rPr>
                            <m:t>2</m:t>
                          </m:r>
                        </m:sup>
                      </m:sSup>
                    </m:num>
                    <m:den>
                      <m:sSup>
                        <m:sSupPr>
                          <m:ctrlPr>
                            <w:rPr>
                              <w:rFonts w:ascii="Cambria Math" w:hAnsi="Cambria Math"/>
                              <w:i/>
                              <w:iCs/>
                            </w:rPr>
                          </m:ctrlPr>
                        </m:sSupPr>
                        <m:e>
                          <m:r>
                            <w:rPr>
                              <w:rFonts w:ascii="Cambria Math" w:hAnsi="Cambria Math"/>
                            </w:rPr>
                            <m:t>α</m:t>
                          </m:r>
                        </m:e>
                        <m:sup>
                          <m:r>
                            <w:rPr>
                              <w:rFonts w:ascii="Cambria Math" w:hAnsi="Cambria Math"/>
                            </w:rPr>
                            <m:t>2</m:t>
                          </m:r>
                        </m:sup>
                      </m:sSup>
                    </m:den>
                  </m:f>
                </m:sup>
              </m:sSup>
            </m:e>
          </m:d>
          <m:r>
            <w:rPr>
              <w:rFonts w:ascii="Cambria Math" w:hAnsi="Cambria Math"/>
            </w:rPr>
            <m:t xml:space="preserve"> where C≥0</m:t>
          </m:r>
        </m:oMath>
      </m:oMathPara>
    </w:p>
    <w:p w14:paraId="1F90C591" w14:textId="77777777" w:rsidR="00403E96" w:rsidRDefault="0050224A" w:rsidP="00403E96">
      <w:pPr>
        <w:keepNext/>
      </w:pPr>
      <w:r>
        <w:rPr>
          <w:rFonts w:eastAsiaTheme="minorEastAsia"/>
          <w:iCs/>
          <w:noProof/>
        </w:rPr>
        <w:lastRenderedPageBreak/>
        <w:drawing>
          <wp:inline distT="0" distB="0" distL="0" distR="0" wp14:anchorId="0EF005A6" wp14:editId="46883F58">
            <wp:extent cx="5731510" cy="3704590"/>
            <wp:effectExtent l="0" t="0" r="2540" b="0"/>
            <wp:docPr id="1334495115" name="Picture 3"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495115" name="Picture 3" descr="Chart, line chart, scatt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704590"/>
                    </a:xfrm>
                    <a:prstGeom prst="rect">
                      <a:avLst/>
                    </a:prstGeom>
                  </pic:spPr>
                </pic:pic>
              </a:graphicData>
            </a:graphic>
          </wp:inline>
        </w:drawing>
      </w:r>
    </w:p>
    <w:p w14:paraId="3543B009" w14:textId="6775D6E1" w:rsidR="00234A01" w:rsidRDefault="00403E96" w:rsidP="00403E96">
      <w:pPr>
        <w:pStyle w:val="Caption"/>
        <w:rPr>
          <w:rFonts w:eastAsiaTheme="minorEastAsia"/>
          <w:iCs w:val="0"/>
        </w:rPr>
      </w:pPr>
      <w:r>
        <w:t xml:space="preserve">Figure </w:t>
      </w:r>
      <w:fldSimple w:instr=" SEQ Figure \* ARABIC ">
        <w:r>
          <w:rPr>
            <w:noProof/>
          </w:rPr>
          <w:t>3</w:t>
        </w:r>
      </w:fldSimple>
      <w:r>
        <w:t>: Gaussian variogram</w:t>
      </w:r>
      <w:r w:rsidR="004B4459">
        <w:t xml:space="preserve"> where the nugget = 1.00, sill = 3.00 and range = 2.80 m</w:t>
      </w:r>
      <w:r>
        <w:t>.</w:t>
      </w:r>
    </w:p>
    <w:p w14:paraId="2484EA7F" w14:textId="0A36A7E8" w:rsidR="00234A01" w:rsidRDefault="00234A01" w:rsidP="00234A01">
      <w:pPr>
        <w:pStyle w:val="Heading1"/>
        <w:rPr>
          <w:rFonts w:eastAsiaTheme="minorEastAsia"/>
        </w:rPr>
      </w:pPr>
      <w:r>
        <w:rPr>
          <w:rFonts w:eastAsiaTheme="minorEastAsia"/>
        </w:rPr>
        <w:t>Wave variogram (Wav)</w:t>
      </w:r>
    </w:p>
    <w:p w14:paraId="6DD41904" w14:textId="4516F232" w:rsidR="002C5960" w:rsidRDefault="002C5960" w:rsidP="002C5960">
      <w:r>
        <w:t>The wave model is different than the other three models as it has a “hole effect”</w:t>
      </w:r>
      <w:r w:rsidR="00852E30">
        <w:t>, which is known as a periodic spatial structure</w:t>
      </w:r>
      <w:r>
        <w:t xml:space="preserve">. In other words, </w:t>
      </w:r>
      <w:r w:rsidR="00852E30">
        <w:t>there are positive and negative correlations along the range that becomes less apparent as the range increases. The range for the wave model is the first peak in the sill in the positive direction. The formula is therefore:</w:t>
      </w:r>
    </w:p>
    <w:p w14:paraId="1C565423" w14:textId="29AA7E97" w:rsidR="00852E30" w:rsidRPr="002C5960" w:rsidRDefault="00852E30" w:rsidP="002C5960">
      <m:oMathPara>
        <m:oMath>
          <m:r>
            <w:rPr>
              <w:rFonts w:ascii="Cambria Math" w:hAnsi="Cambria Math"/>
            </w:rPr>
            <m:t>γ</m:t>
          </m:r>
          <m:d>
            <m:dPr>
              <m:ctrlPr>
                <w:rPr>
                  <w:rFonts w:ascii="Cambria Math" w:hAnsi="Cambria Math"/>
                  <w:i/>
                </w:rPr>
              </m:ctrlPr>
            </m:dPr>
            <m:e>
              <m:r>
                <w:rPr>
                  <w:rFonts w:ascii="Cambria Math" w:hAnsi="Cambria Math"/>
                </w:rPr>
                <m:t>h</m:t>
              </m:r>
            </m:e>
          </m:d>
          <m:r>
            <w:rPr>
              <w:rFonts w:ascii="Cambria Math" w:hAnsi="Cambria Math"/>
            </w:rPr>
            <m:t>=C</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π</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h</m:t>
                      </m:r>
                    </m:den>
                  </m:f>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πh</m:t>
                      </m:r>
                    </m:num>
                    <m:den>
                      <m:r>
                        <w:rPr>
                          <w:rFonts w:ascii="Cambria Math" w:hAnsi="Cambria Math"/>
                        </w:rPr>
                        <m:t>α</m:t>
                      </m:r>
                    </m:den>
                  </m:f>
                </m:e>
              </m:d>
            </m:e>
          </m:d>
          <m:r>
            <w:rPr>
              <w:rFonts w:ascii="Cambria Math" w:hAnsi="Cambria Math"/>
            </w:rPr>
            <m:t xml:space="preserve"> where h ≠</m:t>
          </m:r>
          <m:r>
            <w:rPr>
              <w:rFonts w:ascii="Cambria Math" w:hAnsi="Cambria Math"/>
            </w:rPr>
            <m:t>0</m:t>
          </m:r>
        </m:oMath>
      </m:oMathPara>
    </w:p>
    <w:p w14:paraId="0865BB10" w14:textId="77777777" w:rsidR="00403E96" w:rsidRDefault="0050224A" w:rsidP="00403E96">
      <w:pPr>
        <w:keepNext/>
      </w:pPr>
      <w:r>
        <w:rPr>
          <w:noProof/>
        </w:rPr>
        <w:lastRenderedPageBreak/>
        <w:drawing>
          <wp:inline distT="0" distB="0" distL="0" distR="0" wp14:anchorId="56B9613A" wp14:editId="7435D43E">
            <wp:extent cx="5731510" cy="3704590"/>
            <wp:effectExtent l="0" t="0" r="2540" b="0"/>
            <wp:docPr id="1499554752"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554752" name="Picture 4"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704590"/>
                    </a:xfrm>
                    <a:prstGeom prst="rect">
                      <a:avLst/>
                    </a:prstGeom>
                  </pic:spPr>
                </pic:pic>
              </a:graphicData>
            </a:graphic>
          </wp:inline>
        </w:drawing>
      </w:r>
    </w:p>
    <w:p w14:paraId="46DA1352" w14:textId="2AF39C15" w:rsidR="00234A01" w:rsidRPr="00234A01" w:rsidRDefault="00403E96" w:rsidP="00403E96">
      <w:pPr>
        <w:pStyle w:val="Caption"/>
      </w:pPr>
      <w:r>
        <w:t xml:space="preserve">Figure </w:t>
      </w:r>
      <w:fldSimple w:instr=" SEQ Figure \* ARABIC ">
        <w:r>
          <w:rPr>
            <w:noProof/>
          </w:rPr>
          <w:t>4</w:t>
        </w:r>
      </w:fldSimple>
      <w:r>
        <w:t>: Wave variogram</w:t>
      </w:r>
      <w:r w:rsidR="004B4459">
        <w:t xml:space="preserve"> where the nugget = 0.05</w:t>
      </w:r>
      <w:r>
        <w:t>,</w:t>
      </w:r>
      <w:r w:rsidR="004B4459">
        <w:t xml:space="preserve"> sill = 0.13 and range = 1.55 m.</w:t>
      </w:r>
      <w:r>
        <w:t xml:space="preserve"> </w:t>
      </w:r>
    </w:p>
    <w:p w14:paraId="76B4E64D" w14:textId="77777777" w:rsidR="00234A01" w:rsidRPr="00234A01" w:rsidRDefault="00234A01" w:rsidP="00E10482">
      <w:pPr>
        <w:rPr>
          <w:rFonts w:eastAsiaTheme="minorEastAsia"/>
        </w:rPr>
      </w:pPr>
    </w:p>
    <w:p w14:paraId="19E11B07" w14:textId="3BEB05DE" w:rsidR="000964B2" w:rsidRPr="000964B2" w:rsidRDefault="000964B2" w:rsidP="000964B2">
      <w:r>
        <w:t xml:space="preserve">  </w:t>
      </w:r>
    </w:p>
    <w:p w14:paraId="28E54EF1" w14:textId="77777777" w:rsidR="000964B2" w:rsidRPr="000964B2" w:rsidRDefault="000964B2" w:rsidP="000964B2"/>
    <w:p w14:paraId="77489C9A" w14:textId="77777777" w:rsidR="000964B2" w:rsidRDefault="000964B2" w:rsidP="000964B2">
      <w:pPr>
        <w:pStyle w:val="Heading1"/>
      </w:pPr>
    </w:p>
    <w:sectPr w:rsidR="0009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B2"/>
    <w:rsid w:val="000964B2"/>
    <w:rsid w:val="001F177C"/>
    <w:rsid w:val="00234A01"/>
    <w:rsid w:val="002C5960"/>
    <w:rsid w:val="00403E96"/>
    <w:rsid w:val="004B4459"/>
    <w:rsid w:val="0050224A"/>
    <w:rsid w:val="00852E30"/>
    <w:rsid w:val="008929AB"/>
    <w:rsid w:val="00965FC1"/>
    <w:rsid w:val="00CA2E29"/>
    <w:rsid w:val="00CE45B7"/>
    <w:rsid w:val="00E10482"/>
    <w:rsid w:val="00F43398"/>
    <w:rsid w:val="00F87F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3511"/>
  <w15:chartTrackingRefBased/>
  <w15:docId w15:val="{D3240FAD-6D13-49BE-9BC0-1C336217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4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B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964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4B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64B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F43398"/>
    <w:rPr>
      <w:color w:val="808080"/>
    </w:rPr>
  </w:style>
  <w:style w:type="paragraph" w:styleId="Caption">
    <w:name w:val="caption"/>
    <w:basedOn w:val="Normal"/>
    <w:next w:val="Normal"/>
    <w:uiPriority w:val="35"/>
    <w:unhideWhenUsed/>
    <w:qFormat/>
    <w:rsid w:val="00403E96"/>
    <w:pPr>
      <w:spacing w:after="200" w:line="240" w:lineRule="auto"/>
    </w:pPr>
    <w:rPr>
      <w:i/>
      <w:iCs/>
      <w:color w:val="44546A" w:themeColor="text2"/>
      <w:sz w:val="18"/>
      <w:szCs w:val="18"/>
    </w:rPr>
  </w:style>
  <w:style w:type="character" w:styleId="Hyperlink">
    <w:name w:val="Hyperlink"/>
    <w:basedOn w:val="DefaultParagraphFont"/>
    <w:uiPriority w:val="99"/>
    <w:unhideWhenUsed/>
    <w:rsid w:val="00892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41965">
      <w:bodyDiv w:val="1"/>
      <w:marLeft w:val="0"/>
      <w:marRight w:val="0"/>
      <w:marTop w:val="0"/>
      <w:marBottom w:val="0"/>
      <w:divBdr>
        <w:top w:val="none" w:sz="0" w:space="0" w:color="auto"/>
        <w:left w:val="none" w:sz="0" w:space="0" w:color="auto"/>
        <w:bottom w:val="none" w:sz="0" w:space="0" w:color="auto"/>
        <w:right w:val="none" w:sz="0" w:space="0" w:color="auto"/>
      </w:divBdr>
    </w:div>
    <w:div w:id="16197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hyperlink" Target="mailto:trevanflyn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34A926-5279-4949-9AD7-41A840307F59}"/>
      </w:docPartPr>
      <w:docPartBody>
        <w:p w:rsidR="00436506" w:rsidRDefault="00AE0B54">
          <w:r w:rsidRPr="007655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54"/>
    <w:rsid w:val="000639F2"/>
    <w:rsid w:val="00183CA8"/>
    <w:rsid w:val="00436506"/>
    <w:rsid w:val="00A15DBD"/>
    <w:rsid w:val="00AE0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B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C8E9E3-059B-45E3-A19C-F6E175AB0FD9}">
  <we:reference id="wa104382081" version="1.55.1.0" store="en-US" storeType="OMEX"/>
  <we:alternateReferences>
    <we:reference id="wa104382081" version="1.55.1.0" store="" storeType="OMEX"/>
  </we:alternateReferences>
  <we:properties>
    <we:property name="MENDELEY_CITATIONS" value="[{&quot;citationID&quot;:&quot;MENDELEY_CITATION_e9d3c632-7c77-438f-9c72-d1a6df9c4346&quot;,&quot;properties&quot;:{&quot;noteIndex&quot;:0},&quot;isEdited&quot;:false,&quot;manualOverride&quot;:{&quot;isManuallyOverridden&quot;:true,&quot;citeprocText&quot;:&quot;(Webster &amp;#38; Oliver, 2001)&quot;,&quot;manualOverrideText&quot;:&quot;Webster &amp; Oliver (2001).&quot;},&quot;citationTag&quot;:&quot;MENDELEY_CITATION_v3_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&quot;,&quot;citationItems&quot;:[{&quot;id&quot;:&quot;dbfab7a8-ee1f-3a1c-82cc-a19d3852daa5&quot;,&quot;itemData&quot;:{&quot;type&quot;:&quot;chapter&quot;,&quot;id&quot;:&quot;dbfab7a8-ee1f-3a1c-82cc-a19d3852daa5&quot;,&quot;title&quot;:&quot;Geostatistics for Environmental Scientists&quot;,&quot;author&quot;:[{&quot;family&quot;:&quot;Webster&quot;,&quot;given&quot;:&quot;R.&quot;,&quot;parse-names&quot;:false,&quot;dropping-particle&quot;:&quot;&quot;,&quot;non-dropping-particle&quot;:&quot;&quot;},{&quot;family&quot;:&quot;Oliver&quot;,&quot;given&quot;:&quot;M. A.&quot;,&quot;parse-names&quot;:false,&quot;dropping-particle&quot;:&quot;&quot;,&quot;non-dropping-particle&quot;:&quot;&quot;}],&quot;container-title&quot;:&quot;Statistics in Practice&quot;,&quot;issued&quot;:{&quot;date-parts&quot;:[[2001]]},&quot;publisher-place&quot;:&quot;Chichester&quot;,&quot;edition&quot;:&quot;2&quot;,&quot;publisher&quot;:&quot;Wiley&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9D08-D6F0-4A0C-8841-86D6816B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Trevan Flynn</dc:creator>
  <cp:keywords/>
  <dc:description/>
  <cp:lastModifiedBy>Trevan Flynn</cp:lastModifiedBy>
  <cp:revision>2</cp:revision>
  <dcterms:created xsi:type="dcterms:W3CDTF">2023-09-03T15:40:00Z</dcterms:created>
  <dcterms:modified xsi:type="dcterms:W3CDTF">2023-09-03T15:40:00Z</dcterms:modified>
</cp:coreProperties>
</file>