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5.png" ContentType="image/png"/>
  <Override PartName="/word/media/image4.png" ContentType="image/png"/>
  <Override PartName="/word/media/image6.png" ContentType="image/png"/>
  <Override PartName="/word/media/image8.jpeg" ContentType="image/jpeg"/>
  <Override PartName="/word/media/image7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png" ContentType="image/png"/>
  <Override PartName="/word/media/image13.jpeg" ContentType="image/jpeg"/>
  <Override PartName="/word/media/image14.jpeg" ContentType="image/jpeg"/>
  <Override PartName="/word/media/image15.png" ContentType="image/png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Corpsdetexte"/>
        <w:pageBreakBefore w:val="false"/>
        <w:spacing w:lineRule="auto" w:line="240" w:before="0" w:after="0"/>
        <w:rPr>
          <w:b/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SUPPLEMENTARY MATERIAL</w:t>
      </w:r>
    </w:p>
    <w:p>
      <w:pPr>
        <w:pStyle w:val="Corpsdetexte"/>
        <w:spacing w:lineRule="auto" w:line="240" w:before="0" w:after="0"/>
        <w:rPr/>
      </w:pPr>
      <w:r>
        <w:rPr/>
      </w:r>
    </w:p>
    <w:p>
      <w:pPr>
        <w:pStyle w:val="Lgende"/>
        <w:widowControl/>
        <w:suppressLineNumbers/>
        <w:bidi w:val="0"/>
        <w:spacing w:lineRule="auto" w:line="240" w:before="113" w:after="0"/>
        <w:ind w:left="-850" w:right="-850" w:hanging="0"/>
        <w:jc w:val="both"/>
        <w:rPr>
          <w:shd w:fill="auto" w:val="clear"/>
        </w:rPr>
      </w:pPr>
      <w:r>
        <mc:AlternateContent>
          <mc:Choice Requires="wps">
            <w:drawing>
              <wp:anchor behindDoc="0" distT="635" distB="635" distL="35560" distR="24765" simplePos="0" locked="0" layoutInCell="0" allowOverlap="1" relativeHeight="17">
                <wp:simplePos x="0" y="0"/>
                <wp:positionH relativeFrom="column">
                  <wp:posOffset>3248660</wp:posOffset>
                </wp:positionH>
                <wp:positionV relativeFrom="paragraph">
                  <wp:posOffset>1343025</wp:posOffset>
                </wp:positionV>
                <wp:extent cx="15875" cy="483870"/>
                <wp:effectExtent l="35560" t="635" r="24765" b="635"/>
                <wp:wrapNone/>
                <wp:docPr id="1" name="Forme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5840" cy="483840"/>
                        </a:xfrm>
                        <a:prstGeom prst="line">
                          <a:avLst/>
                        </a:prstGeom>
                        <a:ln w="0">
                          <a:solidFill>
                            <a:srgbClr val="ff0000"/>
                          </a:solidFill>
                          <a:headEnd len="med" type="triangle" w="med"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255.8pt,105.75pt" to="257pt,143.8pt" ID="Forme1" stroked="t" o:allowincell="f" style="position:absolute;flip:y">
                <v:stroke color="red" startarrow="block" startarrowwidth="medium" startarrowlength="medium" joinstyle="round" endcap="flat"/>
                <v:fill o:detectmouseclick="t" on="false"/>
                <w10:wrap type="none"/>
              </v:line>
            </w:pict>
          </mc:Fallback>
        </mc:AlternateContent>
        <mc:AlternateContent>
          <mc:Choice Requires="wps">
            <w:drawing>
              <wp:anchor behindDoc="0" distT="635" distB="635" distL="635" distR="635" simplePos="0" locked="0" layoutInCell="0" allowOverlap="1" relativeHeight="18">
                <wp:simplePos x="0" y="0"/>
                <wp:positionH relativeFrom="column">
                  <wp:posOffset>3839210</wp:posOffset>
                </wp:positionH>
                <wp:positionV relativeFrom="paragraph">
                  <wp:posOffset>2766060</wp:posOffset>
                </wp:positionV>
                <wp:extent cx="299720" cy="415290"/>
                <wp:effectExtent l="635" t="635" r="635" b="635"/>
                <wp:wrapNone/>
                <wp:docPr id="2" name="Forme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99880" cy="415440"/>
                        </a:xfrm>
                        <a:prstGeom prst="line">
                          <a:avLst/>
                        </a:prstGeom>
                        <a:ln w="0">
                          <a:solidFill>
                            <a:srgbClr val="000000"/>
                          </a:solidFill>
                          <a:headEnd len="med" type="triangle" w="med"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302.3pt,217.8pt" to="325.85pt,250.45pt" ID="Forme3" stroked="t" o:allowincell="f" style="position:absolute;flip:x">
                <v:stroke color="black" startarrow="block" startarrowwidth="medium" startarrowlength="medium" joinstyle="round" endcap="flat"/>
                <v:fill o:detectmouseclick="t" on="false"/>
                <w10:wrap type="none"/>
              </v:line>
            </w:pict>
          </mc:Fallback>
        </mc:AlternateContent>
        <mc:AlternateContent>
          <mc:Choice Requires="wps">
            <w:drawing>
              <wp:anchor behindDoc="0" distT="9525" distB="635" distL="38100" distR="38100" simplePos="0" locked="0" layoutInCell="0" allowOverlap="1" relativeHeight="19">
                <wp:simplePos x="0" y="0"/>
                <wp:positionH relativeFrom="column">
                  <wp:posOffset>2341880</wp:posOffset>
                </wp:positionH>
                <wp:positionV relativeFrom="paragraph">
                  <wp:posOffset>1294765</wp:posOffset>
                </wp:positionV>
                <wp:extent cx="0" cy="505460"/>
                <wp:effectExtent l="38100" t="9525" r="38100" b="635"/>
                <wp:wrapNone/>
                <wp:docPr id="3" name="Forme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0" cy="50544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000000"/>
                          </a:solidFill>
                          <a:round/>
                          <a:headEnd len="med" type="triangle" w="med"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184.4pt,101.95pt" to="184.4pt,141.7pt" ID="Forme4" stroked="t" o:allowincell="f" style="position:absolute;flip:y">
                <v:stroke color="black" weight="19080" startarrow="block" startarrowwidth="medium" startarrowlength="medium" joinstyle="round" endcap="flat"/>
                <v:fill o:detectmouseclick="t" on="false"/>
                <w10:wrap type="none"/>
              </v:line>
            </w:pict>
          </mc:Fallback>
        </mc:AlternateContent>
        <mc:AlternateContent>
          <mc:Choice Requires="wps">
            <w:drawing>
              <wp:anchor behindDoc="0" distT="0" distB="10160" distL="9525" distR="635" simplePos="0" locked="0" layoutInCell="0" allowOverlap="1" relativeHeight="20">
                <wp:simplePos x="0" y="0"/>
                <wp:positionH relativeFrom="column">
                  <wp:posOffset>2863850</wp:posOffset>
                </wp:positionH>
                <wp:positionV relativeFrom="paragraph">
                  <wp:posOffset>2691130</wp:posOffset>
                </wp:positionV>
                <wp:extent cx="353695" cy="485775"/>
                <wp:effectExtent l="9525" t="0" r="635" b="10160"/>
                <wp:wrapNone/>
                <wp:docPr id="4" name="Forme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53520" cy="485640"/>
                        </a:xfrm>
                        <a:prstGeom prst="line">
                          <a:avLst/>
                        </a:prstGeom>
                        <a:ln w="19080">
                          <a:solidFill>
                            <a:srgbClr val="ff0000"/>
                          </a:solidFill>
                          <a:round/>
                          <a:headEnd len="med" type="triangle" w="med"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225.5pt,211.9pt" to="253.3pt,250.1pt" ID="Forme2" stroked="t" o:allowincell="f" style="position:absolute;flip:x">
                <v:stroke color="red" weight="19080" startarrow="block" startarrowwidth="medium" startarrowlength="medium" joinstyle="round" endcap="flat"/>
                <v:fill o:detectmouseclick="t" on="false"/>
                <w10:wrap type="none"/>
              </v:line>
            </w:pict>
          </mc:Fallback>
        </mc:AlternateContent>
      </w:r>
      <w:r>
        <w:rPr/>
        <w:drawing>
          <wp:inline distT="0" distB="0" distL="0" distR="0">
            <wp:extent cx="6817995" cy="3829050"/>
            <wp:effectExtent l="0" t="0" r="0" b="0"/>
            <wp:docPr id="5" name="Image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2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rcRect l="-12" t="-21" r="-12" b="-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7995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b/>
          <w:bCs/>
          <w:i/>
          <w:iCs/>
          <w:color w:val="000000"/>
          <w:sz w:val="21"/>
          <w:szCs w:val="21"/>
          <w:shd w:fill="auto" w:val="clear"/>
        </w:rPr>
        <w:t>App.1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</w:t>
      </w:r>
      <w:r>
        <w:rPr>
          <w:rFonts w:cs="Arial"/>
          <w:b/>
          <w:bCs/>
          <w:i/>
          <w:iCs/>
          <w:color w:val="000000"/>
          <w:sz w:val="21"/>
          <w:szCs w:val="21"/>
          <w:shd w:fill="auto" w:val="clear"/>
        </w:rPr>
        <w:t>View of the sowing experiment in the gap in January 2018.</w:t>
      </w:r>
      <w:r>
        <w:rPr>
          <w:rFonts w:cs="Arial"/>
          <w:b w:val="false"/>
          <w:bCs w:val="false"/>
          <w:i/>
          <w:iCs/>
          <w:color w:val="000000"/>
          <w:sz w:val="21"/>
          <w:szCs w:val="21"/>
          <w:shd w:fill="auto" w:val="clear"/>
        </w:rPr>
        <w:t xml:space="preserve"> Black arrows and red arrows show diaspores of </w:t>
      </w:r>
      <w:r>
        <w:rPr>
          <w:rFonts w:cs="Arial"/>
          <w:b w:val="false"/>
          <w:bCs w:val="false"/>
          <w:i w:val="false"/>
          <w:iCs w:val="false"/>
          <w:color w:val="000000"/>
          <w:sz w:val="21"/>
          <w:szCs w:val="21"/>
          <w:shd w:fill="auto" w:val="clear"/>
        </w:rPr>
        <w:t>Labourdonnaisia calophylloides</w:t>
      </w:r>
      <w:r>
        <w:rPr>
          <w:rFonts w:cs="Arial"/>
          <w:b w:val="false"/>
          <w:bCs w:val="false"/>
          <w:i/>
          <w:iCs/>
          <w:color w:val="000000"/>
          <w:sz w:val="21"/>
          <w:szCs w:val="21"/>
          <w:shd w:fill="auto" w:val="clear"/>
        </w:rPr>
        <w:t xml:space="preserve"> and </w:t>
      </w:r>
      <w:r>
        <w:rPr>
          <w:rFonts w:cs="Arial"/>
          <w:b w:val="false"/>
          <w:bCs w:val="false"/>
          <w:i w:val="false"/>
          <w:iCs w:val="false"/>
          <w:color w:val="000000"/>
          <w:sz w:val="21"/>
          <w:szCs w:val="21"/>
          <w:shd w:fill="auto" w:val="clear"/>
        </w:rPr>
        <w:t>Mimusops balata</w:t>
      </w:r>
      <w:r>
        <w:rPr>
          <w:rFonts w:cs="Arial"/>
          <w:b w:val="false"/>
          <w:bCs w:val="false"/>
          <w:i/>
          <w:iCs/>
          <w:color w:val="000000"/>
          <w:sz w:val="21"/>
          <w:szCs w:val="21"/>
          <w:shd w:fill="auto" w:val="clear"/>
        </w:rPr>
        <w:t xml:space="preserve">, respectively. 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Arrows and unfilled arrows illustrate “flesh persistence” and “hand cleaning of seeds” modalities, respectively. For more details about the seeds of focal species, please see </w:t>
      </w:r>
      <w:r>
        <w:rPr>
          <w:rFonts w:cs="Arial"/>
          <w:b/>
          <w:bCs/>
          <w:i/>
          <w:iCs/>
          <w:color w:val="000000"/>
          <w:sz w:val="21"/>
          <w:szCs w:val="21"/>
          <w:shd w:fill="auto" w:val="clear"/>
        </w:rPr>
        <w:t>Fig.2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>. Photo: F. Guilhabert.</w:t>
      </w:r>
    </w:p>
    <w:p>
      <w:pPr>
        <w:pStyle w:val="Lgende"/>
        <w:spacing w:lineRule="auto" w:line="240" w:before="119" w:after="0"/>
        <w:rPr>
          <w:rFonts w:ascii="Arial" w:hAnsi="Arial" w:cs="Arial"/>
          <w:b/>
          <w:b/>
          <w:bCs/>
          <w:i/>
          <w:i/>
          <w:iCs/>
          <w:color w:val="000000"/>
          <w:sz w:val="21"/>
          <w:szCs w:val="21"/>
          <w:shd w:fill="auto" w:val="clear"/>
        </w:rPr>
      </w:pPr>
      <w:r>
        <w:rPr>
          <w:rFonts w:cs="Arial"/>
          <w:b/>
          <w:bCs/>
          <w:i/>
          <w:iCs/>
          <w:color w:val="000000"/>
          <w:sz w:val="21"/>
          <w:szCs w:val="21"/>
          <w:shd w:fill="auto" w:val="clear"/>
        </w:rPr>
      </w:r>
    </w:p>
    <w:p>
      <w:pPr>
        <w:pStyle w:val="Lgende"/>
        <w:spacing w:lineRule="auto" w:line="240" w:before="119" w:after="0"/>
        <w:rPr>
          <w:rFonts w:ascii="Arial" w:hAnsi="Arial" w:cs="Arial"/>
          <w:b/>
          <w:b/>
          <w:bCs/>
          <w:i/>
          <w:i/>
          <w:iCs/>
          <w:color w:val="000000"/>
          <w:sz w:val="21"/>
          <w:szCs w:val="21"/>
          <w:shd w:fill="auto" w:val="clear"/>
        </w:rPr>
      </w:pPr>
      <w:r>
        <w:rPr/>
        <w:drawing>
          <wp:inline distT="0" distB="0" distL="0" distR="0">
            <wp:extent cx="2879725" cy="2372360"/>
            <wp:effectExtent l="0" t="0" r="0" b="0"/>
            <wp:docPr id="6" name="Image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rcRect l="9412" t="1295" r="23341" b="-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37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879725" cy="2372360"/>
            <wp:effectExtent l="0" t="0" r="0" b="0"/>
            <wp:docPr id="7" name="Image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6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-25" t="-30" r="-25" b="-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37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gende"/>
        <w:spacing w:lineRule="auto" w:line="240" w:before="0" w:after="119"/>
        <w:rPr>
          <w:rFonts w:ascii="Arial" w:hAnsi="Arial" w:cs="Arial"/>
          <w:i/>
          <w:i/>
          <w:iCs/>
          <w:color w:val="000000"/>
          <w:sz w:val="21"/>
          <w:szCs w:val="21"/>
          <w:shd w:fill="auto" w:val="clear"/>
        </w:rPr>
      </w:pPr>
      <w:r>
        <w:rPr>
          <w:rFonts w:cs="Arial"/>
          <w:b/>
          <w:bCs/>
          <w:i/>
          <w:iCs/>
          <w:color w:val="000000"/>
          <w:sz w:val="21"/>
          <w:szCs w:val="21"/>
          <w:shd w:fill="auto" w:val="clear"/>
        </w:rPr>
        <w:t>App.2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Seedlings of </w:t>
      </w:r>
      <w:r>
        <w:rPr>
          <w:rFonts w:cs="Arial"/>
          <w:i w:val="false"/>
          <w:iCs w:val="false"/>
          <w:color w:val="000000"/>
          <w:sz w:val="21"/>
          <w:szCs w:val="21"/>
          <w:shd w:fill="auto" w:val="clear"/>
        </w:rPr>
        <w:t>Mimusops balata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(</w:t>
      </w:r>
      <w:r>
        <w:rPr>
          <w:rFonts w:cs="Arial"/>
          <w:b/>
          <w:bCs/>
          <w:i/>
          <w:iCs/>
          <w:color w:val="000000"/>
          <w:sz w:val="21"/>
          <w:szCs w:val="21"/>
          <w:shd w:fill="auto" w:val="clear"/>
        </w:rPr>
        <w:t>left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, 4,5 months after sowing in January 2018) and </w:t>
      </w:r>
      <w:r>
        <w:rPr>
          <w:rFonts w:cs="Arial"/>
          <w:i w:val="false"/>
          <w:iCs w:val="false"/>
          <w:color w:val="000000"/>
          <w:sz w:val="21"/>
          <w:szCs w:val="21"/>
          <w:shd w:fill="auto" w:val="clear"/>
        </w:rPr>
        <w:t>Labourdonnaisia calophylloides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(</w:t>
      </w:r>
      <w:r>
        <w:rPr>
          <w:rFonts w:cs="Arial"/>
          <w:b/>
          <w:bCs/>
          <w:i/>
          <w:iCs/>
          <w:color w:val="000000"/>
          <w:sz w:val="21"/>
          <w:szCs w:val="21"/>
          <w:shd w:fill="auto" w:val="clear"/>
        </w:rPr>
        <w:t>right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>, 6 months after sowing). Photos: F. Guilhabert &amp; S. Albert</w:t>
      </w:r>
    </w:p>
    <w:p>
      <w:pPr>
        <w:pStyle w:val="Lgende"/>
        <w:spacing w:before="170" w:after="0"/>
        <w:rPr>
          <w:shd w:fill="auto" w:val="clear"/>
        </w:rPr>
      </w:pPr>
      <w:r>
        <w:rPr>
          <w:b/>
          <w:bCs w:val="false"/>
          <w:color w:val="000000"/>
          <w:sz w:val="21"/>
          <w:szCs w:val="21"/>
          <w:shd w:fill="auto" w:val="clear"/>
          <w:lang w:val="en-GB"/>
        </w:rPr>
        <w:t>App.3</w:t>
      </w:r>
      <w:r>
        <w:rPr>
          <w:b/>
          <w:bCs/>
          <w:color w:val="000000"/>
          <w:sz w:val="21"/>
          <w:szCs w:val="21"/>
          <w:shd w:fill="auto" w:val="clear"/>
          <w:lang w:val="en-GB"/>
        </w:rPr>
        <w:t xml:space="preserve"> List of binomial GLMs (including the four variables tested and </w:t>
      </w:r>
      <w:r>
        <w:rPr>
          <w:b/>
          <w:bCs/>
          <w:i/>
          <w:iCs/>
          <w:color w:val="000000"/>
          <w:sz w:val="21"/>
          <w:szCs w:val="21"/>
          <w:shd w:fill="auto" w:val="clear"/>
          <w:lang w:val="en-GB"/>
        </w:rPr>
        <w:t>main</w:t>
      </w:r>
      <w:r>
        <w:rPr>
          <w:b/>
          <w:bCs/>
          <w:color w:val="000000"/>
          <w:sz w:val="21"/>
          <w:szCs w:val="21"/>
          <w:shd w:fill="auto" w:val="clear"/>
          <w:lang w:val="en-GB"/>
        </w:rPr>
        <w:t xml:space="preserve"> two-way interactions) with their respective Akaike Information Criterion. </w:t>
      </w:r>
      <w:r>
        <w:rPr>
          <w:b w:val="false"/>
          <w:bCs w:val="false"/>
          <w:color w:val="000000"/>
          <w:sz w:val="21"/>
          <w:szCs w:val="21"/>
          <w:shd w:fill="auto" w:val="clear"/>
          <w:lang w:val="en-GB"/>
        </w:rPr>
        <w:t>The raw formula of models in R is given, except for the outcome 'recruitment' which is a two-column matrix with the</w:t>
      </w:r>
      <w:r>
        <w:rPr>
          <w:b w:val="false"/>
          <w:bCs w:val="false"/>
          <w:i/>
          <w:iCs/>
          <w:color w:val="000000"/>
          <w:sz w:val="21"/>
          <w:szCs w:val="21"/>
          <w:shd w:fill="auto" w:val="clear"/>
          <w:lang w:val="en-GB"/>
        </w:rPr>
        <w:t xml:space="preserve"> first</w:t>
      </w:r>
      <w:r>
        <w:rPr>
          <w:b w:val="false"/>
          <w:bCs w:val="false"/>
          <w:color w:val="000000"/>
          <w:sz w:val="21"/>
          <w:szCs w:val="21"/>
          <w:shd w:fill="auto" w:val="clear"/>
          <w:lang w:val="en-GB"/>
        </w:rPr>
        <w:t xml:space="preserve"> giving the number of successes (the number of established seedlings) and the second the number of failures (the number of non-established seedlings </w:t>
      </w:r>
      <w:r>
        <w:rPr>
          <w:b w:val="false"/>
          <w:bCs w:val="false"/>
          <w:i/>
          <w:iCs/>
          <w:color w:val="000000"/>
          <w:sz w:val="21"/>
          <w:szCs w:val="21"/>
          <w:shd w:fill="auto" w:val="clear"/>
          <w:lang w:val="en-GB"/>
        </w:rPr>
        <w:t>accounting for</w:t>
      </w:r>
      <w:r>
        <w:rPr>
          <w:b w:val="false"/>
          <w:bCs w:val="false"/>
          <w:color w:val="000000"/>
          <w:sz w:val="21"/>
          <w:szCs w:val="21"/>
          <w:shd w:fill="auto" w:val="clear"/>
          <w:lang w:val="en-GB"/>
        </w:rPr>
        <w:t xml:space="preserve"> unremoved/unpredated seeds).</w:t>
      </w:r>
    </w:p>
    <w:tbl>
      <w:tblPr>
        <w:tblW w:w="5000" w:type="pct"/>
        <w:jc w:val="left"/>
        <w:tblInd w:w="0" w:type="dxa"/>
        <w:tblLayout w:type="fixed"/>
        <w:tblCellMar>
          <w:top w:w="0" w:type="dxa"/>
          <w:left w:w="28" w:type="dxa"/>
          <w:bottom w:w="0" w:type="dxa"/>
          <w:right w:w="28" w:type="dxa"/>
        </w:tblCellMar>
      </w:tblPr>
      <w:tblGrid>
        <w:gridCol w:w="7648"/>
        <w:gridCol w:w="1423"/>
      </w:tblGrid>
      <w:tr>
        <w:trPr>
          <w:trHeight w:val="256" w:hRule="atLeast"/>
        </w:trPr>
        <w:tc>
          <w:tcPr>
            <w:tcW w:w="7648" w:type="dxa"/>
            <w:tcBorders>
              <w:top w:val="single" w:sz="2" w:space="0" w:color="000000"/>
              <w:bottom w:val="single" w:sz="2" w:space="0" w:color="000000"/>
            </w:tcBorders>
            <w:shd w:fill="CCCCCC" w:val="clear"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lef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GLM formula in r software</w:t>
            </w:r>
          </w:p>
        </w:tc>
        <w:tc>
          <w:tcPr>
            <w:tcW w:w="1423" w:type="dxa"/>
            <w:tcBorders>
              <w:top w:val="single" w:sz="2" w:space="0" w:color="000000"/>
              <w:bottom w:val="single" w:sz="2" w:space="0" w:color="000000"/>
            </w:tcBorders>
            <w:shd w:fill="CCCCCC" w:val="clear"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AIC</w:t>
            </w:r>
          </w:p>
        </w:tc>
      </w:tr>
      <w:tr>
        <w:trPr>
          <w:trHeight w:val="256" w:hRule="atLeast"/>
        </w:trPr>
        <w:tc>
          <w:tcPr>
            <w:tcW w:w="7648" w:type="dxa"/>
            <w:tcBorders>
              <w:top w:val="single" w:sz="2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lef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recruitment ~ 1</w:t>
            </w:r>
          </w:p>
        </w:tc>
        <w:tc>
          <w:tcPr>
            <w:tcW w:w="1423" w:type="dxa"/>
            <w:tcBorders>
              <w:top w:val="single" w:sz="2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1943</w:t>
            </w:r>
          </w:p>
        </w:tc>
      </w:tr>
      <w:tr>
        <w:trPr>
          <w:trHeight w:val="256" w:hRule="atLeast"/>
        </w:trPr>
        <w:tc>
          <w:tcPr>
            <w:tcW w:w="7648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lef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recruitment ~ seed_treatment + canopy_closure + date + species</w:t>
            </w:r>
          </w:p>
        </w:tc>
        <w:tc>
          <w:tcPr>
            <w:tcW w:w="1423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1096</w:t>
            </w:r>
          </w:p>
        </w:tc>
      </w:tr>
      <w:tr>
        <w:trPr>
          <w:trHeight w:val="256" w:hRule="atLeast"/>
        </w:trPr>
        <w:tc>
          <w:tcPr>
            <w:tcW w:w="7648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lef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recruitment ~ seed_treatment * canopy_closure + date + species</w:t>
            </w:r>
          </w:p>
        </w:tc>
        <w:tc>
          <w:tcPr>
            <w:tcW w:w="1423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1089</w:t>
            </w:r>
          </w:p>
        </w:tc>
      </w:tr>
      <w:tr>
        <w:trPr>
          <w:trHeight w:val="256" w:hRule="atLeast"/>
        </w:trPr>
        <w:tc>
          <w:tcPr>
            <w:tcW w:w="7648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lef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recruitment ~ seed_treatment * (canopy_closure + species) + date</w:t>
            </w:r>
          </w:p>
        </w:tc>
        <w:tc>
          <w:tcPr>
            <w:tcW w:w="1423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1048</w:t>
            </w:r>
          </w:p>
        </w:tc>
      </w:tr>
      <w:tr>
        <w:trPr>
          <w:trHeight w:val="256" w:hRule="atLeast"/>
        </w:trPr>
        <w:tc>
          <w:tcPr>
            <w:tcW w:w="7648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lef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recruitment ~ seed_treatment * (canopy_closure + date + species)</w:t>
            </w:r>
          </w:p>
        </w:tc>
        <w:tc>
          <w:tcPr>
            <w:tcW w:w="1423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1020</w:t>
            </w:r>
          </w:p>
        </w:tc>
      </w:tr>
      <w:tr>
        <w:trPr>
          <w:trHeight w:val="256" w:hRule="atLeast"/>
        </w:trPr>
        <w:tc>
          <w:tcPr>
            <w:tcW w:w="7648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lef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recruitment ~ seed_treatment * (canopy_closure + date + species) +  species : canopy_closure</w:t>
            </w:r>
          </w:p>
        </w:tc>
        <w:tc>
          <w:tcPr>
            <w:tcW w:w="1423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1016</w:t>
            </w:r>
          </w:p>
        </w:tc>
      </w:tr>
      <w:tr>
        <w:trPr>
          <w:trHeight w:val="256" w:hRule="atLeast"/>
        </w:trPr>
        <w:tc>
          <w:tcPr>
            <w:tcW w:w="7648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lef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recruitment ~ seed_treatment * (canopy_closure + date + species) +  species : canopy_closure + species : date</w:t>
            </w:r>
          </w:p>
        </w:tc>
        <w:tc>
          <w:tcPr>
            <w:tcW w:w="1423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1011</w:t>
            </w:r>
          </w:p>
        </w:tc>
      </w:tr>
      <w:tr>
        <w:trPr>
          <w:trHeight w:val="289" w:hRule="atLeast"/>
        </w:trPr>
        <w:tc>
          <w:tcPr>
            <w:tcW w:w="7648" w:type="dxa"/>
            <w:tcBorders>
              <w:bottom w:val="single" w:sz="2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lef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recruitment ~ (seed_treatment + canopy_closure + date + species)^2</w:t>
            </w:r>
          </w:p>
        </w:tc>
        <w:tc>
          <w:tcPr>
            <w:tcW w:w="1423" w:type="dxa"/>
            <w:tcBorders>
              <w:bottom w:val="single" w:sz="2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1007</w:t>
            </w:r>
          </w:p>
        </w:tc>
      </w:tr>
    </w:tbl>
    <w:p>
      <w:pPr>
        <w:pStyle w:val="Lgende"/>
        <w:spacing w:before="283" w:after="0"/>
        <w:rPr>
          <w:rFonts w:ascii="Arial" w:hAnsi="Arial"/>
          <w:b w:val="false"/>
          <w:b w:val="false"/>
          <w:bCs w:val="false"/>
          <w:sz w:val="21"/>
          <w:szCs w:val="21"/>
          <w:shd w:fill="auto" w:val="clear"/>
          <w:lang w:val="en-GB"/>
        </w:rPr>
      </w:pPr>
      <w:r>
        <w:rPr>
          <w:b/>
          <w:bCs w:val="false"/>
          <w:color w:val="000000"/>
          <w:sz w:val="21"/>
          <w:szCs w:val="21"/>
          <w:shd w:fill="auto" w:val="clear"/>
          <w:lang w:val="en-GB"/>
        </w:rPr>
        <w:t>App.4</w:t>
      </w:r>
      <w:r>
        <w:rPr>
          <w:b/>
          <w:bCs/>
          <w:color w:val="000000"/>
          <w:sz w:val="21"/>
          <w:szCs w:val="21"/>
          <w:shd w:fill="auto" w:val="clear"/>
          <w:lang w:val="en-GB"/>
        </w:rPr>
        <w:t xml:space="preserve"> Summary of the best fitted GLM </w:t>
      </w:r>
      <w:r>
        <w:rPr>
          <w:b w:val="false"/>
          <w:bCs w:val="false"/>
          <w:color w:val="000000"/>
          <w:sz w:val="21"/>
          <w:szCs w:val="21"/>
          <w:shd w:fill="auto" w:val="clear"/>
          <w:lang w:val="en-GB"/>
        </w:rPr>
        <w:t xml:space="preserve">that includes four factors “seed_treatment”, “canopy closure”, “date of sowing” and “species” with the six possible two-way interactions. “MIMBAL”, </w:t>
      </w:r>
      <w:r>
        <w:rPr>
          <w:b w:val="false"/>
          <w:bCs w:val="false"/>
          <w:i w:val="false"/>
          <w:iCs w:val="false"/>
          <w:color w:val="000000"/>
          <w:sz w:val="21"/>
          <w:szCs w:val="21"/>
          <w:shd w:fill="auto" w:val="clear"/>
          <w:lang w:val="en-GB"/>
        </w:rPr>
        <w:t>Mimusops balata</w:t>
      </w:r>
      <w:r>
        <w:rPr>
          <w:b w:val="false"/>
          <w:bCs w:val="false"/>
          <w:color w:val="000000"/>
          <w:sz w:val="21"/>
          <w:szCs w:val="21"/>
          <w:shd w:fill="auto" w:val="clear"/>
          <w:lang w:val="en-GB"/>
        </w:rPr>
        <w:t xml:space="preserve">; “:”, interaction </w:t>
      </w:r>
      <w:r>
        <w:rPr>
          <w:b w:val="false"/>
          <w:bCs w:val="false"/>
          <w:i/>
          <w:iCs/>
          <w:color w:val="000000"/>
          <w:sz w:val="21"/>
          <w:szCs w:val="21"/>
          <w:shd w:fill="auto" w:val="clear"/>
          <w:lang w:val="en-GB"/>
        </w:rPr>
        <w:t>between two factors</w:t>
      </w:r>
      <w:r>
        <w:rPr>
          <w:b w:val="false"/>
          <w:bCs w:val="false"/>
          <w:color w:val="000000"/>
          <w:sz w:val="21"/>
          <w:szCs w:val="21"/>
          <w:shd w:fill="auto" w:val="clear"/>
          <w:lang w:val="en-GB"/>
        </w:rPr>
        <w:t>. Coefficients were calculated using contrasts by treatment (default in R).</w:t>
      </w:r>
    </w:p>
    <w:tbl>
      <w:tblPr>
        <w:tblW w:w="5000" w:type="pct"/>
        <w:jc w:val="left"/>
        <w:tblInd w:w="0" w:type="dxa"/>
        <w:tblLayout w:type="fixed"/>
        <w:tblCellMar>
          <w:top w:w="0" w:type="dxa"/>
          <w:left w:w="28" w:type="dxa"/>
          <w:bottom w:w="0" w:type="dxa"/>
          <w:right w:w="28" w:type="dxa"/>
        </w:tblCellMar>
      </w:tblPr>
      <w:tblGrid>
        <w:gridCol w:w="5093"/>
        <w:gridCol w:w="919"/>
        <w:gridCol w:w="1016"/>
        <w:gridCol w:w="1190"/>
        <w:gridCol w:w="854"/>
      </w:tblGrid>
      <w:tr>
        <w:trPr>
          <w:trHeight w:val="256" w:hRule="atLeast"/>
        </w:trPr>
        <w:tc>
          <w:tcPr>
            <w:tcW w:w="5093" w:type="dxa"/>
            <w:tcBorders>
              <w:top w:val="single" w:sz="2" w:space="0" w:color="000000"/>
              <w:bottom w:val="single" w:sz="2" w:space="0" w:color="000000"/>
            </w:tcBorders>
            <w:shd w:fill="CCCCCC" w:val="clear"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lef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Predictor</w:t>
            </w:r>
          </w:p>
        </w:tc>
        <w:tc>
          <w:tcPr>
            <w:tcW w:w="919" w:type="dxa"/>
            <w:tcBorders>
              <w:top w:val="single" w:sz="2" w:space="0" w:color="000000"/>
              <w:bottom w:val="single" w:sz="2" w:space="0" w:color="000000"/>
            </w:tcBorders>
            <w:shd w:fill="CCCCCC" w:val="clear"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Estimate</w:t>
            </w:r>
          </w:p>
        </w:tc>
        <w:tc>
          <w:tcPr>
            <w:tcW w:w="1016" w:type="dxa"/>
            <w:tcBorders>
              <w:top w:val="single" w:sz="2" w:space="0" w:color="000000"/>
              <w:bottom w:val="single" w:sz="2" w:space="0" w:color="000000"/>
            </w:tcBorders>
            <w:shd w:fill="CCCCCC" w:val="clear"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Std.Error</w:t>
            </w:r>
          </w:p>
        </w:tc>
        <w:tc>
          <w:tcPr>
            <w:tcW w:w="1190" w:type="dxa"/>
            <w:tcBorders>
              <w:top w:val="single" w:sz="2" w:space="0" w:color="000000"/>
              <w:bottom w:val="single" w:sz="2" w:space="0" w:color="000000"/>
            </w:tcBorders>
            <w:shd w:fill="CCCCCC" w:val="clear"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z.value</w:t>
            </w:r>
          </w:p>
        </w:tc>
        <w:tc>
          <w:tcPr>
            <w:tcW w:w="854" w:type="dxa"/>
            <w:tcBorders>
              <w:top w:val="single" w:sz="2" w:space="0" w:color="000000"/>
              <w:bottom w:val="single" w:sz="2" w:space="0" w:color="000000"/>
            </w:tcBorders>
            <w:shd w:fill="CCCCCC" w:val="clear"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P</w:t>
            </w:r>
          </w:p>
        </w:tc>
      </w:tr>
      <w:tr>
        <w:trPr>
          <w:trHeight w:val="256" w:hRule="atLeast"/>
        </w:trPr>
        <w:tc>
          <w:tcPr>
            <w:tcW w:w="5093" w:type="dxa"/>
            <w:tcBorders>
              <w:top w:val="single" w:sz="2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lef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(Intercept)</w:t>
            </w:r>
          </w:p>
        </w:tc>
        <w:tc>
          <w:tcPr>
            <w:tcW w:w="919" w:type="dxa"/>
            <w:tcBorders>
              <w:top w:val="single" w:sz="2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0,225</w:t>
            </w:r>
          </w:p>
        </w:tc>
        <w:tc>
          <w:tcPr>
            <w:tcW w:w="1016" w:type="dxa"/>
            <w:tcBorders>
              <w:top w:val="single" w:sz="2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0,109</w:t>
            </w:r>
          </w:p>
        </w:tc>
        <w:tc>
          <w:tcPr>
            <w:tcW w:w="1190" w:type="dxa"/>
            <w:tcBorders>
              <w:top w:val="single" w:sz="2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2,070</w:t>
            </w:r>
          </w:p>
        </w:tc>
        <w:tc>
          <w:tcPr>
            <w:tcW w:w="854" w:type="dxa"/>
            <w:tcBorders>
              <w:top w:val="single" w:sz="2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0,038</w:t>
            </w:r>
          </w:p>
        </w:tc>
      </w:tr>
      <w:tr>
        <w:trPr>
          <w:trHeight w:val="256" w:hRule="atLeast"/>
        </w:trPr>
        <w:tc>
          <w:tcPr>
            <w:tcW w:w="5093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lef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seed_treatment, no</w:t>
            </w:r>
          </w:p>
        </w:tc>
        <w:tc>
          <w:tcPr>
            <w:tcW w:w="919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-1,697</w:t>
            </w:r>
          </w:p>
        </w:tc>
        <w:tc>
          <w:tcPr>
            <w:tcW w:w="1016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0,149</w:t>
            </w:r>
          </w:p>
        </w:tc>
        <w:tc>
          <w:tcPr>
            <w:tcW w:w="1190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-11,370</w:t>
            </w:r>
          </w:p>
        </w:tc>
        <w:tc>
          <w:tcPr>
            <w:tcW w:w="854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6E-30</w:t>
            </w:r>
          </w:p>
        </w:tc>
      </w:tr>
      <w:tr>
        <w:trPr>
          <w:trHeight w:val="256" w:hRule="atLeast"/>
        </w:trPr>
        <w:tc>
          <w:tcPr>
            <w:tcW w:w="5093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lef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Canopy_closure, gap</w:t>
            </w:r>
          </w:p>
        </w:tc>
        <w:tc>
          <w:tcPr>
            <w:tcW w:w="919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-0,411</w:t>
            </w:r>
          </w:p>
        </w:tc>
        <w:tc>
          <w:tcPr>
            <w:tcW w:w="1016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0,138</w:t>
            </w:r>
          </w:p>
        </w:tc>
        <w:tc>
          <w:tcPr>
            <w:tcW w:w="1190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-2,980</w:t>
            </w:r>
          </w:p>
        </w:tc>
        <w:tc>
          <w:tcPr>
            <w:tcW w:w="854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0,003</w:t>
            </w:r>
          </w:p>
        </w:tc>
      </w:tr>
      <w:tr>
        <w:trPr>
          <w:trHeight w:val="256" w:hRule="atLeast"/>
        </w:trPr>
        <w:tc>
          <w:tcPr>
            <w:tcW w:w="5093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lef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Date, Nov. 2019</w:t>
            </w:r>
          </w:p>
        </w:tc>
        <w:tc>
          <w:tcPr>
            <w:tcW w:w="919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0,331</w:t>
            </w:r>
          </w:p>
        </w:tc>
        <w:tc>
          <w:tcPr>
            <w:tcW w:w="1016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0,139</w:t>
            </w:r>
          </w:p>
        </w:tc>
        <w:tc>
          <w:tcPr>
            <w:tcW w:w="1190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2,378</w:t>
            </w:r>
          </w:p>
        </w:tc>
        <w:tc>
          <w:tcPr>
            <w:tcW w:w="854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0,017</w:t>
            </w:r>
          </w:p>
        </w:tc>
      </w:tr>
      <w:tr>
        <w:trPr>
          <w:trHeight w:val="256" w:hRule="atLeast"/>
        </w:trPr>
        <w:tc>
          <w:tcPr>
            <w:tcW w:w="5093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lef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Species, MIMBAL</w:t>
            </w:r>
          </w:p>
        </w:tc>
        <w:tc>
          <w:tcPr>
            <w:tcW w:w="919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0,882</w:t>
            </w:r>
          </w:p>
        </w:tc>
        <w:tc>
          <w:tcPr>
            <w:tcW w:w="1016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0,145</w:t>
            </w:r>
          </w:p>
        </w:tc>
        <w:tc>
          <w:tcPr>
            <w:tcW w:w="1190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6,095</w:t>
            </w:r>
          </w:p>
        </w:tc>
        <w:tc>
          <w:tcPr>
            <w:tcW w:w="854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1E-09</w:t>
            </w:r>
          </w:p>
        </w:tc>
      </w:tr>
      <w:tr>
        <w:trPr>
          <w:trHeight w:val="256" w:hRule="atLeast"/>
        </w:trPr>
        <w:tc>
          <w:tcPr>
            <w:tcW w:w="5093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lef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seed_treatment, flesh_persistence : Canopy_closure, gap</w:t>
            </w:r>
          </w:p>
        </w:tc>
        <w:tc>
          <w:tcPr>
            <w:tcW w:w="919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-0,457</w:t>
            </w:r>
          </w:p>
        </w:tc>
        <w:tc>
          <w:tcPr>
            <w:tcW w:w="1016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0,155</w:t>
            </w:r>
          </w:p>
        </w:tc>
        <w:tc>
          <w:tcPr>
            <w:tcW w:w="1190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-2,947</w:t>
            </w:r>
          </w:p>
        </w:tc>
        <w:tc>
          <w:tcPr>
            <w:tcW w:w="854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0,003</w:t>
            </w:r>
          </w:p>
        </w:tc>
      </w:tr>
      <w:tr>
        <w:trPr>
          <w:trHeight w:val="256" w:hRule="atLeast"/>
        </w:trPr>
        <w:tc>
          <w:tcPr>
            <w:tcW w:w="5093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lef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seed_treatment, flesh_persistence : Date, Nov. 2019</w:t>
            </w:r>
          </w:p>
        </w:tc>
        <w:tc>
          <w:tcPr>
            <w:tcW w:w="919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0,808</w:t>
            </w:r>
          </w:p>
        </w:tc>
        <w:tc>
          <w:tcPr>
            <w:tcW w:w="1016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0,154</w:t>
            </w:r>
          </w:p>
        </w:tc>
        <w:tc>
          <w:tcPr>
            <w:tcW w:w="1190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5,229</w:t>
            </w:r>
          </w:p>
        </w:tc>
        <w:tc>
          <w:tcPr>
            <w:tcW w:w="854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2E-07</w:t>
            </w:r>
          </w:p>
        </w:tc>
      </w:tr>
      <w:tr>
        <w:trPr>
          <w:trHeight w:val="256" w:hRule="atLeast"/>
        </w:trPr>
        <w:tc>
          <w:tcPr>
            <w:tcW w:w="5093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lef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seed_treatment, flesh_persistence : Species, MIMBAL</w:t>
            </w:r>
          </w:p>
        </w:tc>
        <w:tc>
          <w:tcPr>
            <w:tcW w:w="919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-0,918</w:t>
            </w:r>
          </w:p>
        </w:tc>
        <w:tc>
          <w:tcPr>
            <w:tcW w:w="1016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0,154</w:t>
            </w:r>
          </w:p>
        </w:tc>
        <w:tc>
          <w:tcPr>
            <w:tcW w:w="1190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-5,967</w:t>
            </w:r>
          </w:p>
        </w:tc>
        <w:tc>
          <w:tcPr>
            <w:tcW w:w="854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2E-09</w:t>
            </w:r>
          </w:p>
        </w:tc>
      </w:tr>
      <w:tr>
        <w:trPr>
          <w:trHeight w:val="256" w:hRule="atLeast"/>
        </w:trPr>
        <w:tc>
          <w:tcPr>
            <w:tcW w:w="5093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lef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Canopy_closure, gap : Species, MIMBAL</w:t>
            </w:r>
          </w:p>
        </w:tc>
        <w:tc>
          <w:tcPr>
            <w:tcW w:w="919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0,357</w:t>
            </w:r>
          </w:p>
        </w:tc>
        <w:tc>
          <w:tcPr>
            <w:tcW w:w="1016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0,151</w:t>
            </w:r>
          </w:p>
        </w:tc>
        <w:tc>
          <w:tcPr>
            <w:tcW w:w="1190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2,367</w:t>
            </w:r>
          </w:p>
        </w:tc>
        <w:tc>
          <w:tcPr>
            <w:tcW w:w="854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0,018</w:t>
            </w:r>
          </w:p>
        </w:tc>
      </w:tr>
      <w:tr>
        <w:trPr>
          <w:trHeight w:val="256" w:hRule="atLeast"/>
        </w:trPr>
        <w:tc>
          <w:tcPr>
            <w:tcW w:w="5093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lef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Date, Nov. 2019 : Species, MIMBAL</w:t>
            </w:r>
          </w:p>
        </w:tc>
        <w:tc>
          <w:tcPr>
            <w:tcW w:w="919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-0,386</w:t>
            </w:r>
          </w:p>
        </w:tc>
        <w:tc>
          <w:tcPr>
            <w:tcW w:w="1016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0,150</w:t>
            </w:r>
          </w:p>
        </w:tc>
        <w:tc>
          <w:tcPr>
            <w:tcW w:w="1190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-2,570</w:t>
            </w:r>
          </w:p>
        </w:tc>
        <w:tc>
          <w:tcPr>
            <w:tcW w:w="854" w:type="dxa"/>
            <w:tcBorders/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0,010</w:t>
            </w:r>
          </w:p>
        </w:tc>
      </w:tr>
      <w:tr>
        <w:trPr>
          <w:trHeight w:val="256" w:hRule="atLeast"/>
        </w:trPr>
        <w:tc>
          <w:tcPr>
            <w:tcW w:w="5093" w:type="dxa"/>
            <w:tcBorders>
              <w:bottom w:val="single" w:sz="2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lef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Canopy_closure, gap : Date, Nov. 2019</w:t>
            </w:r>
          </w:p>
        </w:tc>
        <w:tc>
          <w:tcPr>
            <w:tcW w:w="919" w:type="dxa"/>
            <w:tcBorders>
              <w:bottom w:val="single" w:sz="2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-0,384</w:t>
            </w:r>
          </w:p>
        </w:tc>
        <w:tc>
          <w:tcPr>
            <w:tcW w:w="1016" w:type="dxa"/>
            <w:tcBorders>
              <w:bottom w:val="single" w:sz="2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0,151</w:t>
            </w:r>
          </w:p>
        </w:tc>
        <w:tc>
          <w:tcPr>
            <w:tcW w:w="1190" w:type="dxa"/>
            <w:tcBorders>
              <w:bottom w:val="single" w:sz="2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-2,540</w:t>
            </w:r>
          </w:p>
        </w:tc>
        <w:tc>
          <w:tcPr>
            <w:tcW w:w="854" w:type="dxa"/>
            <w:tcBorders>
              <w:bottom w:val="single" w:sz="2" w:space="0" w:color="000000"/>
            </w:tcBorders>
            <w:vAlign w:val="bottom"/>
          </w:tcPr>
          <w:p>
            <w:pPr>
              <w:pStyle w:val="Normal"/>
              <w:widowControl w:val="false"/>
              <w:spacing w:lineRule="auto" w:line="240" w:before="0" w:after="0"/>
              <w:jc w:val="right"/>
              <w:rPr>
                <w:rFonts w:ascii="Arial" w:hAnsi="Arial"/>
                <w:sz w:val="18"/>
                <w:szCs w:val="18"/>
                <w:shd w:fill="auto" w:val="clear"/>
              </w:rPr>
            </w:pPr>
            <w:r>
              <w:rPr>
                <w:rFonts w:ascii="Arial" w:hAnsi="Arial"/>
                <w:sz w:val="18"/>
                <w:szCs w:val="18"/>
                <w:shd w:fill="auto" w:val="clear"/>
              </w:rPr>
              <w:t>0,011</w:t>
            </w:r>
          </w:p>
        </w:tc>
      </w:tr>
    </w:tbl>
    <w:p>
      <w:pPr>
        <w:pStyle w:val="Lgende"/>
        <w:spacing w:lineRule="auto" w:line="240" w:before="397" w:after="0"/>
        <w:rPr>
          <w:shd w:fill="auto" w:val="clear"/>
        </w:rPr>
      </w:pPr>
      <w:r>
        <w:rPr/>
        <w:drawing>
          <wp:inline distT="0" distB="0" distL="0" distR="0">
            <wp:extent cx="2864485" cy="2286635"/>
            <wp:effectExtent l="0" t="0" r="0" b="0"/>
            <wp:docPr id="8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485" cy="228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</w:t>
      </w:r>
      <w:r>
        <w:rPr/>
        <w:drawing>
          <wp:inline distT="0" distB="0" distL="0" distR="0">
            <wp:extent cx="2851150" cy="2286000"/>
            <wp:effectExtent l="0" t="0" r="0" b="0"/>
            <wp:docPr id="9" name="Image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7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gende"/>
        <w:spacing w:lineRule="auto" w:line="240" w:before="0" w:after="0"/>
        <w:rPr>
          <w:shd w:fill="auto" w:val="clear"/>
        </w:rPr>
      </w:pPr>
      <w:r>
        <w:rPr>
          <w:rFonts w:cs="Arial"/>
          <w:b/>
          <w:bCs/>
          <w:i/>
          <w:iCs/>
          <w:color w:val="000000"/>
          <w:sz w:val="21"/>
          <w:szCs w:val="21"/>
          <w:shd w:fill="auto" w:val="clear"/>
        </w:rPr>
        <w:t>App.5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</w:t>
      </w:r>
      <w:r>
        <w:rPr>
          <w:rFonts w:cs="Arial"/>
          <w:b/>
          <w:bCs/>
          <w:i/>
          <w:iCs/>
          <w:color w:val="000000"/>
          <w:sz w:val="21"/>
          <w:szCs w:val="21"/>
          <w:shd w:fill="auto" w:val="clear"/>
        </w:rPr>
        <w:t xml:space="preserve">Fruit of </w:t>
      </w:r>
      <w:r>
        <w:rPr>
          <w:rFonts w:cs="Arial"/>
          <w:b/>
          <w:bCs/>
          <w:i w:val="false"/>
          <w:iCs w:val="false"/>
          <w:color w:val="000000"/>
          <w:sz w:val="21"/>
          <w:szCs w:val="21"/>
          <w:shd w:fill="auto" w:val="clear"/>
        </w:rPr>
        <w:t>Labourdonnaisia calophylloides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with the seed trapped in the pericarp rich in latex. </w:t>
      </w:r>
      <w:r>
        <w:rPr>
          <w:rFonts w:cs="Arial"/>
          <w:b/>
          <w:bCs/>
          <w:i/>
          <w:iCs/>
          <w:color w:val="000000"/>
          <w:sz w:val="21"/>
          <w:szCs w:val="21"/>
          <w:shd w:fill="auto" w:val="clear"/>
        </w:rPr>
        <w:t>Left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: 5 weeks after sowing; </w:t>
      </w:r>
      <w:r>
        <w:rPr>
          <w:rFonts w:cs="Arial"/>
          <w:b/>
          <w:bCs/>
          <w:i/>
          <w:iCs/>
          <w:color w:val="000000"/>
          <w:sz w:val="21"/>
          <w:szCs w:val="21"/>
          <w:shd w:fill="auto" w:val="clear"/>
        </w:rPr>
        <w:t>Right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>: 6,5 months after sowing. Photos: A. Gorissen &amp; S.Albert</w:t>
      </w:r>
    </w:p>
    <w:p>
      <w:pPr>
        <w:pStyle w:val="Lgende"/>
        <w:spacing w:lineRule="auto" w:line="240" w:before="0" w:after="0"/>
        <w:jc w:val="left"/>
        <w:rPr>
          <w:shd w:fill="auto" w:val="clear"/>
        </w:rPr>
      </w:pPr>
      <w:r>
        <w:rPr/>
        <w:drawing>
          <wp:inline distT="0" distB="0" distL="0" distR="0">
            <wp:extent cx="972185" cy="2232025"/>
            <wp:effectExtent l="0" t="0" r="0" b="0"/>
            <wp:docPr id="10" name="Image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3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1604" t="3689" r="13269" b="1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" cy="223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</w:t>
      </w:r>
      <w:r>
        <w:rPr/>
        <w:drawing>
          <wp:inline distT="0" distB="0" distL="0" distR="0">
            <wp:extent cx="1818640" cy="2232025"/>
            <wp:effectExtent l="0" t="0" r="0" b="0"/>
            <wp:docPr id="11" name="Image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8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4674" t="-21" r="4108" b="12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640" cy="223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</w:t>
      </w:r>
      <w:r>
        <w:rPr/>
        <w:drawing>
          <wp:inline distT="0" distB="0" distL="0" distR="0">
            <wp:extent cx="1518920" cy="2232025"/>
            <wp:effectExtent l="0" t="0" r="0" b="0"/>
            <wp:docPr id="12" name="Image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0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0" t="0" r="5533" b="22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920" cy="223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</w:t>
      </w:r>
      <w:r>
        <w:rPr/>
        <w:drawing>
          <wp:inline distT="0" distB="0" distL="0" distR="0">
            <wp:extent cx="1328420" cy="2232025"/>
            <wp:effectExtent l="0" t="0" r="0" b="0"/>
            <wp:docPr id="13" name="Image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9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-22" t="2746" r="40720" b="3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420" cy="223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gende"/>
        <w:spacing w:lineRule="auto" w:line="240" w:before="0" w:after="340"/>
        <w:rPr>
          <w:shd w:fill="auto" w:val="clear"/>
        </w:rPr>
      </w:pPr>
      <w:r>
        <w:rPr>
          <w:rFonts w:cs="Arial"/>
          <w:b/>
          <w:bCs/>
          <w:i/>
          <w:iCs/>
          <w:color w:val="000000"/>
          <w:sz w:val="21"/>
          <w:szCs w:val="21"/>
          <w:shd w:fill="auto" w:val="clear"/>
        </w:rPr>
        <w:t xml:space="preserve">App.6 Seedling development 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of </w:t>
      </w:r>
      <w:r>
        <w:rPr>
          <w:rFonts w:cs="Arial"/>
          <w:i w:val="false"/>
          <w:iCs w:val="false"/>
          <w:color w:val="000000"/>
          <w:sz w:val="21"/>
          <w:szCs w:val="21"/>
          <w:shd w:fill="auto" w:val="clear"/>
        </w:rPr>
        <w:t>Labourdonnaisia calophylloides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(left) and </w:t>
      </w:r>
      <w:r>
        <w:rPr>
          <w:rFonts w:cs="Arial"/>
          <w:i w:val="false"/>
          <w:iCs w:val="false"/>
          <w:color w:val="000000"/>
          <w:sz w:val="21"/>
          <w:szCs w:val="21"/>
          <w:shd w:fill="auto" w:val="clear"/>
        </w:rPr>
        <w:t xml:space="preserve">Mimusops balata 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>(centre &amp; right) within the pericarp. Right, roots that developed within the pericarp have remained in the air after flesh disappearance 3,5 months after sowing. Photos: F. Guilhabert &amp; A. Gorissen</w:t>
      </w:r>
    </w:p>
    <w:p>
      <w:pPr>
        <w:pStyle w:val="Normal"/>
        <w:widowControl/>
        <w:suppressLineNumbers/>
        <w:bidi w:val="0"/>
        <w:spacing w:lineRule="auto" w:line="240" w:before="0" w:after="0"/>
        <w:ind w:left="0" w:right="57" w:hanging="0"/>
        <w:jc w:val="both"/>
        <w:rPr>
          <w:rFonts w:ascii="Arial" w:hAnsi="Arial" w:cs="Arial"/>
          <w:color w:val="000000"/>
          <w:sz w:val="21"/>
          <w:szCs w:val="21"/>
          <w:shd w:fill="auto" w:val="clear"/>
        </w:rPr>
      </w:pPr>
      <w:r>
        <w:rPr/>
        <w:drawing>
          <wp:inline distT="0" distB="0" distL="0" distR="0">
            <wp:extent cx="2995930" cy="2019300"/>
            <wp:effectExtent l="0" t="0" r="0" b="0"/>
            <wp:docPr id="14" name="Image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3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6506" t="-10" r="-6" b="-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93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 w:ascii="Arial" w:hAnsi="Arial"/>
          <w:color w:val="000000"/>
          <w:sz w:val="21"/>
          <w:szCs w:val="21"/>
          <w:shd w:fill="auto" w:val="clear"/>
        </w:rPr>
        <w:tab/>
      </w:r>
      <w:r>
        <w:rPr/>
        <w:drawing>
          <wp:inline distT="0" distB="0" distL="0" distR="0">
            <wp:extent cx="2614295" cy="2011680"/>
            <wp:effectExtent l="0" t="0" r="0" b="0"/>
            <wp:docPr id="15" name="Image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1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6368" t="12884" r="11235" b="150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295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widowControl/>
        <w:suppressLineNumbers/>
        <w:bidi w:val="0"/>
        <w:spacing w:lineRule="auto" w:line="240" w:before="0" w:after="0"/>
        <w:ind w:left="0" w:right="-850" w:hanging="0"/>
        <w:jc w:val="both"/>
        <w:rPr>
          <w:rFonts w:ascii="Arial" w:hAnsi="Arial" w:cs="Arial"/>
          <w:color w:val="000000"/>
          <w:sz w:val="21"/>
          <w:szCs w:val="21"/>
          <w:shd w:fill="auto" w:val="clear"/>
        </w:rPr>
      </w:pPr>
      <w:r>
        <mc:AlternateContent>
          <mc:Choice Requires="wps">
            <w:drawing>
              <wp:anchor behindDoc="0" distT="0" distB="635" distL="635" distR="635" simplePos="0" locked="0" layoutInCell="0" allowOverlap="1" relativeHeight="21">
                <wp:simplePos x="0" y="0"/>
                <wp:positionH relativeFrom="column">
                  <wp:posOffset>3518535</wp:posOffset>
                </wp:positionH>
                <wp:positionV relativeFrom="paragraph">
                  <wp:posOffset>417830</wp:posOffset>
                </wp:positionV>
                <wp:extent cx="409575" cy="300355"/>
                <wp:effectExtent l="635" t="0" r="635" b="635"/>
                <wp:wrapNone/>
                <wp:docPr id="16" name="Forme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09680" cy="300240"/>
                        </a:xfrm>
                        <a:prstGeom prst="line">
                          <a:avLst/>
                        </a:prstGeom>
                        <a:ln w="0">
                          <a:solidFill>
                            <a:srgbClr val="ff0000"/>
                          </a:solidFill>
                          <a:headEnd len="med" type="triangle" w="med"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277.05pt,32.9pt" to="309.25pt,56.5pt" ID="Forme5" stroked="t" o:allowincell="f" style="position:absolute;flip:x">
                <v:stroke color="red" startarrow="block" startarrowwidth="medium" startarrowlength="medium" joinstyle="round" endcap="flat"/>
                <v:fill o:detectmouseclick="t" on="false"/>
                <w10:wrap type="none"/>
              </v:line>
            </w:pict>
          </mc:Fallback>
        </mc:AlternateContent>
      </w:r>
      <w:r>
        <w:rPr/>
        <w:drawing>
          <wp:inline distT="0" distB="0" distL="0" distR="0">
            <wp:extent cx="3006725" cy="1597025"/>
            <wp:effectExtent l="0" t="0" r="0" b="0"/>
            <wp:docPr id="17" name="Image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4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0" t="5089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725" cy="159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 w:ascii="Arial" w:hAnsi="Arial"/>
          <w:color w:val="000000"/>
          <w:sz w:val="21"/>
          <w:szCs w:val="21"/>
          <w:shd w:fill="auto" w:val="clear"/>
        </w:rPr>
        <w:t xml:space="preserve">   </w:t>
      </w:r>
      <w:r>
        <w:rPr/>
        <w:drawing>
          <wp:inline distT="0" distB="0" distL="0" distR="0">
            <wp:extent cx="2626360" cy="1581150"/>
            <wp:effectExtent l="0" t="0" r="0" b="0"/>
            <wp:docPr id="18" name="Image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4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6692" t="22955" r="17663" b="42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36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gende"/>
        <w:widowControl/>
        <w:suppressLineNumbers/>
        <w:bidi w:val="0"/>
        <w:spacing w:lineRule="auto" w:line="240" w:before="0" w:after="0"/>
        <w:ind w:left="0" w:right="0" w:hanging="0"/>
        <w:jc w:val="both"/>
        <w:rPr>
          <w:shd w:fill="auto" w:val="clear"/>
        </w:rPr>
      </w:pPr>
      <w:r>
        <w:rPr>
          <w:rFonts w:cs="Arial"/>
          <w:b/>
          <w:bCs/>
          <w:i/>
          <w:iCs/>
          <w:color w:val="000000"/>
          <w:sz w:val="21"/>
          <w:szCs w:val="21"/>
          <w:shd w:fill="auto" w:val="clear"/>
        </w:rPr>
        <w:t>App.7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</w:t>
      </w:r>
      <w:r>
        <w:rPr>
          <w:rFonts w:cs="Arial"/>
          <w:b/>
          <w:bCs/>
          <w:i/>
          <w:iCs/>
          <w:color w:val="000000"/>
          <w:sz w:val="21"/>
          <w:szCs w:val="21"/>
          <w:shd w:fill="auto" w:val="clear"/>
        </w:rPr>
        <w:t>Monitoring of plant-animal interactions at Ilet Tessan.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</w:t>
      </w:r>
      <w:r>
        <w:rPr>
          <w:rFonts w:cs="Arial"/>
          <w:b/>
          <w:bCs/>
          <w:i/>
          <w:iCs/>
          <w:color w:val="000000"/>
          <w:sz w:val="21"/>
          <w:szCs w:val="21"/>
          <w:shd w:fill="auto" w:val="clear"/>
        </w:rPr>
        <w:t xml:space="preserve">Top left, </w:t>
      </w:r>
      <w:r>
        <w:rPr>
          <w:rFonts w:cs="Arial"/>
          <w:b w:val="false"/>
          <w:bCs w:val="false"/>
          <w:i/>
          <w:iCs/>
          <w:color w:val="000000"/>
          <w:sz w:val="21"/>
          <w:szCs w:val="21"/>
          <w:shd w:fill="auto" w:val="clear"/>
        </w:rPr>
        <w:t>n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o evidence of seed predation or secondary dispersal on focal species was noted after first sowing in January 2018, in spite of the </w:t>
      </w:r>
      <w:r>
        <w:rPr>
          <w:rFonts w:cs="Arial"/>
          <w:b w:val="false"/>
          <w:i/>
          <w:iCs/>
          <w:color w:val="000000"/>
          <w:sz w:val="21"/>
          <w:szCs w:val="21"/>
          <w:shd w:fill="auto" w:val="clear"/>
        </w:rPr>
        <w:t>high activity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of </w:t>
      </w:r>
      <w:r>
        <w:rPr>
          <w:rFonts w:cs="Arial"/>
          <w:i w:val="false"/>
          <w:iCs w:val="false"/>
          <w:color w:val="000000"/>
          <w:sz w:val="21"/>
          <w:szCs w:val="21"/>
          <w:shd w:fill="auto" w:val="clear"/>
        </w:rPr>
        <w:t>Rattus rattus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in the vicinity. </w:t>
      </w:r>
      <w:r>
        <w:rPr>
          <w:rFonts w:cs="Arial"/>
          <w:b w:val="false"/>
          <w:bCs w:val="false"/>
          <w:i/>
          <w:iCs/>
          <w:color w:val="000000"/>
          <w:sz w:val="21"/>
          <w:szCs w:val="21"/>
          <w:shd w:fill="auto" w:val="clear"/>
        </w:rPr>
        <w:t>Betw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>een the 20</w:t>
      </w:r>
      <w:r>
        <w:rPr>
          <w:rFonts w:cs="Arial"/>
          <w:i/>
          <w:iCs/>
          <w:color w:val="000000"/>
          <w:sz w:val="21"/>
          <w:szCs w:val="21"/>
          <w:shd w:fill="auto" w:val="clear"/>
          <w:vertAlign w:val="superscript"/>
        </w:rPr>
        <w:t>th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and 27</w:t>
      </w:r>
      <w:r>
        <w:rPr>
          <w:rFonts w:cs="Arial"/>
          <w:i/>
          <w:iCs/>
          <w:color w:val="000000"/>
          <w:sz w:val="21"/>
          <w:szCs w:val="21"/>
          <w:shd w:fill="auto" w:val="clear"/>
          <w:vertAlign w:val="superscript"/>
        </w:rPr>
        <w:t>th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of July 2018, this species removed for example 39 out of 40 fruits of </w:t>
      </w:r>
      <w:r>
        <w:rPr>
          <w:rFonts w:cs="Arial"/>
          <w:i w:val="false"/>
          <w:iCs w:val="false"/>
          <w:color w:val="000000"/>
          <w:sz w:val="21"/>
          <w:szCs w:val="21"/>
          <w:shd w:fill="auto" w:val="clear"/>
        </w:rPr>
        <w:t>Hyophorbe indica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, a large-seeded endemic and endangered palm tree. </w:t>
      </w:r>
      <w:r>
        <w:rPr>
          <w:rFonts w:cs="Arial"/>
          <w:b/>
          <w:bCs/>
          <w:i/>
          <w:iCs/>
          <w:color w:val="000000"/>
          <w:sz w:val="21"/>
          <w:szCs w:val="21"/>
          <w:shd w:fill="auto" w:val="clear"/>
        </w:rPr>
        <w:t>Top right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, several seeds of </w:t>
      </w:r>
      <w:r>
        <w:rPr>
          <w:rFonts w:cs="Arial"/>
          <w:i w:val="false"/>
          <w:iCs w:val="false"/>
          <w:color w:val="000000"/>
          <w:sz w:val="21"/>
          <w:szCs w:val="21"/>
          <w:shd w:fill="auto" w:val="clear"/>
        </w:rPr>
        <w:t>M. balata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were predated </w:t>
      </w:r>
      <w:r>
        <w:rPr>
          <w:rFonts w:cs="Arial"/>
          <w:i w:val="false"/>
          <w:iCs w:val="false"/>
          <w:color w:val="000000"/>
          <w:sz w:val="21"/>
          <w:szCs w:val="21"/>
          <w:shd w:fill="auto" w:val="clear"/>
        </w:rPr>
        <w:t xml:space="preserve">in situ 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after sowing in November 2019, </w:t>
      </w:r>
      <w:r>
        <w:rPr>
          <w:rFonts w:cs="Arial"/>
          <w:b w:val="false"/>
          <w:i/>
          <w:iCs/>
          <w:color w:val="000000"/>
          <w:sz w:val="21"/>
          <w:szCs w:val="21"/>
          <w:shd w:fill="auto" w:val="clear"/>
        </w:rPr>
        <w:t>and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numerous fruits of </w:t>
      </w:r>
      <w:r>
        <w:rPr>
          <w:rFonts w:cs="Arial"/>
          <w:i w:val="false"/>
          <w:iCs w:val="false"/>
          <w:color w:val="000000"/>
          <w:sz w:val="21"/>
          <w:szCs w:val="21"/>
          <w:shd w:fill="auto" w:val="clear"/>
        </w:rPr>
        <w:t xml:space="preserve">L. calophylloides were removed from the experiment 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(image not shown for the latter). </w:t>
      </w:r>
      <w:r>
        <w:rPr>
          <w:rFonts w:cs="Arial"/>
          <w:b/>
          <w:bCs/>
          <w:i/>
          <w:iCs/>
          <w:color w:val="000000"/>
          <w:sz w:val="21"/>
          <w:szCs w:val="21"/>
          <w:shd w:fill="auto" w:val="clear"/>
        </w:rPr>
        <w:t>Bottom left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, from 2018 to 2020, camera traps have also detected on the ground various vertebrates that did not interact with </w:t>
      </w:r>
      <w:r>
        <w:rPr>
          <w:rFonts w:cs="Arial"/>
          <w:b w:val="false"/>
          <w:i/>
          <w:iCs/>
          <w:color w:val="000000"/>
          <w:sz w:val="21"/>
          <w:szCs w:val="21"/>
          <w:shd w:fill="auto" w:val="clear"/>
        </w:rPr>
        <w:t>focal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</w:t>
      </w:r>
      <w:r>
        <w:rPr>
          <w:rFonts w:cs="Arial"/>
          <w:b w:val="false"/>
          <w:i/>
          <w:iCs/>
          <w:color w:val="000000"/>
          <w:sz w:val="21"/>
          <w:szCs w:val="21"/>
          <w:shd w:fill="auto" w:val="clear"/>
        </w:rPr>
        <w:t>species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: the native birds </w:t>
      </w:r>
      <w:r>
        <w:rPr>
          <w:rFonts w:cs="Arial"/>
          <w:i w:val="false"/>
          <w:iCs w:val="false"/>
          <w:color w:val="000000"/>
          <w:sz w:val="21"/>
          <w:szCs w:val="21"/>
          <w:shd w:fill="auto" w:val="clear"/>
        </w:rPr>
        <w:t>Saxicola tectes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and </w:t>
      </w:r>
      <w:r>
        <w:rPr>
          <w:rFonts w:cs="Arial"/>
          <w:i w:val="false"/>
          <w:iCs w:val="false"/>
          <w:color w:val="000000"/>
          <w:sz w:val="21"/>
          <w:szCs w:val="21"/>
          <w:shd w:fill="auto" w:val="clear"/>
        </w:rPr>
        <w:t>Terpsiphone bourbonnensis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; the introduced birds </w:t>
      </w:r>
      <w:r>
        <w:rPr>
          <w:rFonts w:cs="Arial"/>
          <w:i w:val="false"/>
          <w:iCs w:val="false"/>
          <w:color w:val="000000"/>
          <w:sz w:val="21"/>
          <w:szCs w:val="21"/>
          <w:shd w:fill="auto" w:val="clear"/>
        </w:rPr>
        <w:t>Acridotheres tristis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, </w:t>
      </w:r>
      <w:r>
        <w:rPr>
          <w:rFonts w:cs="Arial"/>
          <w:i w:val="false"/>
          <w:iCs w:val="false"/>
          <w:color w:val="000000"/>
          <w:sz w:val="21"/>
          <w:szCs w:val="21"/>
          <w:shd w:fill="auto" w:val="clear"/>
        </w:rPr>
        <w:t xml:space="preserve">Nesoenas picturata 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(here feeding on fruits of </w:t>
      </w:r>
      <w:r>
        <w:rPr>
          <w:rFonts w:cs="Arial"/>
          <w:i w:val="false"/>
          <w:iCs w:val="false"/>
          <w:color w:val="000000"/>
          <w:sz w:val="21"/>
          <w:szCs w:val="21"/>
          <w:shd w:fill="auto" w:val="clear"/>
        </w:rPr>
        <w:t>Ardisia crenata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), </w:t>
      </w:r>
      <w:r>
        <w:rPr>
          <w:rFonts w:cs="Arial"/>
          <w:i w:val="false"/>
          <w:iCs w:val="false"/>
          <w:color w:val="000000"/>
          <w:sz w:val="21"/>
          <w:szCs w:val="21"/>
          <w:shd w:fill="auto" w:val="clear"/>
        </w:rPr>
        <w:t>Pycnonotus jocosus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and mammals </w:t>
      </w:r>
      <w:r>
        <w:rPr>
          <w:rFonts w:cs="Arial"/>
          <w:i w:val="false"/>
          <w:iCs w:val="false"/>
          <w:color w:val="000000"/>
          <w:sz w:val="21"/>
          <w:szCs w:val="21"/>
          <w:shd w:fill="auto" w:val="clear"/>
        </w:rPr>
        <w:t>Suncus murinus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, </w:t>
      </w:r>
      <w:r>
        <w:rPr>
          <w:rFonts w:cs="Arial"/>
          <w:i w:val="false"/>
          <w:iCs w:val="false"/>
          <w:color w:val="000000"/>
          <w:sz w:val="21"/>
          <w:szCs w:val="21"/>
          <w:shd w:fill="auto" w:val="clear"/>
        </w:rPr>
        <w:t>Tenrec ecaudatus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. Among invertebrates potentially involved in seed predation on oceanic islands, </w:t>
      </w:r>
      <w:r>
        <w:rPr>
          <w:rFonts w:cs="Arial"/>
          <w:i w:val="false"/>
          <w:iCs w:val="false"/>
          <w:color w:val="000000"/>
          <w:sz w:val="21"/>
          <w:szCs w:val="21"/>
          <w:shd w:fill="auto" w:val="clear"/>
        </w:rPr>
        <w:t>Geograpsus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land crabs that invade certain lowland areas at Saint-Philippe have not been seen at study site. </w:t>
      </w:r>
      <w:r>
        <w:rPr>
          <w:rFonts w:cs="Arial"/>
          <w:b/>
          <w:bCs/>
          <w:i/>
          <w:iCs/>
          <w:color w:val="000000"/>
          <w:sz w:val="21"/>
          <w:szCs w:val="21"/>
          <w:shd w:fill="auto" w:val="clear"/>
        </w:rPr>
        <w:t>Bottom right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, the giant snail </w:t>
      </w:r>
      <w:r>
        <w:rPr>
          <w:rFonts w:cs="Arial"/>
          <w:i w:val="false"/>
          <w:iCs w:val="false"/>
          <w:color w:val="000000"/>
          <w:sz w:val="21"/>
          <w:szCs w:val="21"/>
          <w:shd w:fill="auto" w:val="clear"/>
        </w:rPr>
        <w:t>Lissachatina immaculata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fed largely on fruits of </w:t>
      </w:r>
      <w:r>
        <w:rPr>
          <w:rFonts w:cs="Arial"/>
          <w:i w:val="false"/>
          <w:iCs w:val="false"/>
          <w:color w:val="000000"/>
          <w:sz w:val="21"/>
          <w:szCs w:val="21"/>
          <w:shd w:fill="auto" w:val="clear"/>
        </w:rPr>
        <w:t>L. calophylloides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in November 2019</w:t>
      </w:r>
      <w:r>
        <w:rPr>
          <w:rFonts w:cs="Arial"/>
          <w:i w:val="false"/>
          <w:iCs w:val="false"/>
          <w:color w:val="000000"/>
          <w:sz w:val="21"/>
          <w:szCs w:val="21"/>
          <w:shd w:fill="auto" w:val="clear"/>
        </w:rPr>
        <w:t>.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Note the effective seed cleaning with the hilum clearly visible (red arrow). Photos: A. Gorissen &amp; S. Albert.</w:t>
      </w:r>
    </w:p>
    <w:p>
      <w:pPr>
        <w:pStyle w:val="Lgende"/>
        <w:widowControl/>
        <w:suppressLineNumbers/>
        <w:bidi w:val="0"/>
        <w:spacing w:lineRule="auto" w:line="240" w:before="0" w:after="0"/>
        <w:ind w:left="0" w:right="0" w:hanging="0"/>
        <w:jc w:val="both"/>
        <w:rPr>
          <w:rFonts w:ascii="Arial" w:hAnsi="Arial" w:cs="Arial"/>
          <w:i/>
          <w:i/>
          <w:iCs/>
          <w:color w:val="000000"/>
          <w:sz w:val="21"/>
          <w:szCs w:val="21"/>
          <w:shd w:fill="auto" w:val="clear"/>
        </w:rPr>
      </w:pPr>
      <w:r>
        <w:rPr>
          <w:rFonts w:cs="Arial"/>
          <w:i/>
          <w:iCs/>
          <w:color w:val="000000"/>
          <w:sz w:val="21"/>
          <w:szCs w:val="21"/>
          <w:shd w:fill="auto" w:val="clear"/>
        </w:rPr>
      </w:r>
    </w:p>
    <w:p>
      <w:pPr>
        <w:pStyle w:val="Lgende"/>
        <w:widowControl/>
        <w:suppressLineNumbers/>
        <w:bidi w:val="0"/>
        <w:spacing w:lineRule="auto" w:line="240" w:before="0" w:after="0"/>
        <w:ind w:left="0" w:right="0" w:hanging="0"/>
        <w:jc w:val="both"/>
        <w:rPr>
          <w:rFonts w:ascii="Arial" w:hAnsi="Arial" w:cs="Arial"/>
          <w:i/>
          <w:i/>
          <w:iCs/>
          <w:color w:val="000000"/>
          <w:sz w:val="21"/>
          <w:szCs w:val="21"/>
          <w:shd w:fill="auto" w:val="clear"/>
        </w:rPr>
      </w:pPr>
      <w:r>
        <w:rPr>
          <w:rFonts w:cs="Arial"/>
          <w:i/>
          <w:iCs/>
          <w:color w:val="000000"/>
          <w:sz w:val="21"/>
          <w:szCs w:val="21"/>
          <w:shd w:fill="auto" w:val="clear"/>
        </w:rPr>
      </w:r>
    </w:p>
    <w:p>
      <w:pPr>
        <w:pStyle w:val="Lgende"/>
        <w:widowControl/>
        <w:suppressLineNumbers/>
        <w:bidi w:val="0"/>
        <w:spacing w:lineRule="auto" w:line="240" w:before="0" w:after="0"/>
        <w:ind w:left="0" w:right="0" w:hanging="0"/>
        <w:jc w:val="both"/>
        <w:rPr>
          <w:rFonts w:ascii="Arial" w:hAnsi="Arial" w:cs="Arial"/>
          <w:i/>
          <w:i/>
          <w:iCs/>
          <w:color w:val="000000"/>
          <w:sz w:val="21"/>
          <w:szCs w:val="21"/>
          <w:shd w:fill="auto" w:val="clear"/>
        </w:rPr>
      </w:pPr>
      <w:r>
        <w:rPr>
          <w:rFonts w:cs="Arial"/>
          <w:i/>
          <w:iCs/>
          <w:color w:val="000000"/>
          <w:sz w:val="21"/>
          <w:szCs w:val="21"/>
          <w:shd w:fill="auto" w:val="clear"/>
        </w:rPr>
      </w:r>
    </w:p>
    <w:p>
      <w:pPr>
        <w:pStyle w:val="Lgende"/>
        <w:widowControl/>
        <w:suppressLineNumbers/>
        <w:bidi w:val="0"/>
        <w:spacing w:lineRule="auto" w:line="240" w:before="0" w:after="0"/>
        <w:ind w:left="0" w:right="0" w:hanging="0"/>
        <w:jc w:val="both"/>
        <w:rPr>
          <w:rFonts w:ascii="Arial" w:hAnsi="Arial" w:cs="Arial"/>
          <w:i/>
          <w:i/>
          <w:iCs/>
          <w:color w:val="000000"/>
          <w:sz w:val="21"/>
          <w:szCs w:val="21"/>
          <w:shd w:fill="auto" w:val="clear"/>
        </w:rPr>
      </w:pPr>
      <w:r>
        <w:rPr/>
        <w:drawing>
          <wp:inline distT="0" distB="0" distL="0" distR="0">
            <wp:extent cx="5760720" cy="3239770"/>
            <wp:effectExtent l="0" t="0" r="0" b="0"/>
            <wp:docPr id="19" name="Image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5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gende"/>
        <w:widowControl/>
        <w:suppressLineNumbers/>
        <w:bidi w:val="0"/>
        <w:spacing w:lineRule="auto" w:line="240" w:before="0" w:after="0"/>
        <w:ind w:left="0" w:right="0" w:hanging="0"/>
        <w:jc w:val="both"/>
        <w:rPr>
          <w:rFonts w:ascii="Arial" w:hAnsi="Arial" w:cs="Arial"/>
          <w:i/>
          <w:i/>
          <w:iCs/>
          <w:color w:val="000000"/>
          <w:sz w:val="21"/>
          <w:szCs w:val="21"/>
          <w:shd w:fill="auto" w:val="clear"/>
        </w:rPr>
      </w:pPr>
      <w:r>
        <w:rPr>
          <w:rFonts w:cs="Arial"/>
          <w:b/>
          <w:bCs/>
          <w:i/>
          <w:iCs/>
          <w:color w:val="000000"/>
          <w:sz w:val="21"/>
          <w:szCs w:val="21"/>
          <w:shd w:fill="auto" w:val="clear"/>
        </w:rPr>
        <w:t>App.8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</w:t>
      </w:r>
      <w:r>
        <w:rPr>
          <w:rFonts w:cs="Arial"/>
          <w:b/>
          <w:bCs/>
          <w:i/>
          <w:iCs/>
          <w:color w:val="000000"/>
          <w:sz w:val="21"/>
          <w:szCs w:val="21"/>
          <w:shd w:fill="auto" w:val="clear"/>
        </w:rPr>
        <w:t xml:space="preserve">Cleaned seeds (red arrows) and whole fruits (cyan arrows) of </w:t>
      </w:r>
      <w:r>
        <w:rPr>
          <w:rFonts w:cs="Arial"/>
          <w:b/>
          <w:bCs/>
          <w:i w:val="false"/>
          <w:iCs w:val="false"/>
          <w:color w:val="000000"/>
          <w:sz w:val="21"/>
          <w:szCs w:val="21"/>
          <w:shd w:fill="auto" w:val="clear"/>
        </w:rPr>
        <w:t>Labourdonnaisia calophylloides</w:t>
      </w:r>
      <w:r>
        <w:rPr>
          <w:rFonts w:cs="Arial"/>
          <w:b/>
          <w:bCs/>
          <w:i/>
          <w:iCs/>
          <w:color w:val="000000"/>
          <w:sz w:val="21"/>
          <w:szCs w:val="21"/>
          <w:shd w:fill="auto" w:val="clear"/>
        </w:rPr>
        <w:t xml:space="preserve"> on the ground in old-growth forest in January 2022. </w:t>
      </w:r>
      <w:r>
        <w:rPr>
          <w:rFonts w:cs="Arial"/>
          <w:b w:val="false"/>
          <w:bCs w:val="false"/>
          <w:i/>
          <w:iCs/>
          <w:color w:val="000000"/>
          <w:sz w:val="21"/>
          <w:szCs w:val="21"/>
          <w:shd w:fill="auto" w:val="clear"/>
        </w:rPr>
        <w:t xml:space="preserve">The invasive </w:t>
      </w:r>
      <w:r>
        <w:rPr>
          <w:rFonts w:cs="Arial"/>
          <w:b w:val="false"/>
          <w:bCs w:val="false"/>
          <w:i w:val="false"/>
          <w:iCs w:val="false"/>
          <w:color w:val="000000"/>
          <w:sz w:val="21"/>
          <w:szCs w:val="21"/>
          <w:shd w:fill="auto" w:val="clear"/>
        </w:rPr>
        <w:t>Lissachatina immaculata</w:t>
      </w:r>
      <w:r>
        <w:rPr>
          <w:rFonts w:cs="Arial"/>
          <w:b w:val="false"/>
          <w:bCs w:val="false"/>
          <w:i/>
          <w:iCs/>
          <w:color w:val="000000"/>
          <w:sz w:val="21"/>
          <w:szCs w:val="21"/>
          <w:shd w:fill="auto" w:val="clear"/>
        </w:rPr>
        <w:t xml:space="preserve"> may have been a pervasive seed cleaner of this endemic tree in tropical rainforest on Réunion for several centuries. Photo: A. Gorissen</w:t>
      </w:r>
    </w:p>
    <w:p>
      <w:pPr>
        <w:pStyle w:val="Lgende"/>
        <w:spacing w:lineRule="auto" w:line="240" w:before="0" w:after="0"/>
        <w:rPr>
          <w:rFonts w:ascii="Arial" w:hAnsi="Arial" w:cs="Arial"/>
          <w:i/>
          <w:i/>
          <w:iCs/>
          <w:color w:val="000000"/>
          <w:sz w:val="21"/>
          <w:szCs w:val="21"/>
          <w:shd w:fill="auto" w:val="clear"/>
        </w:rPr>
      </w:pPr>
      <w:r>
        <w:rPr/>
        <w:drawing>
          <wp:inline distT="0" distB="0" distL="0" distR="0">
            <wp:extent cx="5760720" cy="4579620"/>
            <wp:effectExtent l="0" t="0" r="0" b="0"/>
            <wp:docPr id="20" name="Image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2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0" t="0" r="0" b="57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7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gende"/>
        <w:spacing w:lineRule="auto" w:line="240" w:before="0" w:after="119"/>
        <w:rPr>
          <w:shd w:fill="auto" w:val="clear"/>
        </w:rPr>
      </w:pPr>
      <w:r>
        <w:rPr>
          <w:rFonts w:cs="Arial"/>
          <w:b/>
          <w:bCs/>
          <w:i/>
          <w:iCs/>
          <w:color w:val="000000"/>
          <w:sz w:val="21"/>
          <w:szCs w:val="21"/>
          <w:shd w:fill="auto" w:val="clear"/>
        </w:rPr>
        <w:t>App.9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</w:t>
      </w:r>
      <w:r>
        <w:rPr>
          <w:rFonts w:cs="Arial"/>
          <w:b/>
          <w:bCs/>
          <w:i/>
          <w:iCs/>
          <w:color w:val="000000"/>
          <w:sz w:val="21"/>
          <w:szCs w:val="21"/>
          <w:shd w:fill="auto" w:val="clear"/>
        </w:rPr>
        <w:t>View of the experiment in the gap in July 2020, 2,5 years after sowing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(for the comparison, see App.1). The largest native saplings are the result of spontaneous regeneration, </w:t>
      </w:r>
      <w:r>
        <w:rPr>
          <w:rFonts w:cs="Arial"/>
          <w:i w:val="false"/>
          <w:iCs w:val="false"/>
          <w:color w:val="000000"/>
          <w:sz w:val="21"/>
          <w:szCs w:val="21"/>
          <w:shd w:fill="auto" w:val="clear"/>
        </w:rPr>
        <w:t xml:space="preserve">Antirhea borbonica 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(white arrows), </w:t>
      </w:r>
      <w:r>
        <w:rPr>
          <w:rFonts w:cs="Arial"/>
          <w:i w:val="false"/>
          <w:iCs w:val="false"/>
          <w:color w:val="000000"/>
          <w:sz w:val="21"/>
          <w:szCs w:val="21"/>
          <w:shd w:fill="auto" w:val="clear"/>
        </w:rPr>
        <w:t>Ficus mauritiana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(white unfilled arrow), </w:t>
      </w:r>
      <w:r>
        <w:rPr>
          <w:rFonts w:cs="Arial"/>
          <w:i w:val="false"/>
          <w:iCs w:val="false"/>
          <w:color w:val="000000"/>
          <w:sz w:val="21"/>
          <w:szCs w:val="21"/>
          <w:shd w:fill="auto" w:val="clear"/>
        </w:rPr>
        <w:t xml:space="preserve">Ocotea obtusata 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(white line arrow), but numerous seedlings of </w:t>
      </w:r>
      <w:r>
        <w:rPr>
          <w:rFonts w:cs="Arial"/>
          <w:i w:val="false"/>
          <w:iCs w:val="false"/>
          <w:color w:val="000000"/>
          <w:sz w:val="21"/>
          <w:szCs w:val="21"/>
          <w:shd w:fill="auto" w:val="clear"/>
        </w:rPr>
        <w:t>L. calophylloides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(red arrows) and </w:t>
      </w:r>
      <w:r>
        <w:rPr>
          <w:rFonts w:cs="Arial"/>
          <w:i w:val="false"/>
          <w:iCs w:val="false"/>
          <w:color w:val="000000"/>
          <w:sz w:val="21"/>
          <w:szCs w:val="21"/>
          <w:shd w:fill="auto" w:val="clear"/>
        </w:rPr>
        <w:t>M. balata</w:t>
      </w:r>
      <w:r>
        <w:rPr>
          <w:rFonts w:cs="Arial"/>
          <w:i/>
          <w:iCs/>
          <w:color w:val="000000"/>
          <w:sz w:val="21"/>
          <w:szCs w:val="21"/>
          <w:shd w:fill="auto" w:val="clear"/>
        </w:rPr>
        <w:t xml:space="preserve"> (red unfilled arrows) are visible and reach 45 cm high. Photos: A. Gorissen</w:t>
      </w:r>
    </w:p>
    <w:sectPr>
      <w:headerReference w:type="default" r:id="rId17"/>
      <w:footerReference w:type="default" r:id="rId18"/>
      <w:type w:val="nextPage"/>
      <w:pgSz w:w="11906" w:h="16838"/>
      <w:pgMar w:left="1417" w:right="1417" w:gutter="0" w:header="1134" w:top="2040" w:footer="1134" w:bottom="2040"/>
      <w:pgNumType w:start="197"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Arial">
    <w:charset w:val="00"/>
    <w:family w:val="roman"/>
    <w:pitch w:val="variable"/>
  </w:font>
  <w:font w:name="Calibri Light">
    <w:charset w:val="00"/>
    <w:family w:val="roman"/>
    <w:pitch w:val="variable"/>
  </w:font>
  <w:font w:name="Liberation Sans">
    <w:altName w:val="Arial"/>
    <w:charset w:val="00"/>
    <w:family w:val="roman"/>
    <w:pitch w:val="variable"/>
  </w:font>
  <w:font w:name="DELMD G+ Adv O Tf 94803d 4">
    <w:charset w:val="00"/>
    <w:family w:val="roman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Pieddepage"/>
      <w:spacing w:before="114" w:after="114"/>
      <w:jc w:val="right"/>
      <w:rPr/>
    </w:pPr>
    <w:r>
      <w:rPr/>
      <w:fldChar w:fldCharType="begin"/>
    </w:r>
    <w:r>
      <w:rPr/>
      <w:instrText xml:space="preserve"> PAGE </w:instrText>
    </w:r>
    <w:r>
      <w:rPr/>
      <w:fldChar w:fldCharType="separate"/>
    </w:r>
    <w:r>
      <w:rPr/>
      <w:t>201</w:t>
    </w:r>
    <w:r>
      <w:rPr/>
      <w:fldChar w:fldCharType="end"/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Entte"/>
      <w:spacing w:before="114" w:after="114"/>
      <w:jc w:val="right"/>
      <w:rPr>
        <w:i/>
        <w:i/>
        <w:iCs/>
      </w:rPr>
    </w:pPr>
    <w:r>
      <w:rPr>
        <w:i/>
        <w:iCs/>
      </w:rPr>
      <w:t>Tree recruitment after native frugivore loss? - Supplementary material</w:t>
    </w:r>
  </w:p>
</w:hdr>
</file>

<file path=word/settings.xml><?xml version="1.0" encoding="utf-8"?>
<w:settings xmlns:w="http://schemas.openxmlformats.org/wordprocessingml/2006/main">
  <w:zoom w:percent="140"/>
  <w:defaultTabStop w:val="408"/>
  <w:autoHyphenation w:val="true"/>
  <w:compat>
    <w:compatSetting w:name="compatibilityMode" w:uri="http://schemas.microsoft.com/office/word" w:val="15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Tahoma"/>
        <w:kern w:val="2"/>
        <w:sz w:val="22"/>
        <w:szCs w:val="22"/>
        <w:lang w:val="en-GB" w:eastAsia="en-US" w:bidi="ar-SA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/>
      <w:suppressAutoHyphens w:val="true"/>
      <w:overflowPunct w:val="false"/>
      <w:bidi w:val="0"/>
      <w:spacing w:lineRule="auto" w:line="360" w:before="114" w:after="114"/>
      <w:jc w:val="both"/>
    </w:pPr>
    <w:rPr>
      <w:rFonts w:ascii="Calibri" w:hAnsi="Calibri" w:eastAsia="Calibri" w:cs="Tahoma"/>
      <w:color w:val="auto"/>
      <w:kern w:val="2"/>
      <w:sz w:val="22"/>
      <w:szCs w:val="22"/>
      <w:lang w:val="en-GB" w:eastAsia="en-US" w:bidi="ar-SA"/>
    </w:rPr>
  </w:style>
  <w:style w:type="paragraph" w:styleId="Titre1">
    <w:name w:val="Heading 1"/>
    <w:basedOn w:val="Normal"/>
    <w:next w:val="Normal"/>
    <w:qFormat/>
    <w:pPr>
      <w:keepNext w:val="true"/>
      <w:keepLines/>
      <w:bidi w:val="0"/>
      <w:spacing w:lineRule="auto" w:line="276" w:before="0" w:after="170"/>
      <w:outlineLvl w:val="0"/>
    </w:pPr>
    <w:rPr>
      <w:rFonts w:ascii="Arial" w:hAnsi="Arial" w:eastAsia="Calibri" w:cs="Tahoma"/>
      <w:b/>
      <w:color w:val="000000"/>
      <w:sz w:val="26"/>
      <w:szCs w:val="32"/>
      <w:shd w:fill="auto" w:val="clear"/>
    </w:rPr>
  </w:style>
  <w:style w:type="paragraph" w:styleId="Titre2">
    <w:name w:val="Heading 2"/>
    <w:basedOn w:val="Titre"/>
    <w:qFormat/>
    <w:pPr>
      <w:tabs>
        <w:tab w:val="clear" w:pos="408"/>
      </w:tabs>
      <w:bidi w:val="0"/>
      <w:spacing w:lineRule="auto" w:line="276" w:before="227" w:after="113"/>
      <w:outlineLvl w:val="1"/>
    </w:pPr>
    <w:rPr>
      <w:rFonts w:ascii="Arial" w:hAnsi="Arial"/>
      <w:b/>
      <w:bCs w:val="false"/>
      <w:i w:val="false"/>
      <w:iCs/>
      <w:color w:val="000000"/>
      <w:sz w:val="24"/>
    </w:rPr>
  </w:style>
  <w:style w:type="paragraph" w:styleId="Titre3">
    <w:name w:val="Heading 3"/>
    <w:basedOn w:val="Titre"/>
    <w:qFormat/>
    <w:pPr>
      <w:bidi w:val="0"/>
      <w:spacing w:lineRule="auto" w:line="240" w:before="238" w:after="113"/>
      <w:outlineLvl w:val="2"/>
    </w:pPr>
    <w:rPr>
      <w:rFonts w:ascii="Arial" w:hAnsi="Arial"/>
      <w:b w:val="false"/>
      <w:i/>
      <w:sz w:val="24"/>
    </w:rPr>
  </w:style>
  <w:style w:type="character" w:styleId="DefaultParagraphFont">
    <w:name w:val="Default Paragraph Font"/>
    <w:qFormat/>
    <w:rPr/>
  </w:style>
  <w:style w:type="character" w:styleId="Titre1Car">
    <w:name w:val="Titre 1 Car"/>
    <w:basedOn w:val="DefaultParagraphFont"/>
    <w:qFormat/>
    <w:rPr>
      <w:rFonts w:ascii="Calibri Light" w:hAnsi="Calibri Light" w:eastAsia="Calibri" w:cs="Tahoma"/>
      <w:color w:val="2E74B5"/>
      <w:sz w:val="32"/>
      <w:szCs w:val="32"/>
    </w:rPr>
  </w:style>
  <w:style w:type="character" w:styleId="LienInternet">
    <w:name w:val="Lien Internet"/>
    <w:basedOn w:val="DefaultParagraphFont"/>
    <w:rPr>
      <w:color w:val="0563C1"/>
      <w:u w:val="single"/>
    </w:rPr>
  </w:style>
  <w:style w:type="character" w:styleId="Sautdindex">
    <w:name w:val="Saut d'index"/>
    <w:qFormat/>
    <w:rPr/>
  </w:style>
  <w:style w:type="character" w:styleId="Del">
    <w:name w:val="del"/>
    <w:qFormat/>
    <w:rPr/>
  </w:style>
  <w:style w:type="character" w:styleId="Accentuation">
    <w:name w:val="Accentuation"/>
    <w:qFormat/>
    <w:rPr>
      <w:i/>
      <w:iCs/>
    </w:rPr>
  </w:style>
  <w:style w:type="character" w:styleId="Caractresdenotedebasdepage">
    <w:name w:val="Caractères de note de bas de page"/>
    <w:qFormat/>
    <w:rPr/>
  </w:style>
  <w:style w:type="character" w:styleId="Ancredenotedebasdepage">
    <w:name w:val="Ancre de note de bas de page"/>
    <w:rPr>
      <w:vertAlign w:val="superscript"/>
    </w:rPr>
  </w:style>
  <w:style w:type="character" w:styleId="Caractresdenumrotation">
    <w:name w:val="Caractères de numérotation"/>
    <w:qFormat/>
    <w:rPr/>
  </w:style>
  <w:style w:type="paragraph" w:styleId="Titre">
    <w:name w:val="Titre"/>
    <w:basedOn w:val="Normal"/>
    <w:next w:val="Corpsdetexte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orpsdetexte">
    <w:name w:val="Body Text"/>
    <w:basedOn w:val="Normal"/>
    <w:pPr>
      <w:bidi w:val="0"/>
      <w:spacing w:lineRule="auto" w:line="276" w:before="57" w:after="57"/>
    </w:pPr>
    <w:rPr>
      <w:rFonts w:ascii="Arial" w:hAnsi="Arial"/>
      <w:sz w:val="22"/>
      <w:szCs w:val="24"/>
    </w:rPr>
  </w:style>
  <w:style w:type="paragraph" w:styleId="Liste">
    <w:name w:val="List"/>
    <w:basedOn w:val="Corpsdetexte"/>
    <w:pPr/>
    <w:rPr>
      <w:rFonts w:cs="Arial"/>
    </w:rPr>
  </w:style>
  <w:style w:type="paragraph" w:styleId="Lgende">
    <w:name w:val="Caption"/>
    <w:basedOn w:val="Normal"/>
    <w:qFormat/>
    <w:pPr>
      <w:suppressLineNumbers/>
      <w:spacing w:lineRule="auto" w:line="240" w:before="57" w:after="113"/>
    </w:pPr>
    <w:rPr>
      <w:rFonts w:ascii="Arial" w:hAnsi="Arial"/>
      <w:b w:val="false"/>
      <w:i/>
      <w:iCs/>
      <w:sz w:val="20"/>
      <w:szCs w:val="24"/>
    </w:rPr>
  </w:style>
  <w:style w:type="paragraph" w:styleId="Index">
    <w:name w:val="Index"/>
    <w:basedOn w:val="Normal"/>
    <w:qFormat/>
    <w:pPr>
      <w:suppressLineNumbers/>
    </w:pPr>
    <w:rPr>
      <w:rFonts w:cs="Arial"/>
    </w:rPr>
  </w:style>
  <w:style w:type="paragraph" w:styleId="NormalWeb">
    <w:name w:val="Normal (Web)"/>
    <w:basedOn w:val="Normal"/>
    <w:qFormat/>
    <w:pPr>
      <w:spacing w:lineRule="auto" w:line="240" w:before="280" w:after="119"/>
    </w:pPr>
    <w:rPr>
      <w:rFonts w:ascii="Times New Roman" w:hAnsi="Times New Roman" w:eastAsia="Times New Roman" w:cs="Times New Roman"/>
      <w:sz w:val="24"/>
      <w:szCs w:val="24"/>
      <w:lang w:eastAsia="fr-FR"/>
    </w:rPr>
  </w:style>
  <w:style w:type="paragraph" w:styleId="Indexlexicaltitre">
    <w:name w:val="Index Heading"/>
    <w:basedOn w:val="Titre"/>
    <w:pPr/>
    <w:rPr/>
  </w:style>
  <w:style w:type="paragraph" w:styleId="Titredetabledesmatires">
    <w:name w:val="TOC Heading"/>
    <w:basedOn w:val="Titre1"/>
    <w:next w:val="Normal"/>
    <w:pPr>
      <w:outlineLvl w:val="9"/>
    </w:pPr>
    <w:rPr>
      <w:lang w:eastAsia="fr-FR"/>
    </w:rPr>
  </w:style>
  <w:style w:type="paragraph" w:styleId="Tabledesmatiresniveau1">
    <w:name w:val="TOC 1"/>
    <w:basedOn w:val="Normal"/>
    <w:next w:val="Normal"/>
    <w:autoRedefine/>
    <w:pPr>
      <w:widowControl/>
      <w:tabs>
        <w:tab w:val="clear" w:pos="408"/>
        <w:tab w:val="right" w:pos="9072" w:leader="dot"/>
      </w:tabs>
      <w:bidi w:val="0"/>
      <w:spacing w:lineRule="auto" w:line="276" w:before="283" w:after="85"/>
      <w:ind w:left="0" w:right="0" w:hanging="0"/>
      <w:jc w:val="both"/>
      <w:outlineLvl w:val="0"/>
    </w:pPr>
    <w:rPr>
      <w:b/>
      <w:sz w:val="22"/>
    </w:rPr>
  </w:style>
  <w:style w:type="paragraph" w:styleId="Citations">
    <w:name w:val="Citations"/>
    <w:basedOn w:val="Normal"/>
    <w:qFormat/>
    <w:pPr/>
    <w:rPr/>
  </w:style>
  <w:style w:type="paragraph" w:styleId="Titreprincipal">
    <w:name w:val="Title"/>
    <w:basedOn w:val="Titre"/>
    <w:qFormat/>
    <w:pPr/>
    <w:rPr/>
  </w:style>
  <w:style w:type="paragraph" w:styleId="Soustitre">
    <w:name w:val="Subtitle"/>
    <w:basedOn w:val="Titre"/>
    <w:qFormat/>
    <w:pPr/>
    <w:rPr/>
  </w:style>
  <w:style w:type="paragraph" w:styleId="Contenudetableau">
    <w:name w:val="Contenu de tableau"/>
    <w:basedOn w:val="Normal"/>
    <w:qFormat/>
    <w:pPr>
      <w:suppressLineNumbers/>
      <w:spacing w:lineRule="auto" w:line="240" w:before="0" w:after="0"/>
    </w:pPr>
    <w:rPr>
      <w:rFonts w:ascii="Arial" w:hAnsi="Arial" w:cs="Arial"/>
      <w:sz w:val="18"/>
    </w:rPr>
  </w:style>
  <w:style w:type="paragraph" w:styleId="Bibliographie1">
    <w:name w:val="Bibliographie 1"/>
    <w:basedOn w:val="Index"/>
    <w:qFormat/>
    <w:pPr>
      <w:tabs>
        <w:tab w:val="clear" w:pos="408"/>
      </w:tabs>
      <w:bidi w:val="0"/>
      <w:spacing w:lineRule="auto" w:line="240" w:before="57" w:after="57"/>
      <w:ind w:left="0" w:right="0" w:hanging="0"/>
    </w:pPr>
    <w:rPr/>
  </w:style>
  <w:style w:type="paragraph" w:styleId="Tabledesmatiresniveau2">
    <w:name w:val="TOC 2"/>
    <w:basedOn w:val="Index"/>
    <w:pPr>
      <w:pageBreakBefore w:val="false"/>
      <w:suppressAutoHyphens w:val="true"/>
      <w:bidi w:val="0"/>
      <w:spacing w:lineRule="auto" w:line="276" w:before="0" w:after="113"/>
      <w:ind w:left="1191" w:right="0" w:hanging="0"/>
      <w:outlineLvl w:val="1"/>
    </w:pPr>
    <w:rPr>
      <w:sz w:val="22"/>
    </w:rPr>
  </w:style>
  <w:style w:type="paragraph" w:styleId="Tabledesmatiresniveau3">
    <w:name w:val="TOC 3"/>
    <w:basedOn w:val="Index"/>
    <w:pPr>
      <w:bidi w:val="0"/>
      <w:spacing w:lineRule="auto" w:line="276" w:before="0" w:after="0"/>
      <w:ind w:left="1191" w:right="0" w:hanging="0"/>
    </w:pPr>
    <w:rPr/>
  </w:style>
  <w:style w:type="paragraph" w:styleId="Titredetableau">
    <w:name w:val="Titre de tableau"/>
    <w:basedOn w:val="Contenudetableau"/>
    <w:qFormat/>
    <w:pPr/>
    <w:rPr/>
  </w:style>
  <w:style w:type="paragraph" w:styleId="Default">
    <w:name w:val="Default"/>
    <w:qFormat/>
    <w:pPr>
      <w:widowControl w:val="false"/>
      <w:suppressAutoHyphens w:val="true"/>
      <w:overflowPunct w:val="false"/>
      <w:bidi w:val="0"/>
      <w:spacing w:lineRule="auto" w:line="259" w:before="0" w:after="160"/>
      <w:jc w:val="left"/>
    </w:pPr>
    <w:rPr>
      <w:rFonts w:ascii="DELMD G+ Adv O Tf 94803d 4" w:hAnsi="DELMD G+ Adv O Tf 94803d 4" w:eastAsia="Calibri" w:cs="Tahoma"/>
      <w:color w:val="000000"/>
      <w:kern w:val="2"/>
      <w:sz w:val="24"/>
      <w:szCs w:val="22"/>
      <w:lang w:val="en-GB" w:eastAsia="en-US" w:bidi="ar-SA"/>
    </w:rPr>
  </w:style>
  <w:style w:type="paragraph" w:styleId="Entteetpieddepage">
    <w:name w:val="En-tête et pied de page"/>
    <w:basedOn w:val="Normal"/>
    <w:qFormat/>
    <w:pPr/>
    <w:rPr/>
  </w:style>
  <w:style w:type="paragraph" w:styleId="Pieddepage">
    <w:name w:val="Footer"/>
    <w:basedOn w:val="Normal"/>
    <w:pPr/>
    <w:rPr/>
  </w:style>
  <w:style w:type="paragraph" w:styleId="Notedebasdepage">
    <w:name w:val="Footnote Text"/>
    <w:basedOn w:val="Normal"/>
    <w:pPr>
      <w:pBdr>
        <w:top w:val="single" w:sz="2" w:space="1" w:color="000000"/>
      </w:pBdr>
    </w:pPr>
    <w:rPr/>
  </w:style>
  <w:style w:type="paragraph" w:styleId="Entte">
    <w:name w:val="Header"/>
    <w:basedOn w:val="Normal"/>
    <w:pPr/>
    <w:rPr/>
  </w:style>
  <w:style w:type="paragraph" w:styleId="Lignehorizontale">
    <w:name w:val="Ligne horizontale"/>
    <w:basedOn w:val="Normal"/>
    <w:qFormat/>
    <w:pPr/>
    <w:rPr/>
  </w:style>
  <w:style w:type="paragraph" w:styleId="Contenudeliste">
    <w:name w:val="Contenu de liste"/>
    <w:basedOn w:val="Normal"/>
    <w:qFormat/>
    <w:pPr/>
    <w:rPr/>
  </w:style>
  <w:style w:type="paragraph" w:styleId="Enttedeliste">
    <w:name w:val="En-tête de liste"/>
    <w:basedOn w:val="Normal"/>
    <w:qFormat/>
    <w:pPr/>
    <w:rPr/>
  </w:style>
  <w:style w:type="paragraph" w:styleId="Texteprformat">
    <w:name w:val="Texte préformaté"/>
    <w:basedOn w:val="Normal"/>
    <w:qFormat/>
    <w:pPr/>
    <w:rPr/>
  </w:style>
  <w:style w:type="paragraph" w:styleId="Expditeur">
    <w:name w:val="Envelope Return"/>
    <w:basedOn w:val="Normal"/>
    <w:pPr/>
    <w:rPr/>
  </w:style>
  <w:style w:type="paragraph" w:styleId="Signature">
    <w:name w:val="Signature"/>
    <w:basedOn w:val="Normal"/>
    <w:pPr/>
    <w:rPr/>
  </w:style>
  <w:style w:type="paragraph" w:styleId="Enttegauche">
    <w:name w:val="En-tête gauche"/>
    <w:basedOn w:val="Normal"/>
    <w:qFormat/>
    <w:pPr/>
    <w:rPr/>
  </w:style>
  <w:style w:type="paragraph" w:styleId="Enttedroit">
    <w:name w:val="En-tête droit"/>
    <w:basedOn w:val="Normal"/>
    <w:qFormat/>
    <w:pPr/>
    <w:rPr/>
  </w:style>
  <w:style w:type="paragraph" w:styleId="Contenudecadre">
    <w:name w:val="Contenu de cadre"/>
    <w:basedOn w:val="Normal"/>
    <w:qFormat/>
    <w:pPr/>
    <w:rPr/>
  </w:style>
  <w:style w:type="paragraph" w:styleId="Pieddepagegauche">
    <w:name w:val="Pied de page gauche"/>
    <w:basedOn w:val="Normal"/>
    <w:qFormat/>
    <w:pPr/>
    <w:rPr/>
  </w:style>
  <w:style w:type="paragraph" w:styleId="Pieddepagedroit">
    <w:name w:val="Pied de page droit"/>
    <w:basedOn w:val="Normal"/>
    <w:qFormat/>
    <w:pPr/>
    <w:rPr/>
  </w:style>
  <w:style w:type="paragraph" w:styleId="Formulefinale">
    <w:name w:val="Salutation"/>
    <w:basedOn w:val="Normal"/>
    <w:pPr/>
    <w:rPr/>
  </w:style>
  <w:style w:type="paragraph" w:styleId="Notedefin">
    <w:name w:val="Endnote Text"/>
    <w:basedOn w:val="Normal"/>
    <w:pPr/>
    <w:rPr/>
  </w:style>
  <w:style w:type="paragraph" w:styleId="Destinataire">
    <w:name w:val="Envelope Address"/>
    <w:basedOn w:val="Normal"/>
    <w:pPr/>
    <w:rPr/>
  </w:style>
  <w:style w:type="paragraph" w:styleId="Retraitdecorpsdetexte">
    <w:name w:val="Body Text Indent"/>
    <w:basedOn w:val="Corpsdetexte"/>
    <w:qFormat/>
    <w:pPr/>
    <w:rPr/>
  </w:style>
  <w:style w:type="paragraph" w:styleId="Alinangatif">
    <w:name w:val="Alinéa négatif"/>
    <w:basedOn w:val="Corpsdetexte"/>
    <w:qFormat/>
    <w:pPr/>
    <w:rPr/>
  </w:style>
  <w:style w:type="paragraph" w:styleId="Retraitdeliste">
    <w:name w:val="Retrait de liste"/>
    <w:basedOn w:val="Corpsdetexte"/>
    <w:qFormat/>
    <w:pPr/>
    <w:rPr/>
  </w:style>
  <w:style w:type="paragraph" w:styleId="AnnotationText">
    <w:name w:val="Annotation Text"/>
    <w:basedOn w:val="Corpsdetexte"/>
    <w:qFormat/>
    <w:pPr/>
    <w:rPr/>
  </w:style>
  <w:style w:type="numbering" w:styleId="Pasdeliste">
    <w:name w:val="Pas de liste"/>
    <w:qFormat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pn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png"/><Relationship Id="rId17" Type="http://schemas.openxmlformats.org/officeDocument/2006/relationships/header" Target="header1.xml"/><Relationship Id="rId18" Type="http://schemas.openxmlformats.org/officeDocument/2006/relationships/footer" Target="footer1.xml"/><Relationship Id="rId19" Type="http://schemas.openxmlformats.org/officeDocument/2006/relationships/fontTable" Target="fontTable.xml"/><Relationship Id="rId20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3682</TotalTime>
  <Application>LibreOffice/7.3.0.3$Windows_X86_64 LibreOffice_project/0f246aa12d0eee4a0f7adcefbf7c878fc2238db3</Application>
  <AppVersion>15.0000</AppVersion>
  <Pages>5</Pages>
  <Words>793</Words>
  <Characters>4566</Characters>
  <CharactersWithSpaces>5279</CharactersWithSpaces>
  <Paragraphs>97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2016-12-21T15:15:00Z</dcterms:created>
  <dc:creator>Tim Caro</dc:creator>
  <dc:description/>
  <dc:language>fr-RE</dc:language>
  <cp:lastModifiedBy/>
  <dcterms:modified xsi:type="dcterms:W3CDTF">2022-04-19T18:44:55Z</dcterms:modified>
  <cp:revision>617</cp:revision>
  <dc:subject/>
  <dc:title>Flesh persistence decreases tree recruitment - Supplementary material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HyperlinksChanged">
    <vt:bool>0</vt:bool>
  </property>
  <property fmtid="{D5CDD505-2E9C-101B-9397-08002B2CF9AE}" pid="3" name="LinksUpToDate">
    <vt:bool>0</vt:bool>
  </property>
  <property fmtid="{D5CDD505-2E9C-101B-9397-08002B2CF9AE}" pid="4" name="ScaleCrop">
    <vt:bool>0</vt:bool>
  </property>
  <property fmtid="{D5CDD505-2E9C-101B-9397-08002B2CF9AE}" pid="5" name="ShareDoc">
    <vt:bool>0</vt:bool>
  </property>
  <property fmtid="{D5CDD505-2E9C-101B-9397-08002B2CF9AE}" pid="6" name="ZOTERO_PREF_1">
    <vt:lpwstr>&lt;data data-version="3" zotero-version="5.0.80"&gt;&lt;session id="fkmpD66b"/&gt;&lt;style id="http://www.zotero.org/styles/cell" hasBibliography="1" bibliographyStyleHasBeenSet="1"/&gt;&lt;prefs&gt;&lt;pref name="fieldType" value="ReferenceMark"/&gt;&lt;pref name="automaticJournalAbbr</vt:lpwstr>
  </property>
  <property fmtid="{D5CDD505-2E9C-101B-9397-08002B2CF9AE}" pid="7" name="ZOTERO_PREF_2">
    <vt:lpwstr>eviations" value="true"/&gt;&lt;/prefs&gt;&lt;/data&gt;</vt:lpwstr>
  </property>
</Properties>
</file>