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Online Supporting Information</w:t>
      </w:r>
    </w:p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Appendix S1</w:t>
      </w:r>
    </w:p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FrameContents"/>
        <w:bidi w:val="0"/>
        <w:spacing w:lineRule="auto" w:line="240" w:before="0" w:after="0"/>
        <w:contextualSpacing/>
        <w:jc w:val="both"/>
        <w:rPr/>
      </w:pPr>
      <w:r>
        <w:rPr>
          <w:rFonts w:cs="Minion-Regular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Table S</w:t>
      </w:r>
      <w:r>
        <w:rPr>
          <w:rFonts w:cs="Minion-Regular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1</w:t>
      </w:r>
      <w:r>
        <w:rPr>
          <w:rFonts w:cs="Minion-Regular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. </w:t>
      </w:r>
      <w:r>
        <w:rPr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Summary statistics for hawkmoth and bird data. N = number of individuals recorded, S</w:t>
      </w:r>
      <w:r>
        <w:rPr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vertAlign w:val="subscript"/>
          <w:lang w:val="en-US"/>
        </w:rPr>
        <w:t>obs</w:t>
      </w:r>
      <w:r>
        <w:rPr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= Number of species observed, S</w:t>
      </w:r>
      <w:r>
        <w:rPr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vertAlign w:val="subscript"/>
          <w:lang w:val="en-US"/>
        </w:rPr>
        <w:t>rare</w:t>
      </w:r>
      <w:r>
        <w:rPr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= Rarefied species richness; Alpha = Species diversity calculated using Fisher’s alpha diversity index</w:t>
      </w:r>
    </w:p>
    <w:p>
      <w:pPr>
        <w:pStyle w:val="FrameContents"/>
        <w:bidi w:val="0"/>
        <w:spacing w:lineRule="auto" w:line="240" w:before="0" w:after="0"/>
        <w:contextualSpacing/>
        <w:jc w:val="both"/>
        <w:rPr>
          <w:rFonts w:cs="Minion-Regular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highlight w:val="white"/>
          <w:u w:val="none"/>
          <w:effect w:val="none"/>
          <w:lang w:val="en-US"/>
        </w:rPr>
      </w:pPr>
      <w:r>
        <w:rPr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highlight w:val="white"/>
          <w:u w:val="none"/>
          <w:effect w:val="none"/>
          <w:lang w:val="en-US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85"/>
        <w:gridCol w:w="1437"/>
        <w:gridCol w:w="789"/>
        <w:gridCol w:w="1405"/>
        <w:gridCol w:w="737"/>
        <w:gridCol w:w="1401"/>
        <w:gridCol w:w="741"/>
        <w:gridCol w:w="1451"/>
        <w:gridCol w:w="692"/>
      </w:tblGrid>
      <w:tr>
        <w:trPr>
          <w:trHeight w:val="340" w:hRule="exact"/>
        </w:trPr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Elevation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  <w:vertAlign w:val="subscript"/>
              </w:rPr>
              <w:t>rare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Alpha</w:t>
            </w:r>
          </w:p>
        </w:tc>
      </w:tr>
      <w:tr>
        <w:trPr>
          <w:trHeight w:val="340" w:hRule="exact"/>
        </w:trPr>
        <w:tc>
          <w:tcPr>
            <w:tcW w:w="9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Hawkmohts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Birds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Hawkmohts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Birds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Hawkmohts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Birds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Hawkmohts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Birds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07.7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340" w:hRule="exact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4,731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15,746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</w:tr>
    </w:tbl>
    <w:p>
      <w:pPr>
        <w:pStyle w:val="Normal"/>
        <w:overflowPunct w:val="false"/>
        <w:bidi w:val="0"/>
        <w:spacing w:lineRule="auto" w:line="24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4"/>
          <w:szCs w:val="24"/>
          <w:lang w:val="en-US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t>T</w:t>
      </w: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t xml:space="preserve">able </w:t>
      </w: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t>S2</w:t>
      </w: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t xml:space="preserve">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Linear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r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egression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between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intraspecific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body size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and elevation.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S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pecies with more than 20 individuals, and spanning at least 800 m in elevation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were analysed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. 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>N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= total number of individuals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of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the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species; 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>Range (m)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= Minimum and maximum elevation at which the species was recorded; All species with slopes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significant at p &lt; 0.1 are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highlighted in bold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en-US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</w:r>
    </w:p>
    <w:tbl>
      <w:tblPr>
        <w:tblW w:w="9975" w:type="dxa"/>
        <w:jc w:val="left"/>
        <w:tblInd w:w="-14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338"/>
        <w:gridCol w:w="1762"/>
        <w:gridCol w:w="2663"/>
        <w:gridCol w:w="2437"/>
        <w:gridCol w:w="506"/>
        <w:gridCol w:w="1482"/>
        <w:gridCol w:w="787"/>
      </w:tblGrid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Species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Slope ± SE </w:t>
            </w:r>
            <w:r>
              <w:rPr>
                <w:sz w:val="22"/>
                <w:szCs w:val="22"/>
              </w:rPr>
              <w:t>(g m</w:t>
            </w:r>
            <w:r>
              <w:rPr>
                <w:sz w:val="22"/>
                <w:szCs w:val="22"/>
                <w:vertAlign w:val="superscript"/>
              </w:rPr>
              <w:t>–</w:t>
            </w:r>
            <w:r>
              <w:rPr>
                <w:sz w:val="22"/>
                <w:szCs w:val="22"/>
              </w:rPr>
              <w:t>1)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 (m)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Rsq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Acosmeryx naga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443</w:t>
            </w:r>
            <w:r>
              <w:rPr>
                <w:b/>
                <w:sz w:val="22"/>
                <w:szCs w:val="22"/>
              </w:rPr>
              <w:t xml:space="preserve"> ±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6) x 10-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0.066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Acosmeryx omissa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168</w:t>
            </w:r>
            <w:r>
              <w:rPr>
                <w:b/>
                <w:sz w:val="22"/>
                <w:szCs w:val="22"/>
              </w:rPr>
              <w:t xml:space="preserve"> ±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050</w:t>
            </w:r>
            <w:r>
              <w:rPr>
                <w:b/>
                <w:sz w:val="22"/>
                <w:szCs w:val="22"/>
              </w:rPr>
              <w:t>) x 10-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 – 1700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0.111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Acosmeryx sericeus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>) x 10-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-0.002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4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Acosmeryx shervillii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(-</w:t>
            </w:r>
            <w:r>
              <w:rPr>
                <w:b w:val="false"/>
                <w:bCs w:val="false"/>
                <w:sz w:val="22"/>
                <w:szCs w:val="22"/>
              </w:rPr>
              <w:t>8</w:t>
            </w:r>
            <w:r>
              <w:rPr>
                <w:b w:val="false"/>
                <w:bCs w:val="false"/>
                <w:sz w:val="22"/>
                <w:szCs w:val="22"/>
              </w:rPr>
              <w:t>.</w:t>
            </w:r>
            <w:r>
              <w:rPr>
                <w:b w:val="false"/>
                <w:bCs w:val="false"/>
                <w:sz w:val="22"/>
                <w:szCs w:val="22"/>
              </w:rPr>
              <w:t>406</w:t>
            </w:r>
            <w:r>
              <w:rPr>
                <w:b w:val="false"/>
                <w:bCs w:val="false"/>
                <w:sz w:val="22"/>
                <w:szCs w:val="22"/>
              </w:rPr>
              <w:t xml:space="preserve"> ± </w:t>
            </w:r>
            <w:r>
              <w:rPr>
                <w:b w:val="false"/>
                <w:bCs w:val="false"/>
                <w:sz w:val="22"/>
                <w:szCs w:val="22"/>
              </w:rPr>
              <w:t>0</w:t>
            </w:r>
            <w:r>
              <w:rPr>
                <w:b w:val="false"/>
                <w:bCs w:val="false"/>
                <w:sz w:val="22"/>
                <w:szCs w:val="22"/>
              </w:rPr>
              <w:t>.1</w:t>
            </w:r>
            <w:r>
              <w:rPr>
                <w:b w:val="false"/>
                <w:bCs w:val="false"/>
                <w:sz w:val="22"/>
                <w:szCs w:val="22"/>
              </w:rPr>
              <w:t>02</w:t>
            </w:r>
            <w:r>
              <w:rPr>
                <w:b w:val="false"/>
                <w:bCs w:val="false"/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175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-0.002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Ampelophaga khasiana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</w:t>
            </w:r>
            <w:r>
              <w:rPr>
                <w:sz w:val="22"/>
                <w:szCs w:val="22"/>
              </w:rPr>
              <w:t>661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862</w:t>
            </w:r>
            <w:r>
              <w:rPr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1100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-0.010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Cechetra lineosa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002</w:t>
            </w:r>
            <w:r>
              <w:rPr>
                <w:b/>
                <w:sz w:val="22"/>
                <w:szCs w:val="22"/>
              </w:rPr>
              <w:t xml:space="preserve"> ±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73</w:t>
            </w:r>
            <w:r>
              <w:rPr>
                <w:b/>
                <w:sz w:val="22"/>
                <w:szCs w:val="22"/>
              </w:rPr>
              <w:t>) x 10-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0.023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Cechetra scotti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173</w:t>
            </w:r>
            <w:r>
              <w:rPr>
                <w:b/>
                <w:sz w:val="22"/>
                <w:szCs w:val="22"/>
              </w:rPr>
              <w:t xml:space="preserve"> ±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833</w:t>
            </w:r>
            <w:r>
              <w:rPr>
                <w:b/>
                <w:sz w:val="22"/>
                <w:szCs w:val="22"/>
              </w:rPr>
              <w:t>) x 10-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0900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0.008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Cechetra subangustata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102</w:t>
            </w:r>
            <w:r>
              <w:rPr>
                <w:b/>
                <w:sz w:val="22"/>
                <w:szCs w:val="22"/>
              </w:rPr>
              <w:t xml:space="preserve"> ±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879</w:t>
            </w:r>
            <w:r>
              <w:rPr>
                <w:b/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0500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0.003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Eupanacra sinuata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635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) x 10-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0.036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Rhagastis castor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0.002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Rhagastis confusa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669</w:t>
            </w:r>
            <w:r>
              <w:rPr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0.019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Rhagastis gloriosa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005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854</w:t>
            </w:r>
            <w:r>
              <w:rPr>
                <w:sz w:val="22"/>
                <w:szCs w:val="22"/>
              </w:rPr>
              <w:t>) x 10-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1300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0.007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Rhagastis lunata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260</w:t>
            </w:r>
            <w:r>
              <w:rPr>
                <w:b/>
                <w:bCs/>
                <w:sz w:val="22"/>
                <w:szCs w:val="22"/>
              </w:rPr>
              <w:t xml:space="preserve"> ± 0.</w:t>
            </w:r>
            <w:r>
              <w:rPr>
                <w:b/>
                <w:bCs/>
                <w:sz w:val="22"/>
                <w:szCs w:val="22"/>
              </w:rPr>
              <w:t>958</w:t>
            </w:r>
            <w:r>
              <w:rPr>
                <w:b/>
                <w:bCs/>
                <w:sz w:val="22"/>
                <w:szCs w:val="22"/>
              </w:rPr>
              <w:t>) x 10-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0.050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Rhagastis olivacea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</w:t>
            </w:r>
            <w:r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 xml:space="preserve"> ± 6.</w:t>
            </w:r>
            <w:r>
              <w:rPr>
                <w:sz w:val="22"/>
                <w:szCs w:val="22"/>
              </w:rPr>
              <w:t>937</w:t>
            </w:r>
            <w:r>
              <w:rPr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2300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-0.021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Theretra boisduvalii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(-</w:t>
            </w:r>
            <w:r>
              <w:rPr>
                <w:b w:val="false"/>
                <w:bCs w:val="false"/>
                <w:sz w:val="22"/>
                <w:szCs w:val="22"/>
              </w:rPr>
              <w:t>2</w:t>
            </w:r>
            <w:r>
              <w:rPr>
                <w:b w:val="false"/>
                <w:bCs w:val="false"/>
                <w:sz w:val="22"/>
                <w:szCs w:val="22"/>
              </w:rPr>
              <w:t>.</w:t>
            </w:r>
            <w:r>
              <w:rPr>
                <w:b w:val="false"/>
                <w:bCs w:val="false"/>
                <w:sz w:val="22"/>
                <w:szCs w:val="22"/>
              </w:rPr>
              <w:t>699</w:t>
            </w:r>
            <w:r>
              <w:rPr>
                <w:b w:val="false"/>
                <w:bCs w:val="false"/>
                <w:sz w:val="22"/>
                <w:szCs w:val="22"/>
              </w:rPr>
              <w:t xml:space="preserve"> ± </w:t>
            </w:r>
            <w:r>
              <w:rPr>
                <w:b w:val="false"/>
                <w:bCs w:val="false"/>
                <w:sz w:val="22"/>
                <w:szCs w:val="22"/>
              </w:rPr>
              <w:t>6</w:t>
            </w:r>
            <w:r>
              <w:rPr>
                <w:b w:val="false"/>
                <w:bCs w:val="false"/>
                <w:sz w:val="22"/>
                <w:szCs w:val="22"/>
              </w:rPr>
              <w:t>.</w:t>
            </w:r>
            <w:r>
              <w:rPr>
                <w:b w:val="false"/>
                <w:bCs w:val="false"/>
                <w:sz w:val="22"/>
                <w:szCs w:val="22"/>
              </w:rPr>
              <w:t>132</w:t>
            </w:r>
            <w:r>
              <w:rPr>
                <w:b w:val="false"/>
                <w:bCs w:val="false"/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-0.005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Theretra clotho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241</w:t>
            </w:r>
            <w:r>
              <w:rPr>
                <w:b/>
                <w:sz w:val="22"/>
                <w:szCs w:val="22"/>
              </w:rPr>
              <w:t xml:space="preserve"> ± 0.</w:t>
            </w:r>
            <w:r>
              <w:rPr>
                <w:b/>
                <w:sz w:val="22"/>
                <w:szCs w:val="22"/>
              </w:rPr>
              <w:t>641</w:t>
            </w:r>
            <w:r>
              <w:rPr>
                <w:b/>
                <w:sz w:val="22"/>
                <w:szCs w:val="22"/>
              </w:rPr>
              <w:t>) x 10-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0.075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Macroglossinae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Theretra nessus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) x 10-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0.016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Smerinthinae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Ambulyx ochracea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906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571</w:t>
            </w:r>
            <w:r>
              <w:rPr>
                <w:sz w:val="22"/>
                <w:szCs w:val="22"/>
              </w:rPr>
              <w:t>) x 10-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-0.014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Smerinthinae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Ambulyx substrigilis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19.38</w:t>
            </w:r>
            <w:r>
              <w:rPr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1500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-0.033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Smerinthinae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Ambulyx tobii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</w:t>
            </w:r>
            <w:r>
              <w:rPr>
                <w:b w:val="false"/>
                <w:bCs w:val="false"/>
                <w:sz w:val="22"/>
                <w:szCs w:val="22"/>
              </w:rPr>
              <w:t>1</w:t>
            </w:r>
            <w:r>
              <w:rPr>
                <w:b w:val="false"/>
                <w:bCs w:val="false"/>
                <w:sz w:val="22"/>
                <w:szCs w:val="22"/>
              </w:rPr>
              <w:t>.</w:t>
            </w:r>
            <w:r>
              <w:rPr>
                <w:b w:val="false"/>
                <w:bCs w:val="false"/>
                <w:sz w:val="22"/>
                <w:szCs w:val="22"/>
              </w:rPr>
              <w:t>960</w:t>
            </w:r>
            <w:r>
              <w:rPr>
                <w:b w:val="false"/>
                <w:bCs w:val="false"/>
                <w:sz w:val="22"/>
                <w:szCs w:val="22"/>
              </w:rPr>
              <w:t xml:space="preserve"> ± </w:t>
            </w:r>
            <w:r>
              <w:rPr>
                <w:b w:val="false"/>
                <w:bCs w:val="false"/>
                <w:sz w:val="22"/>
                <w:szCs w:val="22"/>
              </w:rPr>
              <w:t>1</w:t>
            </w:r>
            <w:r>
              <w:rPr>
                <w:b w:val="false"/>
                <w:bCs w:val="false"/>
                <w:sz w:val="22"/>
                <w:szCs w:val="22"/>
              </w:rPr>
              <w:t>.</w:t>
            </w:r>
            <w:r>
              <w:rPr>
                <w:b w:val="false"/>
                <w:bCs w:val="false"/>
                <w:sz w:val="22"/>
                <w:szCs w:val="22"/>
              </w:rPr>
              <w:t>071</w:t>
            </w:r>
            <w:r>
              <w:rPr>
                <w:b w:val="false"/>
                <w:bCs w:val="false"/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0.105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Smerinthinae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Callambulyx rubricosa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.4</w:t>
            </w:r>
            <w:r>
              <w:rPr>
                <w:b/>
                <w:bCs/>
                <w:sz w:val="22"/>
                <w:szCs w:val="22"/>
              </w:rPr>
              <w:t>81</w:t>
            </w:r>
            <w:r>
              <w:rPr>
                <w:b/>
                <w:bCs/>
                <w:sz w:val="22"/>
                <w:szCs w:val="22"/>
              </w:rPr>
              <w:t xml:space="preserve"> ±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223</w:t>
            </w:r>
            <w:r>
              <w:rPr>
                <w:b/>
                <w:bCs/>
                <w:sz w:val="22"/>
                <w:szCs w:val="22"/>
              </w:rPr>
              <w:t>) x 10-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 – 1300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0.084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Sphinginae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Apocalypsis velox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) x 10-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0900 – 2300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0.012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Sphinginae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Meganoton analis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5) x 10-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1100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0.005</w:t>
            </w:r>
          </w:p>
        </w:tc>
      </w:tr>
      <w:tr>
        <w:trPr>
          <w:trHeight w:val="340" w:hRule="atLeast"/>
        </w:trPr>
        <w:tc>
          <w:tcPr>
            <w:tcW w:w="33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Sphinginae</w:t>
            </w:r>
          </w:p>
        </w:tc>
        <w:tc>
          <w:tcPr>
            <w:tcW w:w="266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Psilogramma menephron</w:t>
            </w:r>
          </w:p>
        </w:tc>
        <w:tc>
          <w:tcPr>
            <w:tcW w:w="243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096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944</w:t>
            </w:r>
            <w:r>
              <w:rPr>
                <w:sz w:val="22"/>
                <w:szCs w:val="22"/>
              </w:rPr>
              <w:t>) x 10-5</w:t>
            </w:r>
          </w:p>
        </w:tc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0200 – 2770</w:t>
            </w:r>
          </w:p>
        </w:tc>
        <w:tc>
          <w:tcPr>
            <w:tcW w:w="7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-0.017</w:t>
            </w:r>
          </w:p>
        </w:tc>
      </w:tr>
    </w:tbl>
    <w:p>
      <w:pPr>
        <w:pStyle w:val="Normal"/>
        <w:overflowPunct w:val="false"/>
        <w:bidi w:val="0"/>
        <w:spacing w:lineRule="auto" w:line="240"/>
        <w:jc w:val="left"/>
        <w:rPr>
          <w:rStyle w:val="RevuZero"/>
          <w:rFonts w:ascii="Liberation Serif" w:hAnsi="Liberation Serif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FrameContents"/>
        <w:bidi w:val="0"/>
        <w:spacing w:lineRule="auto" w:line="240" w:before="0" w:after="0"/>
        <w:contextualSpacing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4"/>
          <w:szCs w:val="24"/>
          <w:lang w:val="en-US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7545" cy="575754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FrameContents"/>
        <w:bidi w:val="0"/>
        <w:spacing w:lineRule="auto" w:line="240" w:before="0" w:after="0"/>
        <w:contextualSpacing/>
        <w:jc w:val="both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t xml:space="preserve">Figure </w:t>
      </w: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t>S</w:t>
      </w: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  <w:t>1</w:t>
      </w:r>
      <w:r>
        <w:rPr>
          <w:b w:val="false"/>
          <w:bCs/>
          <w:i w:val="false"/>
          <w:iCs w:val="false"/>
          <w:color w:val="000000"/>
          <w:sz w:val="24"/>
          <w:szCs w:val="24"/>
          <w:lang w:val="en-US"/>
        </w:rPr>
        <w:t xml:space="preserve">. </w:t>
      </w:r>
      <w:r>
        <w:rPr>
          <w:b w:val="false"/>
          <w:bCs/>
          <w:i w:val="false"/>
          <w:iCs w:val="false"/>
          <w:color w:val="000000"/>
          <w:sz w:val="24"/>
          <w:szCs w:val="24"/>
          <w:lang w:val="en-US"/>
        </w:rPr>
        <w:t>Intraspecific v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ariation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of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body mass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with elevation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for hawkmoth species.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2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4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species of with more than 20 individuals and spanning more than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800 m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are shown.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6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species (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 xml:space="preserve">Acosmeryx naga, 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 xml:space="preserve">Acosmeryx omissa, 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 xml:space="preserve">Callambulyx rubricosa, 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 xml:space="preserve">Cechetra lineosa, 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>Eupanacra sinuata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 xml:space="preserve"> and Rhagastis lunata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) exhibit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ed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a significant intraspecific Bergmann’s pattern, whereas 1 (</w:t>
      </w:r>
      <w:r>
        <w:rPr>
          <w:b w:val="false"/>
          <w:bCs w:val="false"/>
          <w:i/>
          <w:iCs/>
          <w:color w:val="000000"/>
          <w:sz w:val="24"/>
          <w:szCs w:val="24"/>
          <w:lang w:val="en-US"/>
        </w:rPr>
        <w:t>Theretra clotho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) exhibited a significant converse-Bergmann’s cline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s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Regression coefficients for all the linear fits are listed in Table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3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All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fits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 significant at p &lt; 0.1 are shown as solid lines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while the others are with a dashed line.</w:t>
      </w:r>
    </w:p>
    <w:p>
      <w:pPr>
        <w:pStyle w:val="FrameContents"/>
        <w:overflowPunct w:val="false"/>
        <w:bidi w:val="0"/>
        <w:spacing w:lineRule="auto" w:line="240"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yellow"/>
          <w:lang w:val="en-US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yellow"/>
          <w:lang w:val="en-US"/>
        </w:rPr>
      </w:r>
    </w:p>
    <w:p>
      <w:pPr>
        <w:pStyle w:val="Normal"/>
        <w:overflowPunct w:val="false"/>
        <w:bidi w:val="0"/>
        <w:spacing w:lineRule="auto" w:line="24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FrameContents"/>
        <w:bidi w:val="0"/>
        <w:spacing w:lineRule="auto" w:line="240" w:before="0" w:after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Table S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3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.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Linear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r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egression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between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community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mean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body size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and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elevation. The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community values were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weighted by rarefied species richness.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en-US"/>
        </w:rPr>
        <w:t xml:space="preserve">All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en-US"/>
        </w:rPr>
        <w:t>slopes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en-US"/>
        </w:rPr>
        <w:t xml:space="preserve">were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en-US"/>
        </w:rPr>
        <w:t>significant at p &lt; 0.1.</w:t>
      </w:r>
    </w:p>
    <w:p>
      <w:pPr>
        <w:pStyle w:val="FrameContents"/>
        <w:overflowPunct w:val="false"/>
        <w:bidi w:val="0"/>
        <w:spacing w:lineRule="auto" w:line="240" w:before="0" w:after="0"/>
        <w:contextualSpacing/>
        <w:jc w:val="both"/>
        <w:rPr>
          <w:rStyle w:val="RevuZero"/>
          <w:rFonts w:ascii="Liberation Serif" w:hAnsi="Liberation Serif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</w:pPr>
      <w:r>
        <w:rPr>
          <w:rFonts w:cs="Calibri"/>
          <w:b/>
          <w:bCs/>
          <w:i w:val="false"/>
          <w:iCs w:val="false"/>
          <w:color w:val="000000"/>
          <w:sz w:val="24"/>
          <w:szCs w:val="24"/>
          <w:lang w:val="en-US"/>
        </w:rPr>
      </w:r>
    </w:p>
    <w:tbl>
      <w:tblPr>
        <w:tblW w:w="9825" w:type="dxa"/>
        <w:jc w:val="left"/>
        <w:tblInd w:w="-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462"/>
        <w:gridCol w:w="2378"/>
        <w:gridCol w:w="985"/>
      </w:tblGrid>
      <w:tr>
        <w:trPr>
          <w:trHeight w:val="6" w:hRule="atLeast"/>
        </w:trPr>
        <w:tc>
          <w:tcPr>
            <w:tcW w:w="9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HAWKMOTHS</w:t>
            </w:r>
          </w:p>
        </w:tc>
      </w:tr>
      <w:tr>
        <w:trPr>
          <w:trHeight w:val="6" w:hRule="atLeast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Model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Slope ± SE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R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>
        <w:trPr>
          <w:trHeight w:val="6" w:hRule="atLeast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sz w:val="21"/>
                <w:szCs w:val="21"/>
              </w:rPr>
              <w:t xml:space="preserve">CM-A ~ Elevation; </w:t>
            </w:r>
            <w:r>
              <w:rPr>
                <w:rStyle w:val="RevuZero"/>
                <w:sz w:val="21"/>
                <w:szCs w:val="21"/>
              </w:rPr>
              <w:t xml:space="preserve">Weighted </w:t>
            </w:r>
            <w:r>
              <w:rPr>
                <w:rStyle w:val="RevuZero"/>
                <w:sz w:val="21"/>
                <w:szCs w:val="21"/>
              </w:rPr>
              <w:t xml:space="preserve">OLS </w:t>
            </w:r>
            <w:r>
              <w:rPr>
                <w:rStyle w:val="RevuZero"/>
                <w:sz w:val="21"/>
                <w:szCs w:val="21"/>
              </w:rPr>
              <w:t xml:space="preserve">(Rarefied species richness) 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02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4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587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0.</w:t>
            </w:r>
            <w:r>
              <w:rPr>
                <w:rStyle w:val="RevuZero"/>
                <w:b/>
                <w:bCs/>
                <w:sz w:val="21"/>
                <w:szCs w:val="21"/>
              </w:rPr>
              <w:t>25**</w:t>
            </w:r>
          </w:p>
        </w:tc>
      </w:tr>
      <w:tr>
        <w:trPr>
          <w:trHeight w:val="425" w:hRule="atLeast"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Style w:val="RevuZero"/>
                <w:sz w:val="21"/>
                <w:szCs w:val="21"/>
              </w:rPr>
              <w:t xml:space="preserve">CM-I ~ Elevation; </w:t>
            </w:r>
            <w:r>
              <w:rPr>
                <w:rStyle w:val="RevuZero"/>
                <w:sz w:val="21"/>
                <w:szCs w:val="21"/>
              </w:rPr>
              <w:t xml:space="preserve">Weighted </w:t>
            </w:r>
            <w:r>
              <w:rPr>
                <w:rStyle w:val="RevuZero"/>
                <w:sz w:val="21"/>
                <w:szCs w:val="21"/>
              </w:rPr>
              <w:t xml:space="preserve">OLS </w:t>
            </w:r>
            <w:r>
              <w:rPr>
                <w:rStyle w:val="RevuZero"/>
                <w:sz w:val="21"/>
                <w:szCs w:val="21"/>
              </w:rPr>
              <w:t>(Rarefied species richness)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18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6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210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0.</w:t>
            </w:r>
            <w:r>
              <w:rPr>
                <w:rStyle w:val="RevuZero"/>
                <w:b/>
                <w:bCs/>
                <w:sz w:val="21"/>
                <w:szCs w:val="21"/>
              </w:rPr>
              <w:t>18**</w:t>
            </w:r>
          </w:p>
        </w:tc>
      </w:tr>
      <w:tr>
        <w:trPr>
          <w:trHeight w:val="6" w:hRule="atLeast"/>
        </w:trPr>
        <w:tc>
          <w:tcPr>
            <w:tcW w:w="6462" w:type="dxa"/>
            <w:tcBorders>
              <w:top w:val="single" w:sz="2" w:space="0" w:color="000080"/>
              <w:left w:val="single" w:sz="2" w:space="0" w:color="000000"/>
              <w:bottom w:val="single" w:sz="2" w:space="0" w:color="000080"/>
              <w:insideH w:val="single" w:sz="2" w:space="0" w:color="00008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sz w:val="21"/>
                <w:szCs w:val="21"/>
              </w:rPr>
              <w:t xml:space="preserve">CM-S ~ Elevation; </w:t>
            </w:r>
            <w:r>
              <w:rPr>
                <w:rStyle w:val="RevuZero"/>
                <w:sz w:val="21"/>
                <w:szCs w:val="21"/>
              </w:rPr>
              <w:t xml:space="preserve">Weighted </w:t>
            </w:r>
            <w:r>
              <w:rPr>
                <w:rStyle w:val="RevuZero"/>
                <w:sz w:val="21"/>
                <w:szCs w:val="21"/>
              </w:rPr>
              <w:t xml:space="preserve">OLS </w:t>
            </w:r>
            <w:r>
              <w:rPr>
                <w:rStyle w:val="RevuZero"/>
                <w:sz w:val="21"/>
                <w:szCs w:val="21"/>
              </w:rPr>
              <w:t>(Rarefied species richness)</w:t>
            </w:r>
          </w:p>
        </w:tc>
        <w:tc>
          <w:tcPr>
            <w:tcW w:w="2378" w:type="dxa"/>
            <w:tcBorders>
              <w:top w:val="single" w:sz="2" w:space="0" w:color="000080"/>
              <w:left w:val="single" w:sz="2" w:space="0" w:color="000000"/>
              <w:bottom w:val="single" w:sz="2" w:space="0" w:color="000080"/>
              <w:insideH w:val="single" w:sz="2" w:space="0" w:color="00008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(-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16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5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9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14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85" w:type="dxa"/>
            <w:tcBorders>
              <w:top w:val="single" w:sz="2" w:space="0" w:color="000080"/>
              <w:left w:val="single" w:sz="2" w:space="0" w:color="000000"/>
              <w:bottom w:val="single" w:sz="2" w:space="0" w:color="000080"/>
              <w:right w:val="single" w:sz="2" w:space="0" w:color="000000"/>
              <w:insideH w:val="single" w:sz="2" w:space="0" w:color="00008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0.</w:t>
            </w:r>
            <w:r>
              <w:rPr>
                <w:rStyle w:val="RevuZero"/>
                <w:b/>
                <w:bCs/>
                <w:sz w:val="21"/>
                <w:szCs w:val="21"/>
              </w:rPr>
              <w:t>1</w:t>
            </w:r>
            <w:r>
              <w:rPr>
                <w:rStyle w:val="RevuZero"/>
                <w:b/>
                <w:bCs/>
                <w:sz w:val="21"/>
                <w:szCs w:val="21"/>
              </w:rPr>
              <w:t>9*</w:t>
            </w:r>
          </w:p>
        </w:tc>
      </w:tr>
      <w:tr>
        <w:trPr>
          <w:trHeight w:val="6" w:hRule="atLeast"/>
        </w:trPr>
        <w:tc>
          <w:tcPr>
            <w:tcW w:w="9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BIRDS</w:t>
            </w:r>
          </w:p>
        </w:tc>
      </w:tr>
      <w:tr>
        <w:trPr>
          <w:trHeight w:val="6" w:hRule="atLeast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Model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Slope ± SE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R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>
        <w:trPr>
          <w:trHeight w:val="6" w:hRule="atLeast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sz w:val="21"/>
                <w:szCs w:val="21"/>
              </w:rPr>
              <w:t xml:space="preserve">CM-A ~ Elevation; </w:t>
            </w:r>
            <w:r>
              <w:rPr>
                <w:rStyle w:val="RevuZero"/>
                <w:sz w:val="21"/>
                <w:szCs w:val="21"/>
              </w:rPr>
              <w:t xml:space="preserve">Weighted </w:t>
            </w:r>
            <w:r>
              <w:rPr>
                <w:rStyle w:val="RevuZero"/>
                <w:sz w:val="21"/>
                <w:szCs w:val="21"/>
              </w:rPr>
              <w:t xml:space="preserve">OLS </w:t>
            </w:r>
            <w:r>
              <w:rPr>
                <w:rStyle w:val="RevuZero"/>
                <w:sz w:val="21"/>
                <w:szCs w:val="21"/>
              </w:rPr>
              <w:t>(Rarefied species richness)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(-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3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867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547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0.80***</w:t>
            </w:r>
          </w:p>
        </w:tc>
      </w:tr>
      <w:tr>
        <w:trPr>
          <w:trHeight w:val="6" w:hRule="atLeast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sz w:val="21"/>
                <w:szCs w:val="21"/>
              </w:rPr>
              <w:t xml:space="preserve">CM-S ~ Elevation; </w:t>
            </w:r>
            <w:r>
              <w:rPr>
                <w:rStyle w:val="RevuZero"/>
                <w:sz w:val="21"/>
                <w:szCs w:val="21"/>
              </w:rPr>
              <w:t xml:space="preserve">Weighted </w:t>
            </w:r>
            <w:r>
              <w:rPr>
                <w:rStyle w:val="RevuZero"/>
                <w:sz w:val="21"/>
                <w:szCs w:val="21"/>
              </w:rPr>
              <w:t xml:space="preserve">OLS </w:t>
            </w:r>
            <w:r>
              <w:rPr>
                <w:rStyle w:val="RevuZero"/>
                <w:sz w:val="21"/>
                <w:szCs w:val="21"/>
              </w:rPr>
              <w:t>(Rarefied species richness)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(-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2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615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387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0.79***</w:t>
            </w:r>
          </w:p>
        </w:tc>
      </w:tr>
    </w:tbl>
    <w:p>
      <w:pPr>
        <w:pStyle w:val="Normal"/>
        <w:overflowPunct w:val="false"/>
        <w:bidi w:val="0"/>
        <w:spacing w:lineRule="auto" w:line="240" w:before="0" w:after="0"/>
        <w:contextualSpacing/>
        <w:jc w:val="both"/>
        <w:rPr>
          <w:rStyle w:val="RevuZero"/>
          <w:rFonts w:ascii="Liberation Serif" w:hAnsi="Liberation Serif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</w:pPr>
      <w:r>
        <w:rPr>
          <w:rFonts w:cs="Calibri"/>
          <w:b/>
          <w:bCs/>
          <w:i w:val="false"/>
          <w:iCs w:val="false"/>
          <w:color w:val="000000"/>
          <w:sz w:val="24"/>
          <w:szCs w:val="24"/>
          <w:lang w:val="en-US"/>
        </w:rPr>
      </w:r>
      <w:r>
        <w:br w:type="page"/>
      </w:r>
    </w:p>
    <w:p>
      <w:pPr>
        <w:pStyle w:val="Normal"/>
        <w:jc w:val="both"/>
        <w:rPr>
          <w:rStyle w:val="RevuZero"/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lang w:val="en-US"/>
        </w:rPr>
      </w:pPr>
      <w:r>
        <w:rPr>
          <w:rFonts w:ascii="Liberation Sans" w:hAnsi="Liberation Sans"/>
          <w:color w:val="000000"/>
          <w:sz w:val="24"/>
          <w:szCs w:val="24"/>
        </w:rPr>
      </w:r>
    </w:p>
    <w:p>
      <w:pPr>
        <w:pStyle w:val="FrameContents"/>
        <w:bidi w:val="0"/>
        <w:spacing w:lineRule="auto" w:line="240" w:before="0" w:after="0"/>
        <w:contextualSpacing/>
        <w:jc w:val="both"/>
        <w:rPr>
          <w:rStyle w:val="RevuZero"/>
          <w:rFonts w:ascii="Liberation Serif" w:hAnsi="Liberation Serif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  <w:lang w:val="en-US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06006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25" w:type="dxa"/>
        <w:jc w:val="left"/>
        <w:tblInd w:w="-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245"/>
        <w:gridCol w:w="3975"/>
        <w:gridCol w:w="1120"/>
        <w:gridCol w:w="2400"/>
        <w:gridCol w:w="1085"/>
      </w:tblGrid>
      <w:tr>
        <w:trPr>
          <w:trHeight w:val="6" w:hRule="atLeast"/>
        </w:trPr>
        <w:tc>
          <w:tcPr>
            <w:tcW w:w="9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DDDDDD" w:val="clear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HAWKMOTHS</w:t>
            </w:r>
          </w:p>
        </w:tc>
      </w:tr>
      <w:tr>
        <w:trPr>
          <w:trHeight w:val="6" w:hRule="atLeast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Taxonomic level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Model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Figure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Slope ± SE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R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>
        <w:trPr>
          <w:trHeight w:val="6" w:hRule="atLeast"/>
        </w:trPr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Community</w:t>
            </w:r>
          </w:p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sz w:val="21"/>
                <w:szCs w:val="21"/>
              </w:rPr>
              <w:t>CM-A ~ Elevation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S5b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117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4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398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0.</w:t>
            </w:r>
            <w:r>
              <w:rPr>
                <w:rStyle w:val="RevuZero"/>
                <w:b/>
                <w:bCs/>
                <w:sz w:val="21"/>
                <w:szCs w:val="21"/>
              </w:rPr>
              <w:t>34**</w:t>
            </w:r>
          </w:p>
        </w:tc>
      </w:tr>
      <w:tr>
        <w:trPr>
          <w:trHeight w:val="6" w:hRule="atLeast"/>
        </w:trPr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Style w:val="RevuZero"/>
                <w:sz w:val="21"/>
                <w:szCs w:val="21"/>
              </w:rPr>
              <w:t>CM-I ~ Elevation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S5b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143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6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193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0.2</w:t>
            </w:r>
            <w:r>
              <w:rPr>
                <w:rStyle w:val="RevuZero"/>
                <w:b/>
                <w:bCs/>
                <w:sz w:val="21"/>
                <w:szCs w:val="21"/>
              </w:rPr>
              <w:t>7**</w:t>
            </w:r>
          </w:p>
        </w:tc>
      </w:tr>
      <w:tr>
        <w:trPr>
          <w:trHeight w:val="6" w:hRule="atLeast"/>
        </w:trPr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Style w:val="RevuZero"/>
                <w:sz w:val="21"/>
                <w:szCs w:val="21"/>
              </w:rPr>
              <w:t>CM-S ~ Elevation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S5a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(-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0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172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 xml:space="preserve"> ± 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5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.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692</w:t>
            </w:r>
            <w:r>
              <w:rPr>
                <w:rStyle w:val="RevuZero"/>
                <w:b/>
                <w:bCs/>
                <w:position w:val="0"/>
                <w:sz w:val="24"/>
                <w:sz w:val="21"/>
                <w:szCs w:val="21"/>
                <w:vertAlign w:val="baseline"/>
              </w:rPr>
              <w:t>) x 10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-</w:t>
            </w:r>
            <w:r>
              <w:rPr>
                <w:rStyle w:val="RevuZero"/>
                <w:b/>
                <w:bCs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/>
            </w:pPr>
            <w:r>
              <w:rPr>
                <w:rStyle w:val="RevuZero"/>
                <w:b/>
                <w:bCs/>
                <w:sz w:val="21"/>
                <w:szCs w:val="21"/>
              </w:rPr>
              <w:t>0.</w:t>
            </w:r>
            <w:r>
              <w:rPr>
                <w:rStyle w:val="RevuZero"/>
                <w:b/>
                <w:bCs/>
                <w:sz w:val="21"/>
                <w:szCs w:val="21"/>
              </w:rPr>
              <w:t>21*</w:t>
            </w:r>
          </w:p>
        </w:tc>
      </w:tr>
    </w:tbl>
    <w:p>
      <w:pPr>
        <w:pStyle w:val="Normal"/>
        <w:bidi w:val="0"/>
        <w:spacing w:lineRule="auto" w:line="240" w:before="0" w:after="0"/>
        <w:contextualSpacing/>
        <w:jc w:val="both"/>
        <w:rPr>
          <w:rStyle w:val="RevuZero"/>
          <w:rFonts w:ascii="Liberation Serif" w:hAnsi="Liberation Serif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  <w:lang w:val="en-US"/>
        </w:rPr>
      </w:pPr>
      <w:r>
        <w:rPr>
          <w:sz w:val="24"/>
          <w:szCs w:val="24"/>
        </w:rPr>
      </w:r>
    </w:p>
    <w:p>
      <w:pPr>
        <w:pStyle w:val="FrameContents"/>
        <w:bidi w:val="0"/>
        <w:spacing w:lineRule="auto" w:line="240" w:before="0" w:after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Figure S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2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.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Relationship between elevation and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body mass (BM)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for hawkmoths at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community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level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using the Diversity Data set; 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t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o be compared with Main-Figure 2.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We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could measure traits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only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for a subset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(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N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= 3,302;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70%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)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of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hawkmoth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individuals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of the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complete ‘diversity data’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(N = 4,731)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;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t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he re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maining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either did not sit on the gridded screen or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were of a poor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image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quality.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In the main manuscript, we have presented the results from the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“trait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data set”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of 3,302 individuals.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The above plots use the more complete relative abun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d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ance information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from the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larger “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diversity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data set”.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We filled in th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is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‘missing’ trait data by randomly resampling trait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values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from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individuals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of the same species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from the same elevation. 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a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) 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BR-C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(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CM-S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)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: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average of the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regional mean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body mass of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species within a community,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i.e.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not weighted by local abundance, 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b</w:t>
      </w:r>
      <w:r>
        <w:rPr>
          <w:rStyle w:val="RevuZero"/>
          <w:rFonts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)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BR-C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(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CM-A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)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: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local abundance weighted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average of the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regional mean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body mass of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species within a community;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(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CM-I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)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: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mean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trait value of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all individuals in a community). Regression coefficients for all the linear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fits are listed in Table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S5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.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All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fits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significant at p &lt; 0.1 are shown as solid lines, 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the rest are as dashed lines</w:t>
      </w:r>
      <w:r>
        <w:rPr>
          <w:rStyle w:val="RevuZero"/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.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There are no significant differences between results from Traits and Diversity data sets (compare Main-Table 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1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and Table S7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>)</w:t>
      </w:r>
      <w:r>
        <w:rPr>
          <w:rStyle w:val="RevuZero"/>
          <w:rFonts w:cs="Minion-Regula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Style w:val="RevuZero"/>
          <w:rFonts w:ascii="Liberation Serif" w:hAnsi="Liberation Serif" w:cs="Minion-Regular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yellow"/>
          <w:u w:val="none"/>
          <w:effect w:val="none"/>
          <w:lang w:val="en-US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FrameContents"/>
        <w:bidi w:val="0"/>
        <w:spacing w:lineRule="auto" w:line="240" w:before="0" w:after="0"/>
        <w:contextualSpacing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22225</wp:posOffset>
            </wp:positionH>
            <wp:positionV relativeFrom="paragraph">
              <wp:posOffset>92075</wp:posOffset>
            </wp:positionV>
            <wp:extent cx="6120130" cy="2039620"/>
            <wp:effectExtent l="0" t="0" r="0" b="0"/>
            <wp:wrapSquare wrapText="largest"/>
            <wp:docPr id="3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Figure S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</w:rPr>
        <w:t xml:space="preserve">A comparison of slopes between the distance decay relationships for </w:t>
      </w:r>
      <w:r>
        <w:rPr>
          <w:b w:val="false"/>
          <w:bCs w:val="false"/>
          <w:sz w:val="24"/>
          <w:szCs w:val="24"/>
        </w:rPr>
        <w:t>hawkmoths</w:t>
      </w:r>
      <w:r>
        <w:rPr>
          <w:b w:val="false"/>
          <w:bCs w:val="false"/>
          <w:sz w:val="24"/>
          <w:szCs w:val="24"/>
        </w:rPr>
        <w:t xml:space="preserve"> (</w:t>
      </w:r>
      <w:r>
        <w:rPr>
          <w:b w:val="false"/>
          <w:bCs w:val="false"/>
          <w:sz w:val="24"/>
          <w:szCs w:val="24"/>
        </w:rPr>
        <w:t>blue</w:t>
      </w:r>
      <w:r>
        <w:rPr>
          <w:b w:val="false"/>
          <w:bCs w:val="false"/>
          <w:sz w:val="24"/>
          <w:szCs w:val="24"/>
        </w:rPr>
        <w:t xml:space="preserve">) and </w:t>
      </w:r>
      <w:r>
        <w:rPr>
          <w:b w:val="false"/>
          <w:bCs w:val="false"/>
          <w:sz w:val="24"/>
          <w:szCs w:val="24"/>
        </w:rPr>
        <w:t>birds</w:t>
      </w:r>
      <w:r>
        <w:rPr>
          <w:b w:val="false"/>
          <w:bCs w:val="false"/>
          <w:sz w:val="24"/>
          <w:szCs w:val="24"/>
        </w:rPr>
        <w:t xml:space="preserve"> (</w:t>
      </w:r>
      <w:r>
        <w:rPr>
          <w:b w:val="false"/>
          <w:bCs w:val="false"/>
          <w:sz w:val="24"/>
          <w:szCs w:val="24"/>
        </w:rPr>
        <w:t>red</w:t>
      </w:r>
      <w:r>
        <w:rPr>
          <w:b w:val="false"/>
          <w:bCs w:val="false"/>
          <w:sz w:val="24"/>
          <w:szCs w:val="24"/>
        </w:rPr>
        <w:t xml:space="preserve">). </w:t>
      </w:r>
      <w:r>
        <w:rPr>
          <w:b w:val="false"/>
          <w:bCs w:val="false"/>
          <w:sz w:val="24"/>
          <w:szCs w:val="24"/>
        </w:rPr>
        <w:t>S</w:t>
      </w:r>
      <w:r>
        <w:rPr>
          <w:rFonts w:ascii="Liberation Serif" w:hAnsi="Liberation Serif"/>
          <w:b w:val="false"/>
          <w:bCs w:val="false"/>
          <w:sz w:val="24"/>
          <w:szCs w:val="24"/>
        </w:rPr>
        <w:t>ø</w:t>
      </w:r>
      <w:r>
        <w:rPr>
          <w:b w:val="false"/>
          <w:bCs w:val="false"/>
          <w:sz w:val="24"/>
          <w:szCs w:val="24"/>
        </w:rPr>
        <w:t xml:space="preserve">rensen index of Dissimilarity based only on presence-absence data was used to compare turnover in species occurrences, without the influence of gradients in abundance. Plots are presented for a) Total Dissimilarity, b) Turnover component of Total Dissimilarity &amp; c). Nestedness component of Total Dissimilarity </w:t>
      </w:r>
      <w:r>
        <w:rPr>
          <w:b w:val="false"/>
          <w:bCs w:val="false"/>
          <w:sz w:val="24"/>
          <w:szCs w:val="24"/>
        </w:rPr>
        <w:t>(Baselga 2010)</w:t>
      </w:r>
      <w:r>
        <w:rPr>
          <w:b w:val="false"/>
          <w:bCs w:val="false"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</w:rPr>
        <w:t>The slope was significant</w:t>
      </w:r>
      <w:r>
        <w:rPr>
          <w:b w:val="false"/>
          <w:bCs w:val="false"/>
          <w:sz w:val="24"/>
          <w:szCs w:val="24"/>
        </w:rPr>
        <w:t>ly higher for birds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as compared to </w:t>
      </w:r>
      <w:r>
        <w:rPr>
          <w:b w:val="false"/>
          <w:bCs w:val="false"/>
          <w:sz w:val="24"/>
          <w:szCs w:val="24"/>
        </w:rPr>
        <w:t>hawkmoths (Fisher’s z = 8.68, p.value &lt; 0.001).</w:t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Liberation Sans" w:hAnsi="Liberation Sans" w:cs="Calibri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en-IN"/>
        </w:rPr>
      </w:pPr>
      <w:r>
        <w:rPr>
          <w:rFonts w:cs="Calibri" w:ascii="Liberation Sans" w:hAnsi="Liberation Sans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en-I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Lohit Devanagari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52">
    <w:name w:val="ListLabel 52"/>
    <w:qFormat/>
    <w:rPr>
      <w:i/>
      <w:iCs/>
      <w:sz w:val="24"/>
      <w:szCs w:val="24"/>
    </w:rPr>
  </w:style>
  <w:style w:type="character" w:styleId="ListLabel43">
    <w:name w:val="ListLabel 43"/>
    <w:qFormat/>
    <w:rPr>
      <w:rFonts w:ascii="Liberation Serif" w:hAnsi="Liberation Serif" w:cs="OpenSymbol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3">
    <w:name w:val="ListLabel 53"/>
    <w:qFormat/>
    <w:rPr>
      <w:rFonts w:cs="Minion-Regular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4"/>
      <w:szCs w:val="24"/>
      <w:highlight w:val="white"/>
      <w:u w:val="none"/>
      <w:effect w:val="none"/>
      <w:lang w:val="en-US"/>
    </w:rPr>
  </w:style>
  <w:style w:type="character" w:styleId="Emphasis">
    <w:name w:val="Emphasis"/>
    <w:qFormat/>
    <w:rPr>
      <w:i/>
      <w:iCs/>
    </w:rPr>
  </w:style>
  <w:style w:type="character" w:styleId="ListLabel54">
    <w:name w:val="ListLabel 54"/>
    <w:qFormat/>
    <w:rPr>
      <w:b w:val="false"/>
      <w:i w:val="false"/>
      <w:caps w:val="false"/>
      <w:smallCaps w:val="false"/>
      <w:color w:val="000000"/>
      <w:spacing w:val="0"/>
      <w:sz w:val="24"/>
      <w:szCs w:val="24"/>
      <w:u w:val="single"/>
    </w:rPr>
  </w:style>
  <w:style w:type="character" w:styleId="ListLabel55">
    <w:name w:val="ListLabel 55"/>
    <w:qFormat/>
    <w:rPr>
      <w:rFonts w:cs="Calibri"/>
      <w:b w:val="false"/>
      <w:bCs/>
      <w:i w:val="false"/>
      <w:iCs w:val="false"/>
      <w:caps w:val="false"/>
      <w:smallCaps w:val="false"/>
      <w:strike w:val="false"/>
      <w:dstrike w:val="false"/>
      <w:outline w:val="false"/>
      <w:shadow w:val="false"/>
      <w:color w:val="222222"/>
      <w:spacing w:val="0"/>
      <w:sz w:val="24"/>
      <w:szCs w:val="24"/>
      <w:u w:val="none"/>
      <w:em w:val="none"/>
      <w:lang w:val="en-IN"/>
    </w:rPr>
  </w:style>
  <w:style w:type="character" w:styleId="ListLabel56">
    <w:name w:val="ListLabel 56"/>
    <w:qFormat/>
    <w:rPr>
      <w:rFonts w:ascii="Liberation Serif" w:hAnsi="Liberation Serif" w:cs="Calibri"/>
      <w:b w:val="false"/>
      <w:bCs/>
      <w:i w:val="false"/>
      <w:iCs w:val="false"/>
      <w:caps w:val="false"/>
      <w:smallCaps w:val="false"/>
      <w:strike w:val="false"/>
      <w:dstrike w:val="false"/>
      <w:outline w:val="false"/>
      <w:shadow w:val="false"/>
      <w:color w:val="3D3C3C"/>
      <w:spacing w:val="0"/>
      <w:sz w:val="24"/>
      <w:szCs w:val="24"/>
      <w:u w:val="none"/>
      <w:em w:val="none"/>
      <w:lang w:val="en-IN"/>
    </w:rPr>
  </w:style>
  <w:style w:type="character" w:styleId="RevuAdd">
    <w:name w:val="RevuAdd"/>
    <w:qFormat/>
    <w:rPr>
      <w:rFonts w:ascii="Liberation Sans" w:hAnsi="Liberation Sans"/>
      <w:color w:val="0066B3"/>
      <w:sz w:val="24"/>
    </w:rPr>
  </w:style>
  <w:style w:type="character" w:styleId="RevuZero">
    <w:name w:val="RevuZero"/>
    <w:basedOn w:val="RevuAdd"/>
    <w:qFormat/>
    <w:rPr>
      <w:color w:val="auto"/>
    </w:rPr>
  </w:style>
  <w:style w:type="character" w:styleId="Character20style">
    <w:name w:val="Character_20_styl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en-I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599</TotalTime>
  <Application>LibreOffice/6.0.7.3$Linux_X86_64 LibreOffice_project/00m0$Build-3</Application>
  <Pages>6</Pages>
  <Words>1105</Words>
  <Characters>5425</Characters>
  <CharactersWithSpaces>6192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2020-12-17T09:09:07Z</dcterms:created>
  <dc:creator/>
  <dc:description/>
  <dc:language>en-IN</dc:language>
  <cp:lastModifiedBy/>
  <dcterms:modified xsi:type="dcterms:W3CDTF">2021-03-28T08:21:27Z</dcterms:modified>
  <cp:revision>32</cp:revision>
  <dc:subject/>
  <dc:title/>
</cp:coreProperties>
</file>