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25" w:rsidRDefault="00476525" w:rsidP="00476525">
      <w:pPr>
        <w:keepNext/>
        <w:spacing w:line="480" w:lineRule="auto"/>
        <w:rPr>
          <w:rFonts w:ascii="Times New Roman" w:hAnsi="Times New Roman" w:cs="Times New Roman"/>
          <w:noProof/>
          <w:sz w:val="24"/>
          <w:szCs w:val="24"/>
        </w:rPr>
      </w:pPr>
      <w:r>
        <w:rPr>
          <w:rFonts w:ascii="Times New Roman" w:hAnsi="Times New Roman" w:cs="Times New Roman"/>
          <w:noProof/>
          <w:sz w:val="24"/>
          <w:szCs w:val="24"/>
        </w:rPr>
        <w:t>Supplementary Material</w:t>
      </w:r>
    </w:p>
    <w:p w:rsidR="00476525" w:rsidRPr="003F372F" w:rsidRDefault="00476525" w:rsidP="00476525">
      <w:pPr>
        <w:keepNext/>
        <w:spacing w:line="480" w:lineRule="auto"/>
        <w:rPr>
          <w:rFonts w:ascii="Times New Roman" w:hAnsi="Times New Roman" w:cs="Times New Roman"/>
          <w:sz w:val="24"/>
          <w:szCs w:val="24"/>
        </w:rPr>
      </w:pPr>
      <w:r>
        <w:rPr>
          <w:rFonts w:ascii="Times New Roman" w:hAnsi="Times New Roman" w:cs="Times New Roman"/>
          <w:noProof/>
          <w:sz w:val="24"/>
          <w:szCs w:val="24"/>
        </w:rPr>
        <w:t>Table S1</w:t>
      </w:r>
      <w:r w:rsidRPr="008B4F80">
        <w:rPr>
          <w:rFonts w:ascii="Times New Roman" w:hAnsi="Times New Roman" w:cs="Times New Roman"/>
          <w:noProof/>
          <w:sz w:val="24"/>
          <w:szCs w:val="24"/>
        </w:rPr>
        <w:t xml:space="preserve">. </w:t>
      </w:r>
      <w:r w:rsidRPr="003F372F">
        <w:rPr>
          <w:rFonts w:ascii="Times New Roman" w:hAnsi="Times New Roman" w:cs="Times New Roman"/>
          <w:sz w:val="24"/>
          <w:szCs w:val="24"/>
        </w:rPr>
        <w:t xml:space="preserve">Allometric equations relating total tree height (H in m) to tree diameter (D in cm). A total of ten different allometric models were fitted to the height-diameter data, following </w:t>
      </w:r>
      <w:proofErr w:type="spellStart"/>
      <w:r w:rsidRPr="003F372F">
        <w:rPr>
          <w:rFonts w:ascii="Times New Roman" w:hAnsi="Times New Roman" w:cs="Times New Roman"/>
          <w:sz w:val="24"/>
          <w:szCs w:val="24"/>
        </w:rPr>
        <w:t>Fayolle</w:t>
      </w:r>
      <w:proofErr w:type="spellEnd"/>
      <w:r w:rsidRPr="003F372F">
        <w:rPr>
          <w:rFonts w:ascii="Times New Roman" w:hAnsi="Times New Roman" w:cs="Times New Roman"/>
          <w:sz w:val="24"/>
          <w:szCs w:val="24"/>
        </w:rPr>
        <w:t xml:space="preserve"> et al. (2016). The </w:t>
      </w:r>
      <w:proofErr w:type="spellStart"/>
      <w:r w:rsidRPr="003F372F">
        <w:rPr>
          <w:rFonts w:ascii="Times New Roman" w:hAnsi="Times New Roman" w:cs="Times New Roman"/>
          <w:sz w:val="24"/>
          <w:szCs w:val="24"/>
        </w:rPr>
        <w:t>Akaike</w:t>
      </w:r>
      <w:proofErr w:type="spellEnd"/>
      <w:r w:rsidRPr="003F372F">
        <w:rPr>
          <w:rFonts w:ascii="Times New Roman" w:hAnsi="Times New Roman" w:cs="Times New Roman"/>
          <w:sz w:val="24"/>
          <w:szCs w:val="24"/>
        </w:rPr>
        <w:t xml:space="preserve"> Information Criterion (AIC), the Residual Standard Error (RSE) and parameter estimates are given for each model. The best model (lowest AIC and RSE) relating height to diameter is shown in bold for each forest type.</w:t>
      </w:r>
    </w:p>
    <w:tbl>
      <w:tblPr>
        <w:tblpPr w:leftFromText="180" w:rightFromText="180" w:vertAnchor="text" w:horzAnchor="margin" w:tblpX="-459" w:tblpY="119"/>
        <w:tblW w:w="14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53"/>
        <w:gridCol w:w="851"/>
        <w:gridCol w:w="850"/>
        <w:gridCol w:w="851"/>
        <w:gridCol w:w="992"/>
        <w:gridCol w:w="992"/>
        <w:gridCol w:w="284"/>
        <w:gridCol w:w="850"/>
        <w:gridCol w:w="667"/>
        <w:gridCol w:w="926"/>
        <w:gridCol w:w="851"/>
        <w:gridCol w:w="1134"/>
      </w:tblGrid>
      <w:tr w:rsidR="00476525" w:rsidRPr="00912F7B" w:rsidTr="00F20057">
        <w:trPr>
          <w:trHeight w:val="300"/>
        </w:trPr>
        <w:tc>
          <w:tcPr>
            <w:tcW w:w="5353"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4536" w:type="dxa"/>
            <w:gridSpan w:val="5"/>
            <w:tcBorders>
              <w:left w:val="nil"/>
              <w:bottom w:val="single" w:sz="12" w:space="0" w:color="auto"/>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Mixed forest (n = 127)</w:t>
            </w:r>
          </w:p>
        </w:tc>
        <w:tc>
          <w:tcPr>
            <w:tcW w:w="284" w:type="dxa"/>
            <w:tcBorders>
              <w:left w:val="nil"/>
              <w:bottom w:val="nil"/>
              <w:right w:val="nil"/>
            </w:tcBorders>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4428" w:type="dxa"/>
            <w:gridSpan w:val="5"/>
            <w:tcBorders>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Monodominant forest (n = 137)</w:t>
            </w:r>
          </w:p>
        </w:tc>
      </w:tr>
      <w:tr w:rsidR="00476525" w:rsidRPr="00912F7B" w:rsidTr="00F20057">
        <w:trPr>
          <w:trHeight w:val="300"/>
        </w:trPr>
        <w:tc>
          <w:tcPr>
            <w:tcW w:w="5353" w:type="dxa"/>
            <w:tcBorders>
              <w:top w:val="nil"/>
              <w:left w:val="nil"/>
              <w:bottom w:val="single" w:sz="12" w:space="0" w:color="auto"/>
              <w:right w:val="nil"/>
            </w:tcBorders>
            <w:shd w:val="clear" w:color="auto" w:fill="auto"/>
            <w:noWrap/>
            <w:vAlign w:val="bottom"/>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Model</w:t>
            </w:r>
          </w:p>
        </w:tc>
        <w:tc>
          <w:tcPr>
            <w:tcW w:w="851" w:type="dxa"/>
            <w:tcBorders>
              <w:top w:val="single" w:sz="12" w:space="0" w:color="auto"/>
              <w:left w:val="nil"/>
              <w:bottom w:val="single" w:sz="12" w:space="0" w:color="auto"/>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AIC</w:t>
            </w:r>
          </w:p>
        </w:tc>
        <w:tc>
          <w:tcPr>
            <w:tcW w:w="850" w:type="dxa"/>
            <w:tcBorders>
              <w:top w:val="single" w:sz="12" w:space="0" w:color="auto"/>
              <w:left w:val="nil"/>
              <w:bottom w:val="single" w:sz="12" w:space="0" w:color="auto"/>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RSE</w:t>
            </w:r>
          </w:p>
        </w:tc>
        <w:tc>
          <w:tcPr>
            <w:tcW w:w="851" w:type="dxa"/>
            <w:tcBorders>
              <w:top w:val="single" w:sz="12" w:space="0" w:color="auto"/>
              <w:left w:val="nil"/>
              <w:bottom w:val="single" w:sz="12" w:space="0" w:color="auto"/>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a</w:t>
            </w:r>
          </w:p>
        </w:tc>
        <w:tc>
          <w:tcPr>
            <w:tcW w:w="992" w:type="dxa"/>
            <w:tcBorders>
              <w:top w:val="single" w:sz="12" w:space="0" w:color="auto"/>
              <w:left w:val="nil"/>
              <w:bottom w:val="single" w:sz="12" w:space="0" w:color="auto"/>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b</w:t>
            </w:r>
          </w:p>
        </w:tc>
        <w:tc>
          <w:tcPr>
            <w:tcW w:w="992" w:type="dxa"/>
            <w:tcBorders>
              <w:top w:val="single" w:sz="12" w:space="0" w:color="auto"/>
              <w:left w:val="nil"/>
              <w:bottom w:val="single" w:sz="12" w:space="0" w:color="auto"/>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c</w:t>
            </w:r>
          </w:p>
        </w:tc>
        <w:tc>
          <w:tcPr>
            <w:tcW w:w="284" w:type="dxa"/>
            <w:tcBorders>
              <w:top w:val="nil"/>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single" w:sz="12" w:space="0" w:color="auto"/>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AIC</w:t>
            </w:r>
          </w:p>
        </w:tc>
        <w:tc>
          <w:tcPr>
            <w:tcW w:w="667" w:type="dxa"/>
            <w:tcBorders>
              <w:top w:val="single" w:sz="12" w:space="0" w:color="auto"/>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RSE</w:t>
            </w:r>
          </w:p>
        </w:tc>
        <w:tc>
          <w:tcPr>
            <w:tcW w:w="926" w:type="dxa"/>
            <w:tcBorders>
              <w:top w:val="single" w:sz="12" w:space="0" w:color="auto"/>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a</w:t>
            </w:r>
          </w:p>
        </w:tc>
        <w:tc>
          <w:tcPr>
            <w:tcW w:w="851" w:type="dxa"/>
            <w:tcBorders>
              <w:top w:val="single" w:sz="12" w:space="0" w:color="auto"/>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b</w:t>
            </w:r>
          </w:p>
        </w:tc>
        <w:tc>
          <w:tcPr>
            <w:tcW w:w="1134" w:type="dxa"/>
            <w:tcBorders>
              <w:top w:val="single" w:sz="12" w:space="0" w:color="auto"/>
              <w:left w:val="nil"/>
              <w:bottom w:val="single" w:sz="12" w:space="0" w:color="auto"/>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c</w:t>
            </w:r>
          </w:p>
        </w:tc>
      </w:tr>
      <w:tr w:rsidR="00476525" w:rsidRPr="00912F7B" w:rsidTr="00F20057">
        <w:trPr>
          <w:trHeight w:val="300"/>
        </w:trPr>
        <w:tc>
          <w:tcPr>
            <w:tcW w:w="5353" w:type="dxa"/>
            <w:tcBorders>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Monotonic models</w:t>
            </w:r>
          </w:p>
        </w:tc>
        <w:tc>
          <w:tcPr>
            <w:tcW w:w="851"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left w:val="nil"/>
              <w:bottom w:val="nil"/>
              <w:right w:val="nil"/>
            </w:tcBorders>
            <w:shd w:val="clear" w:color="auto" w:fill="auto"/>
            <w:noWrap/>
            <w:vAlign w:val="bottom"/>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284" w:type="dxa"/>
            <w:tcBorders>
              <w:left w:val="nil"/>
              <w:bottom w:val="nil"/>
              <w:right w:val="nil"/>
            </w:tcBorders>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667" w:type="dxa"/>
            <w:tcBorders>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26" w:type="dxa"/>
            <w:tcBorders>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1134" w:type="dxa"/>
            <w:tcBorders>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 xml:space="preserve">Linear model, </w:t>
            </w:r>
            <m:oMath>
              <m:r>
                <w:rPr>
                  <w:rFonts w:ascii="Cambria Math" w:eastAsia="Times New Roman" w:hAnsi="Cambria Math" w:cs="Times New Roman"/>
                  <w:color w:val="000000"/>
                  <w:sz w:val="24"/>
                  <w:szCs w:val="24"/>
                  <w:lang w:eastAsia="en-GB"/>
                </w:rPr>
                <m:t>H=a+b×D</m:t>
              </m:r>
            </m:oMath>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836.3</w:t>
            </w:r>
          </w:p>
        </w:tc>
        <w:tc>
          <w:tcPr>
            <w:tcW w:w="850"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6.41</w:t>
            </w:r>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12.99</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0.358</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899.1</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6.35</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15.63</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0.356</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 xml:space="preserve">Log-linear model, </w:t>
            </w:r>
            <m:oMath>
              <m:r>
                <w:rPr>
                  <w:rFonts w:ascii="Cambria Math" w:eastAsia="Times New Roman" w:hAnsi="Cambria Math" w:cs="Times New Roman"/>
                  <w:color w:val="000000"/>
                  <w:sz w:val="24"/>
                  <w:szCs w:val="24"/>
                  <w:lang w:eastAsia="en-GB"/>
                </w:rPr>
                <m:t>H=a+b×</m:t>
              </m:r>
              <m:r>
                <m:rPr>
                  <m:sty m:val="p"/>
                </m:rPr>
                <w:rPr>
                  <w:rFonts w:ascii="Cambria Math" w:eastAsia="Times New Roman" w:hAnsi="Cambria Math" w:cs="Times New Roman"/>
                  <w:color w:val="000000"/>
                  <w:sz w:val="24"/>
                  <w:szCs w:val="24"/>
                  <w:lang w:eastAsia="en-GB"/>
                </w:rPr>
                <m:t>log⁡</m:t>
              </m:r>
              <m:r>
                <w:rPr>
                  <w:rFonts w:ascii="Cambria Math" w:eastAsia="Times New Roman" w:hAnsi="Cambria Math" w:cs="Times New Roman"/>
                  <w:color w:val="000000"/>
                  <w:sz w:val="24"/>
                  <w:szCs w:val="24"/>
                  <w:lang w:eastAsia="en-GB"/>
                </w:rPr>
                <m:t>(D)</m:t>
              </m:r>
            </m:oMath>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818.2</w:t>
            </w:r>
          </w:p>
        </w:tc>
        <w:tc>
          <w:tcPr>
            <w:tcW w:w="850"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5.97</w:t>
            </w:r>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-27.83</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15.7</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877.4</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5.86</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-27.83</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16.4</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 xml:space="preserve">Power model, </w:t>
            </w:r>
            <m:oMath>
              <m:r>
                <w:rPr>
                  <w:rFonts w:ascii="Cambria Math" w:eastAsia="Times New Roman" w:hAnsi="Cambria Math" w:cs="Times New Roman"/>
                  <w:color w:val="000000"/>
                  <w:sz w:val="24"/>
                  <w:szCs w:val="24"/>
                  <w:lang w:eastAsia="en-GB"/>
                </w:rPr>
                <m:t>H=a×</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b</m:t>
                  </m:r>
                </m:sup>
              </m:sSup>
            </m:oMath>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820.5</w:t>
            </w:r>
          </w:p>
        </w:tc>
        <w:tc>
          <w:tcPr>
            <w:tcW w:w="850"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6.02</w:t>
            </w:r>
          </w:p>
        </w:tc>
        <w:tc>
          <w:tcPr>
            <w:tcW w:w="851"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3.83</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0.544</w:t>
            </w:r>
          </w:p>
        </w:tc>
        <w:tc>
          <w:tcPr>
            <w:tcW w:w="992"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879.8</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5.92</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4.76</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0.51</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NA</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Second-order polynomial models</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H=a+b×D+c×</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2</m:t>
                    </m:r>
                  </m:sup>
                </m:sSup>
              </m:oMath>
            </m:oMathPara>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823.6</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6.07</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7.23</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0.628</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-0.0023</w:t>
            </w:r>
            <w:r w:rsidRPr="00912F7B">
              <w:rPr>
                <w:rFonts w:ascii="Times New Roman" w:eastAsia="Times New Roman" w:hAnsi="Times New Roman" w:cs="Times New Roman"/>
                <w:color w:val="000000"/>
                <w:sz w:val="24"/>
                <w:szCs w:val="24"/>
                <w:lang w:eastAsia="en-GB"/>
              </w:rPr>
              <w:lastRenderedPageBreak/>
              <w:t>7</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882</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5.94</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8.94</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0.661</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-0.00259</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w:lastRenderedPageBreak/>
                  <m:t>H=a+b×</m:t>
                </m:r>
                <m:r>
                  <m:rPr>
                    <m:sty m:val="p"/>
                  </m:rPr>
                  <w:rPr>
                    <w:rFonts w:ascii="Cambria Math" w:eastAsia="Times New Roman" w:hAnsi="Cambria Math" w:cs="Times New Roman"/>
                    <w:color w:val="000000"/>
                    <w:sz w:val="24"/>
                    <w:szCs w:val="24"/>
                    <w:lang w:eastAsia="en-GB"/>
                  </w:rPr>
                  <m:t>log⁡</m:t>
                </m:r>
                <m:r>
                  <w:rPr>
                    <w:rFonts w:ascii="Cambria Math" w:eastAsia="Times New Roman" w:hAnsi="Cambria Math" w:cs="Times New Roman"/>
                    <w:color w:val="000000"/>
                    <w:sz w:val="24"/>
                    <w:szCs w:val="24"/>
                    <w:lang w:eastAsia="en-GB"/>
                  </w:rPr>
                  <m:t>(D)+c×(</m:t>
                </m:r>
                <m:r>
                  <m:rPr>
                    <m:sty m:val="p"/>
                  </m:rPr>
                  <w:rPr>
                    <w:rFonts w:ascii="Cambria Math" w:eastAsia="Times New Roman" w:hAnsi="Cambria Math" w:cs="Times New Roman"/>
                    <w:color w:val="000000"/>
                    <w:sz w:val="24"/>
                    <w:szCs w:val="24"/>
                    <w:lang w:eastAsia="en-GB"/>
                  </w:rPr>
                  <m:t>log⁡</m:t>
                </m:r>
                <m:r>
                  <w:rPr>
                    <w:rFonts w:ascii="Cambria Math" w:eastAsia="Times New Roman" w:hAnsi="Cambria Math" w:cs="Times New Roman"/>
                    <w:color w:val="000000"/>
                    <w:sz w:val="24"/>
                    <w:szCs w:val="24"/>
                    <w:lang w:eastAsia="en-GB"/>
                  </w:rPr>
                  <m:t>(</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2</m:t>
                    </m:r>
                  </m:sup>
                </m:sSup>
              </m:oMath>
            </m:oMathPara>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818.3</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5.95</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-7.33</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3.79</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1.673</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877.6</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5.85</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-7.51</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4.81</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1.604</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(a+b×</m:t>
                </m:r>
                <m:r>
                  <m:rPr>
                    <m:sty m:val="p"/>
                  </m:rPr>
                  <w:rPr>
                    <w:rFonts w:ascii="Cambria Math" w:eastAsia="Times New Roman" w:hAnsi="Cambria Math" w:cs="Times New Roman"/>
                    <w:color w:val="000000"/>
                    <w:sz w:val="24"/>
                    <w:szCs w:val="24"/>
                    <w:lang w:eastAsia="en-GB"/>
                  </w:rPr>
                  <m:t>log⁡</m:t>
                </m:r>
                <m:r>
                  <w:rPr>
                    <w:rFonts w:ascii="Cambria Math" w:eastAsia="Times New Roman" w:hAnsi="Cambria Math" w:cs="Times New Roman"/>
                    <w:color w:val="000000"/>
                    <w:sz w:val="24"/>
                    <w:szCs w:val="24"/>
                    <w:lang w:eastAsia="en-GB"/>
                  </w:rPr>
                  <m:t>(D)+c×</m:t>
                </m:r>
                <m:sSup>
                  <m:sSupPr>
                    <m:ctrlPr>
                      <w:rPr>
                        <w:rFonts w:ascii="Cambria Math" w:eastAsia="Times New Roman" w:hAnsi="Cambria Math" w:cs="Times New Roman"/>
                        <w:i/>
                        <w:color w:val="000000"/>
                        <w:sz w:val="24"/>
                        <w:szCs w:val="24"/>
                        <w:lang w:eastAsia="en-GB"/>
                      </w:rPr>
                    </m:ctrlPr>
                  </m:sSupPr>
                  <m:e>
                    <m:d>
                      <m:dPr>
                        <m:ctrlPr>
                          <w:rPr>
                            <w:rFonts w:ascii="Cambria Math" w:eastAsia="Times New Roman" w:hAnsi="Cambria Math" w:cs="Times New Roman"/>
                            <w:i/>
                            <w:color w:val="000000"/>
                            <w:sz w:val="24"/>
                            <w:szCs w:val="24"/>
                            <w:lang w:eastAsia="en-GB"/>
                          </w:rPr>
                        </m:ctrlPr>
                      </m:dPr>
                      <m:e>
                        <m:func>
                          <m:funcPr>
                            <m:ctrlPr>
                              <w:rPr>
                                <w:rFonts w:ascii="Cambria Math" w:eastAsia="Times New Roman" w:hAnsi="Cambria Math" w:cs="Times New Roman"/>
                                <w:color w:val="000000"/>
                                <w:sz w:val="24"/>
                                <w:szCs w:val="24"/>
                                <w:lang w:eastAsia="en-GB"/>
                              </w:rPr>
                            </m:ctrlPr>
                          </m:funcPr>
                          <m:fName>
                            <m:r>
                              <m:rPr>
                                <m:sty m:val="p"/>
                              </m:rPr>
                              <w:rPr>
                                <w:rFonts w:ascii="Cambria Math" w:eastAsia="Times New Roman" w:hAnsi="Cambria Math" w:cs="Times New Roman"/>
                                <w:color w:val="000000"/>
                                <w:sz w:val="24"/>
                                <w:szCs w:val="24"/>
                                <w:lang w:eastAsia="en-GB"/>
                              </w:rPr>
                              <m:t>log</m:t>
                            </m:r>
                            <m:ctrlPr>
                              <w:rPr>
                                <w:rFonts w:ascii="Cambria Math" w:eastAsia="Times New Roman" w:hAnsi="Cambria Math" w:cs="Times New Roman"/>
                                <w:i/>
                                <w:color w:val="000000"/>
                                <w:sz w:val="24"/>
                                <w:szCs w:val="24"/>
                                <w:lang w:eastAsia="en-GB"/>
                              </w:rPr>
                            </m:ctrlPr>
                          </m:fName>
                          <m:e>
                            <m:d>
                              <m:dPr>
                                <m:ctrlPr>
                                  <w:rPr>
                                    <w:rFonts w:ascii="Cambria Math" w:eastAsia="Times New Roman" w:hAnsi="Cambria Math" w:cs="Times New Roman"/>
                                    <w:i/>
                                    <w:color w:val="000000"/>
                                    <w:sz w:val="24"/>
                                    <w:szCs w:val="24"/>
                                    <w:lang w:eastAsia="en-GB"/>
                                  </w:rPr>
                                </m:ctrlPr>
                              </m:dPr>
                              <m:e>
                                <m:r>
                                  <w:rPr>
                                    <w:rFonts w:ascii="Cambria Math" w:eastAsia="Times New Roman" w:hAnsi="Cambria Math" w:cs="Times New Roman"/>
                                    <w:color w:val="000000"/>
                                    <w:sz w:val="24"/>
                                    <w:szCs w:val="24"/>
                                    <w:lang w:eastAsia="en-GB"/>
                                  </w:rPr>
                                  <m:t>D</m:t>
                                </m:r>
                              </m:e>
                            </m:d>
                          </m:e>
                        </m:func>
                      </m:e>
                    </m:d>
                  </m:e>
                  <m:sup>
                    <m:r>
                      <w:rPr>
                        <w:rFonts w:ascii="Cambria Math" w:eastAsia="Times New Roman" w:hAnsi="Cambria Math" w:cs="Times New Roman"/>
                        <w:color w:val="000000"/>
                        <w:sz w:val="24"/>
                        <w:szCs w:val="24"/>
                        <w:lang w:eastAsia="en-GB"/>
                      </w:rPr>
                      <m:t>2</m:t>
                    </m:r>
                  </m:sup>
                </m:sSup>
                <m:r>
                  <w:rPr>
                    <w:rFonts w:ascii="Cambria Math" w:eastAsia="Times New Roman" w:hAnsi="Cambria Math" w:cs="Times New Roman"/>
                    <w:color w:val="000000"/>
                    <w:sz w:val="24"/>
                    <w:szCs w:val="24"/>
                    <w:lang w:eastAsia="en-GB"/>
                  </w:rPr>
                  <m:t>)</m:t>
                </m:r>
              </m:oMath>
            </m:oMathPara>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818.7</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5.96</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-0.008</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1.267</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-0.0947</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877.9</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5.85</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0.368</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1.143</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-0.0824</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bCs/>
                <w:color w:val="000000"/>
                <w:sz w:val="24"/>
                <w:szCs w:val="24"/>
                <w:lang w:eastAsia="en-GB"/>
              </w:rPr>
            </w:pPr>
            <w:r w:rsidRPr="00912F7B">
              <w:rPr>
                <w:rFonts w:ascii="Times New Roman" w:eastAsia="Times New Roman" w:hAnsi="Times New Roman" w:cs="Times New Roman"/>
                <w:bCs/>
                <w:color w:val="000000"/>
                <w:sz w:val="24"/>
                <w:szCs w:val="24"/>
                <w:lang w:eastAsia="en-GB"/>
              </w:rPr>
              <w:t>Asymptotic models</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 xml:space="preserve">Monomolecular model, </w:t>
            </w:r>
            <m:oMath>
              <m:r>
                <w:rPr>
                  <w:rFonts w:ascii="Cambria Math" w:eastAsia="Times New Roman" w:hAnsi="Cambria Math" w:cs="Times New Roman"/>
                  <w:color w:val="000000"/>
                  <w:sz w:val="24"/>
                  <w:szCs w:val="24"/>
                  <w:lang w:eastAsia="en-GB"/>
                </w:rPr>
                <m:t>H=a-b×</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(-c×D)</m:t>
              </m:r>
            </m:oMath>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819.8</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5.98</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53.2</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49.9</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0.0184</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879.1</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5.88</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57.3</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51.9</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0.0177</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roofErr w:type="spellStart"/>
            <w:r w:rsidRPr="00912F7B">
              <w:rPr>
                <w:rFonts w:ascii="Times New Roman" w:eastAsia="Times New Roman" w:hAnsi="Times New Roman" w:cs="Times New Roman"/>
                <w:color w:val="000000"/>
                <w:sz w:val="24"/>
                <w:szCs w:val="24"/>
                <w:lang w:eastAsia="en-GB"/>
              </w:rPr>
              <w:t>Gompertz</w:t>
            </w:r>
            <w:proofErr w:type="spellEnd"/>
            <w:r w:rsidRPr="00912F7B">
              <w:rPr>
                <w:rFonts w:ascii="Times New Roman" w:eastAsia="Times New Roman" w:hAnsi="Times New Roman" w:cs="Times New Roman"/>
                <w:color w:val="000000"/>
                <w:sz w:val="24"/>
                <w:szCs w:val="24"/>
                <w:lang w:eastAsia="en-GB"/>
              </w:rPr>
              <w:t xml:space="preserve"> model, </w:t>
            </w:r>
            <m:oMath>
              <m:r>
                <w:rPr>
                  <w:rFonts w:ascii="Cambria Math" w:eastAsia="Times New Roman" w:hAnsi="Cambria Math" w:cs="Times New Roman"/>
                  <w:color w:val="000000"/>
                  <w:sz w:val="24"/>
                  <w:szCs w:val="24"/>
                  <w:lang w:eastAsia="en-GB"/>
                </w:rPr>
                <m:t>H=a×</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(-b×</m:t>
              </m:r>
              <m:func>
                <m:funcPr>
                  <m:ctrlPr>
                    <w:rPr>
                      <w:rFonts w:ascii="Cambria Math" w:eastAsia="Times New Roman" w:hAnsi="Cambria Math" w:cs="Times New Roman"/>
                      <w:color w:val="000000"/>
                      <w:sz w:val="24"/>
                      <w:szCs w:val="24"/>
                      <w:lang w:eastAsia="en-GB"/>
                    </w:rPr>
                  </m:ctrlPr>
                </m:funcPr>
                <m:fName>
                  <m:r>
                    <m:rPr>
                      <m:sty m:val="p"/>
                    </m:rPr>
                    <w:rPr>
                      <w:rFonts w:ascii="Cambria Math" w:eastAsia="Times New Roman" w:hAnsi="Cambria Math" w:cs="Times New Roman"/>
                      <w:color w:val="000000"/>
                      <w:sz w:val="24"/>
                      <w:szCs w:val="24"/>
                      <w:lang w:eastAsia="en-GB"/>
                    </w:rPr>
                    <m:t>exp</m:t>
                  </m:r>
                  <m:ctrlPr>
                    <w:rPr>
                      <w:rFonts w:ascii="Cambria Math" w:eastAsia="Times New Roman" w:hAnsi="Cambria Math" w:cs="Times New Roman"/>
                      <w:i/>
                      <w:color w:val="000000"/>
                      <w:sz w:val="24"/>
                      <w:szCs w:val="24"/>
                      <w:lang w:eastAsia="en-GB"/>
                    </w:rPr>
                  </m:ctrlPr>
                </m:fName>
                <m:e>
                  <m:d>
                    <m:dPr>
                      <m:ctrlPr>
                        <w:rPr>
                          <w:rFonts w:ascii="Cambria Math" w:eastAsia="Times New Roman" w:hAnsi="Cambria Math" w:cs="Times New Roman"/>
                          <w:i/>
                          <w:color w:val="000000"/>
                          <w:sz w:val="24"/>
                          <w:szCs w:val="24"/>
                          <w:lang w:eastAsia="en-GB"/>
                        </w:rPr>
                      </m:ctrlPr>
                    </m:dPr>
                    <m:e>
                      <m:r>
                        <w:rPr>
                          <w:rFonts w:ascii="Cambria Math" w:eastAsia="Times New Roman" w:hAnsi="Cambria Math" w:cs="Times New Roman"/>
                          <w:color w:val="000000"/>
                          <w:sz w:val="24"/>
                          <w:szCs w:val="24"/>
                          <w:lang w:eastAsia="en-GB"/>
                        </w:rPr>
                        <m:t>-c×D</m:t>
                      </m:r>
                    </m:e>
                  </m:d>
                </m:e>
              </m:func>
              <m:r>
                <w:rPr>
                  <w:rFonts w:ascii="Cambria Math" w:eastAsia="Times New Roman" w:hAnsi="Cambria Math" w:cs="Times New Roman"/>
                  <w:color w:val="000000"/>
                  <w:sz w:val="24"/>
                  <w:szCs w:val="24"/>
                  <w:lang w:eastAsia="en-GB"/>
                </w:rPr>
                <m:t>)</m:t>
              </m:r>
            </m:oMath>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822.2</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6.04</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48</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1.83</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0.0325</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881.4</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5.93</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52.8</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1.67</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0.0295</w:t>
            </w:r>
          </w:p>
        </w:tc>
      </w:tr>
      <w:tr w:rsidR="00476525" w:rsidRPr="00912F7B" w:rsidTr="00F20057">
        <w:trPr>
          <w:trHeight w:val="300"/>
        </w:trPr>
        <w:tc>
          <w:tcPr>
            <w:tcW w:w="5353" w:type="dxa"/>
            <w:tcBorders>
              <w:top w:val="nil"/>
              <w:left w:val="nil"/>
              <w:bottom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 xml:space="preserve">Weibull model, </w:t>
            </w:r>
            <m:oMath>
              <m:r>
                <w:rPr>
                  <w:rFonts w:ascii="Cambria Math" w:eastAsia="Times New Roman" w:hAnsi="Cambria Math" w:cs="Times New Roman"/>
                  <w:color w:val="000000"/>
                  <w:sz w:val="24"/>
                  <w:szCs w:val="24"/>
                  <w:lang w:eastAsia="en-GB"/>
                </w:rPr>
                <m:t>H=a×(1-</m:t>
              </m:r>
              <m:func>
                <m:funcPr>
                  <m:ctrlPr>
                    <w:rPr>
                      <w:rFonts w:ascii="Cambria Math" w:eastAsia="Times New Roman" w:hAnsi="Cambria Math" w:cs="Times New Roman"/>
                      <w:color w:val="000000"/>
                      <w:sz w:val="24"/>
                      <w:szCs w:val="24"/>
                      <w:lang w:eastAsia="en-GB"/>
                    </w:rPr>
                  </m:ctrlPr>
                </m:funcPr>
                <m:fName>
                  <m:r>
                    <m:rPr>
                      <m:sty m:val="p"/>
                    </m:rPr>
                    <w:rPr>
                      <w:rFonts w:ascii="Cambria Math" w:eastAsia="Times New Roman" w:hAnsi="Cambria Math" w:cs="Times New Roman"/>
                      <w:color w:val="000000"/>
                      <w:sz w:val="24"/>
                      <w:szCs w:val="24"/>
                      <w:lang w:eastAsia="en-GB"/>
                    </w:rPr>
                    <m:t>exp</m:t>
                  </m:r>
                  <m:ctrlPr>
                    <w:rPr>
                      <w:rFonts w:ascii="Cambria Math" w:eastAsia="Times New Roman" w:hAnsi="Cambria Math" w:cs="Times New Roman"/>
                      <w:i/>
                      <w:color w:val="000000"/>
                      <w:sz w:val="24"/>
                      <w:szCs w:val="24"/>
                      <w:lang w:eastAsia="en-GB"/>
                    </w:rPr>
                  </m:ctrlPr>
                </m:fName>
                <m:e>
                  <m:d>
                    <m:dPr>
                      <m:ctrlPr>
                        <w:rPr>
                          <w:rFonts w:ascii="Cambria Math" w:eastAsia="Times New Roman" w:hAnsi="Cambria Math" w:cs="Times New Roman"/>
                          <w:i/>
                          <w:color w:val="000000"/>
                          <w:sz w:val="24"/>
                          <w:szCs w:val="24"/>
                          <w:lang w:eastAsia="en-GB"/>
                        </w:rPr>
                      </m:ctrlPr>
                    </m:dPr>
                    <m:e>
                      <m:r>
                        <w:rPr>
                          <w:rFonts w:ascii="Cambria Math" w:eastAsia="Times New Roman" w:hAnsi="Cambria Math" w:cs="Times New Roman"/>
                          <w:color w:val="000000"/>
                          <w:sz w:val="24"/>
                          <w:szCs w:val="24"/>
                          <w:lang w:eastAsia="en-GB"/>
                        </w:rPr>
                        <m:t>-b×</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c</m:t>
                          </m:r>
                        </m:sup>
                      </m:sSup>
                    </m:e>
                  </m:d>
                </m:e>
              </m:func>
              <m:r>
                <w:rPr>
                  <w:rFonts w:ascii="Cambria Math" w:eastAsia="Times New Roman" w:hAnsi="Cambria Math" w:cs="Times New Roman"/>
                  <w:color w:val="000000"/>
                  <w:sz w:val="24"/>
                  <w:szCs w:val="24"/>
                  <w:lang w:eastAsia="en-GB"/>
                </w:rPr>
                <m:t>)</m:t>
              </m:r>
            </m:oMath>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819.2</w:t>
            </w:r>
          </w:p>
        </w:tc>
        <w:tc>
          <w:tcPr>
            <w:tcW w:w="850"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5.97</w:t>
            </w:r>
          </w:p>
        </w:tc>
        <w:tc>
          <w:tcPr>
            <w:tcW w:w="851"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60.4</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0.032</w:t>
            </w:r>
          </w:p>
        </w:tc>
        <w:tc>
          <w:tcPr>
            <w:tcW w:w="992" w:type="dxa"/>
            <w:tcBorders>
              <w:top w:val="nil"/>
              <w:left w:val="nil"/>
              <w:bottom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0.821</w:t>
            </w:r>
          </w:p>
        </w:tc>
        <w:tc>
          <w:tcPr>
            <w:tcW w:w="28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878.3</w:t>
            </w:r>
          </w:p>
        </w:tc>
        <w:tc>
          <w:tcPr>
            <w:tcW w:w="667"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5.86</w:t>
            </w:r>
          </w:p>
        </w:tc>
        <w:tc>
          <w:tcPr>
            <w:tcW w:w="926"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66.4</w:t>
            </w:r>
          </w:p>
        </w:tc>
        <w:tc>
          <w:tcPr>
            <w:tcW w:w="851"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0.0385</w:t>
            </w:r>
          </w:p>
        </w:tc>
        <w:tc>
          <w:tcPr>
            <w:tcW w:w="1134" w:type="dxa"/>
            <w:tcBorders>
              <w:top w:val="nil"/>
              <w:left w:val="nil"/>
              <w:bottom w:val="nil"/>
              <w:right w:val="nil"/>
            </w:tcBorders>
            <w:vAlign w:val="center"/>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r w:rsidRPr="00912F7B">
              <w:rPr>
                <w:rFonts w:ascii="Times New Roman" w:eastAsia="Times New Roman" w:hAnsi="Times New Roman" w:cs="Times New Roman"/>
                <w:color w:val="000000"/>
                <w:sz w:val="24"/>
                <w:szCs w:val="24"/>
                <w:lang w:eastAsia="en-GB"/>
              </w:rPr>
              <w:t>0.768</w:t>
            </w:r>
          </w:p>
        </w:tc>
      </w:tr>
      <w:tr w:rsidR="00476525" w:rsidRPr="00912F7B" w:rsidTr="00F20057">
        <w:trPr>
          <w:trHeight w:val="300"/>
        </w:trPr>
        <w:tc>
          <w:tcPr>
            <w:tcW w:w="5353" w:type="dxa"/>
            <w:tcBorders>
              <w:top w:val="nil"/>
              <w:left w:val="nil"/>
              <w:right w:val="nil"/>
            </w:tcBorders>
            <w:shd w:val="clear" w:color="auto" w:fill="auto"/>
            <w:noWrap/>
            <w:vAlign w:val="center"/>
            <w:hideMark/>
          </w:tcPr>
          <w:p w:rsidR="00476525" w:rsidRPr="00912F7B" w:rsidRDefault="00476525" w:rsidP="00F20057">
            <w:pPr>
              <w:spacing w:after="0" w:line="480" w:lineRule="auto"/>
              <w:rPr>
                <w:rFonts w:ascii="Times New Roman" w:eastAsia="Times New Roman" w:hAnsi="Times New Roman" w:cs="Times New Roman"/>
                <w:color w:val="000000"/>
                <w:sz w:val="24"/>
                <w:szCs w:val="24"/>
                <w:lang w:eastAsia="en-GB"/>
              </w:rPr>
            </w:pPr>
            <w:proofErr w:type="spellStart"/>
            <w:r w:rsidRPr="00912F7B">
              <w:rPr>
                <w:rFonts w:ascii="Times New Roman" w:eastAsia="Times New Roman" w:hAnsi="Times New Roman" w:cs="Times New Roman"/>
                <w:color w:val="000000"/>
                <w:sz w:val="24"/>
                <w:szCs w:val="24"/>
                <w:lang w:eastAsia="en-GB"/>
              </w:rPr>
              <w:t>Michaelis-Menten</w:t>
            </w:r>
            <w:proofErr w:type="spellEnd"/>
            <w:r w:rsidRPr="00912F7B">
              <w:rPr>
                <w:rFonts w:ascii="Times New Roman" w:eastAsia="Times New Roman" w:hAnsi="Times New Roman" w:cs="Times New Roman"/>
                <w:color w:val="000000"/>
                <w:sz w:val="24"/>
                <w:szCs w:val="24"/>
                <w:lang w:eastAsia="en-GB"/>
              </w:rPr>
              <w:t xml:space="preserve"> model, </w:t>
            </w:r>
            <m:oMath>
              <m:r>
                <w:rPr>
                  <w:rFonts w:ascii="Cambria Math" w:eastAsia="Times New Roman" w:hAnsi="Cambria Math" w:cs="Times New Roman"/>
                  <w:color w:val="000000"/>
                  <w:sz w:val="24"/>
                  <w:szCs w:val="24"/>
                  <w:lang w:eastAsia="en-GB"/>
                </w:rPr>
                <m:t>H=a×D/(b+D)</m:t>
              </m:r>
            </m:oMath>
          </w:p>
        </w:tc>
        <w:tc>
          <w:tcPr>
            <w:tcW w:w="851" w:type="dxa"/>
            <w:tcBorders>
              <w:top w:val="nil"/>
              <w:left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817</w:t>
            </w:r>
          </w:p>
        </w:tc>
        <w:tc>
          <w:tcPr>
            <w:tcW w:w="850" w:type="dxa"/>
            <w:tcBorders>
              <w:top w:val="nil"/>
              <w:left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5.94</w:t>
            </w:r>
          </w:p>
        </w:tc>
        <w:tc>
          <w:tcPr>
            <w:tcW w:w="851" w:type="dxa"/>
            <w:tcBorders>
              <w:top w:val="nil"/>
              <w:left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70.1</w:t>
            </w:r>
          </w:p>
        </w:tc>
        <w:tc>
          <w:tcPr>
            <w:tcW w:w="992" w:type="dxa"/>
            <w:tcBorders>
              <w:top w:val="nil"/>
              <w:left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55.2</w:t>
            </w:r>
          </w:p>
        </w:tc>
        <w:tc>
          <w:tcPr>
            <w:tcW w:w="992" w:type="dxa"/>
            <w:tcBorders>
              <w:top w:val="nil"/>
              <w:left w:val="nil"/>
              <w:right w:val="nil"/>
            </w:tcBorders>
            <w:shd w:val="clear" w:color="auto" w:fill="auto"/>
            <w:noWrap/>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NA</w:t>
            </w:r>
          </w:p>
        </w:tc>
        <w:tc>
          <w:tcPr>
            <w:tcW w:w="284"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p>
        </w:tc>
        <w:tc>
          <w:tcPr>
            <w:tcW w:w="850"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876.7</w:t>
            </w:r>
          </w:p>
        </w:tc>
        <w:tc>
          <w:tcPr>
            <w:tcW w:w="667"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5.85</w:t>
            </w:r>
          </w:p>
        </w:tc>
        <w:tc>
          <w:tcPr>
            <w:tcW w:w="926"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71.9</w:t>
            </w:r>
          </w:p>
        </w:tc>
        <w:tc>
          <w:tcPr>
            <w:tcW w:w="851"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49.1</w:t>
            </w:r>
          </w:p>
        </w:tc>
        <w:tc>
          <w:tcPr>
            <w:tcW w:w="1134" w:type="dxa"/>
            <w:tcBorders>
              <w:top w:val="nil"/>
              <w:left w:val="nil"/>
              <w:right w:val="nil"/>
            </w:tcBorders>
            <w:vAlign w:val="center"/>
          </w:tcPr>
          <w:p w:rsidR="00476525" w:rsidRPr="00912F7B" w:rsidRDefault="00476525" w:rsidP="00F20057">
            <w:pPr>
              <w:spacing w:after="0" w:line="480" w:lineRule="auto"/>
              <w:rPr>
                <w:rFonts w:ascii="Times New Roman" w:eastAsia="Times New Roman" w:hAnsi="Times New Roman" w:cs="Times New Roman"/>
                <w:b/>
                <w:bCs/>
                <w:color w:val="000000"/>
                <w:sz w:val="24"/>
                <w:szCs w:val="24"/>
                <w:lang w:eastAsia="en-GB"/>
              </w:rPr>
            </w:pPr>
            <w:r w:rsidRPr="00912F7B">
              <w:rPr>
                <w:rFonts w:ascii="Times New Roman" w:eastAsia="Times New Roman" w:hAnsi="Times New Roman" w:cs="Times New Roman"/>
                <w:b/>
                <w:bCs/>
                <w:color w:val="000000"/>
                <w:sz w:val="24"/>
                <w:szCs w:val="24"/>
                <w:lang w:eastAsia="en-GB"/>
              </w:rPr>
              <w:t>NA</w:t>
            </w:r>
          </w:p>
        </w:tc>
      </w:tr>
    </w:tbl>
    <w:p w:rsidR="00476525"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bCs/>
          <w:sz w:val="24"/>
          <w:szCs w:val="24"/>
          <w:lang w:eastAsia="en-GB"/>
        </w:rPr>
      </w:pPr>
    </w:p>
    <w:p w:rsidR="00476525"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bCs/>
          <w:sz w:val="24"/>
          <w:szCs w:val="24"/>
          <w:lang w:eastAsia="en-GB"/>
        </w:rPr>
      </w:pPr>
    </w:p>
    <w:p w:rsidR="00476525"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bCs/>
          <w:sz w:val="24"/>
          <w:szCs w:val="24"/>
          <w:lang w:eastAsia="en-GB"/>
        </w:rPr>
      </w:pPr>
    </w:p>
    <w:p w:rsidR="00476525"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bCs/>
          <w:sz w:val="24"/>
          <w:szCs w:val="24"/>
          <w:lang w:eastAsia="en-GB"/>
        </w:rPr>
      </w:pPr>
    </w:p>
    <w:p w:rsidR="00476525"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bCs/>
          <w:sz w:val="24"/>
          <w:szCs w:val="24"/>
          <w:lang w:eastAsia="en-GB"/>
        </w:rPr>
      </w:pPr>
    </w:p>
    <w:p w:rsidR="00476525" w:rsidRPr="008B4F80"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lastRenderedPageBreak/>
        <w:t>Table S2</w:t>
      </w:r>
      <w:r w:rsidRPr="008B4F80">
        <w:rPr>
          <w:rFonts w:ascii="Times New Roman" w:eastAsia="Times New Roman" w:hAnsi="Times New Roman" w:cs="Times New Roman"/>
          <w:bCs/>
          <w:sz w:val="24"/>
          <w:szCs w:val="24"/>
          <w:lang w:eastAsia="en-GB"/>
        </w:rPr>
        <w:t xml:space="preserve">. </w:t>
      </w:r>
      <w:proofErr w:type="gramStart"/>
      <w:r w:rsidRPr="008B4F80">
        <w:rPr>
          <w:rFonts w:ascii="Times New Roman" w:eastAsia="Times New Roman" w:hAnsi="Times New Roman" w:cs="Times New Roman"/>
          <w:bCs/>
          <w:sz w:val="24"/>
          <w:szCs w:val="24"/>
          <w:lang w:eastAsia="en-GB"/>
        </w:rPr>
        <w:t xml:space="preserve">Literature equations to predict </w:t>
      </w:r>
      <w:r>
        <w:rPr>
          <w:rFonts w:ascii="Times New Roman" w:eastAsia="Times New Roman" w:hAnsi="Times New Roman" w:cs="Times New Roman"/>
          <w:bCs/>
          <w:sz w:val="24"/>
          <w:szCs w:val="24"/>
          <w:lang w:eastAsia="en-GB"/>
        </w:rPr>
        <w:t xml:space="preserve">tree </w:t>
      </w:r>
      <w:r w:rsidRPr="008B4F80">
        <w:rPr>
          <w:rFonts w:ascii="Times New Roman" w:eastAsia="Times New Roman" w:hAnsi="Times New Roman" w:cs="Times New Roman"/>
          <w:bCs/>
          <w:sz w:val="24"/>
          <w:szCs w:val="24"/>
          <w:lang w:eastAsia="en-GB"/>
        </w:rPr>
        <w:t xml:space="preserve">height </w:t>
      </w:r>
      <w:r>
        <w:rPr>
          <w:rFonts w:ascii="Times New Roman" w:eastAsia="Times New Roman" w:hAnsi="Times New Roman" w:cs="Times New Roman"/>
          <w:bCs/>
          <w:sz w:val="24"/>
          <w:szCs w:val="24"/>
          <w:lang w:eastAsia="en-GB"/>
        </w:rPr>
        <w:t xml:space="preserve">(H) </w:t>
      </w:r>
      <w:r w:rsidRPr="008B4F80">
        <w:rPr>
          <w:rFonts w:ascii="Times New Roman" w:eastAsia="Times New Roman" w:hAnsi="Times New Roman" w:cs="Times New Roman"/>
          <w:bCs/>
          <w:sz w:val="24"/>
          <w:szCs w:val="24"/>
          <w:lang w:eastAsia="en-GB"/>
        </w:rPr>
        <w:t xml:space="preserve">as function of tree diameter </w:t>
      </w:r>
      <w:r>
        <w:rPr>
          <w:rFonts w:ascii="Times New Roman" w:eastAsia="Times New Roman" w:hAnsi="Times New Roman" w:cs="Times New Roman"/>
          <w:bCs/>
          <w:sz w:val="24"/>
          <w:szCs w:val="24"/>
          <w:lang w:eastAsia="en-GB"/>
        </w:rPr>
        <w:t xml:space="preserve">(D) </w:t>
      </w:r>
      <w:r w:rsidRPr="008B4F80">
        <w:rPr>
          <w:rFonts w:ascii="Times New Roman" w:eastAsia="Times New Roman" w:hAnsi="Times New Roman" w:cs="Times New Roman"/>
          <w:bCs/>
          <w:sz w:val="24"/>
          <w:szCs w:val="24"/>
          <w:lang w:eastAsia="en-GB"/>
        </w:rPr>
        <w:t>used in this study.</w:t>
      </w:r>
      <w:proofErr w:type="gramEnd"/>
    </w:p>
    <w:p w:rsidR="00476525" w:rsidRPr="008B4F80" w:rsidRDefault="00476525" w:rsidP="00476525">
      <w:pPr>
        <w:widowControl w:val="0"/>
        <w:autoSpaceDE w:val="0"/>
        <w:autoSpaceDN w:val="0"/>
        <w:adjustRightInd w:val="0"/>
        <w:spacing w:line="480" w:lineRule="auto"/>
        <w:ind w:left="480" w:hanging="480"/>
        <w:rPr>
          <w:rFonts w:ascii="Times New Roman" w:eastAsia="Times New Roman" w:hAnsi="Times New Roman" w:cs="Times New Roman"/>
          <w:sz w:val="24"/>
          <w:szCs w:val="24"/>
          <w:lang w:eastAsia="en-GB"/>
        </w:rPr>
      </w:pPr>
    </w:p>
    <w:tbl>
      <w:tblPr>
        <w:tblW w:w="13954" w:type="dxa"/>
        <w:jc w:val="center"/>
        <w:tblInd w:w="-2743" w:type="dxa"/>
        <w:tblLook w:val="04A0" w:firstRow="1" w:lastRow="0" w:firstColumn="1" w:lastColumn="0" w:noHBand="0" w:noVBand="1"/>
      </w:tblPr>
      <w:tblGrid>
        <w:gridCol w:w="4142"/>
        <w:gridCol w:w="2835"/>
        <w:gridCol w:w="2072"/>
        <w:gridCol w:w="4338"/>
        <w:gridCol w:w="567"/>
      </w:tblGrid>
      <w:tr w:rsidR="00B27B32" w:rsidRPr="008B4F80" w:rsidTr="00B27B32">
        <w:trPr>
          <w:trHeight w:val="300"/>
          <w:jc w:val="center"/>
        </w:trPr>
        <w:tc>
          <w:tcPr>
            <w:tcW w:w="4142" w:type="dxa"/>
            <w:tcBorders>
              <w:top w:val="single" w:sz="4" w:space="0" w:color="auto"/>
              <w:left w:val="nil"/>
              <w:bottom w:val="single" w:sz="4" w:space="0" w:color="auto"/>
              <w:right w:val="nil"/>
            </w:tcBorders>
            <w:shd w:val="clear" w:color="auto" w:fill="auto"/>
            <w:noWrap/>
            <w:vAlign w:val="bottom"/>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Source</w:t>
            </w:r>
          </w:p>
        </w:tc>
        <w:tc>
          <w:tcPr>
            <w:tcW w:w="2835" w:type="dxa"/>
            <w:tcBorders>
              <w:top w:val="single" w:sz="4" w:space="0" w:color="auto"/>
              <w:left w:val="nil"/>
              <w:bottom w:val="single" w:sz="4" w:space="0" w:color="auto"/>
              <w:right w:val="nil"/>
            </w:tcBorders>
            <w:shd w:val="clear" w:color="auto" w:fill="auto"/>
            <w:noWrap/>
            <w:vAlign w:val="bottom"/>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Location</w:t>
            </w:r>
          </w:p>
        </w:tc>
        <w:tc>
          <w:tcPr>
            <w:tcW w:w="2072" w:type="dxa"/>
            <w:tcBorders>
              <w:top w:val="single" w:sz="4" w:space="0" w:color="auto"/>
              <w:left w:val="nil"/>
              <w:bottom w:val="single" w:sz="4" w:space="0" w:color="auto"/>
              <w:right w:val="nil"/>
            </w:tcBorders>
            <w:shd w:val="clear" w:color="auto" w:fill="auto"/>
            <w:noWrap/>
            <w:vAlign w:val="bottom"/>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Type function</w:t>
            </w:r>
          </w:p>
        </w:tc>
        <w:tc>
          <w:tcPr>
            <w:tcW w:w="4338" w:type="dxa"/>
            <w:tcBorders>
              <w:top w:val="single" w:sz="4" w:space="0" w:color="auto"/>
              <w:left w:val="nil"/>
              <w:bottom w:val="single" w:sz="4" w:space="0" w:color="auto"/>
              <w:right w:val="nil"/>
            </w:tcBorders>
            <w:shd w:val="clear" w:color="auto" w:fill="auto"/>
            <w:noWrap/>
            <w:vAlign w:val="bottom"/>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Equation</w:t>
            </w:r>
          </w:p>
        </w:tc>
        <w:tc>
          <w:tcPr>
            <w:tcW w:w="567" w:type="dxa"/>
            <w:tcBorders>
              <w:top w:val="single" w:sz="4" w:space="0" w:color="auto"/>
              <w:left w:val="nil"/>
              <w:bottom w:val="single" w:sz="4" w:space="0" w:color="auto"/>
              <w:right w:val="nil"/>
            </w:tcBorders>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p>
        </w:tc>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citationItems":[{"id":"ITEM-1","itemData":{"DOI":"10.1111/j.1466-8238.2012.00778.x","ISSN":"1466822X","author":[{"dropping-particle":"","family":"Banin","given":"L.","non-dropping-particle":"","parse-names":false,"suffix":""},{"dropping-particle":"","family":"Feldpausch","given":"T. R.","non-dropping-particle":"","parse-names":false,"suffix":""},{"dropping-particle":"","family":"Phillips","given":"O. L.","non-dropping-particle":"","parse-names":false,"suffix":""},{"dropping-particle":"","family":"Baker","given":"T. R.","non-dropping-particle":"","parse-names":false,"suffix":""},{"dropping-particle":"","family":"Lloyd","given":"J.","non-dropping-particle":"","parse-names":false,"suffix":""},{"dropping-particle":"","family":"Affum-Baffoe","given":"K.","non-dropping-particle":"","parse-names":false,"suffix":""},{"dropping-particle":"","family":"Arets","given":"E. J. M. M.","non-dropping-particle":"","parse-names":false,"suffix":""},{"dropping-particle":"","family":"Berry","given":"N. J.","non-dropping-particle":"","parse-names":false,"suffix":""},{"dropping-particle":"","family":"Bradford","given":"M.","non-dropping-particle":"","parse-names":false,"suffix":""},{"dropping-particle":"","family":"Brienen","given":"R. J. W.","non-dropping-particle":"","parse-names":false,"suffix":""},{"dropping-particle":"","family":"Davies","given":"S.","non-dropping-particle":"","parse-names":false,"suffix":""},{"dropping-particle":"","family":"Drescher","given":"M.","non-dropping-particle":"","parse-names":false,"suffix":""},{"dropping-particle":"","family":"Higuchi","given":"N.","non-dropping-particle":"","parse-names":false,"suffix":""},{"dropping-particle":"","family":"Hilbert","given":"D. W.","non-dropping-particle":"","parse-names":false,"suffix":""},{"dropping-particle":"","family":"Hladik","given":"A.","non-dropping-particle":"","parse-names":false,"suffix":""},{"dropping-particle":"","family":"Iida","given":"Y.","non-dropping-particle":"","parse-names":false,"suffix":""},{"dropping-particle":"","family":"Salim","given":"K. Abu","non-dropping-particle":"","parse-names":false,"suffix":""},{"dropping-particle":"","family":"Kassim","given":"A. R.","non-dropping-particle":"","parse-names":false,"suffix":""},{"dropping-particle":"","family":"King","given":"D. A.","non-dropping-particle":"","parse-names":false,"suffix":""},{"dropping-particle":"","family":"Lopez-Gonzalez","given":"G.","non-dropping-particle":"","parse-names":false,"suffix":""},{"dropping-particle":"","family":"Metcalfe","given":"D.","non-dropping-particle":"","parse-names":false,"suffix":""},{"dropping-particle":"","family":"Nilus","given":"R.","non-dropping-particle":"","parse-names":false,"suffix":""},{"dropping-particle":"","family":"Peh","given":"K. S.-H.","non-dropping-particle":"","parse-names":false,"suffix":""},{"dropping-particle":"","family":"Reitsma","given":"J. M.","non-dropping-particle":"","parse-names":false,"suffix":""},{"dropping-particle":"","family":"Sonké","given":"B.","non-dropping-particle":"","parse-names":false,"suffix":""},{"dropping-particle":"","family":"Taedoumg","given":"H.","non-dropping-particle":"","parse-names":false,"suffix":""},{"dropping-particle":"","family":"Tan","given":"S.","non-dropping-particle":"","parse-names":false,"suffix":""},{"dropping-particle":"","family":"White","given":"L.","non-dropping-particle":"","parse-names":false,"suffix":""},{"dropping-particle":"","family":"Wöll","given":"H.","non-dropping-particle":"","parse-names":false,"suffix":""},{"dropping-particle":"","family":"Lewis","given":"S. L.","non-dropping-particle":"","parse-names":false,"suffix":""}],"container-title":"Global Ecology and Biogeography","id":"ITEM-1","issue":"12","issued":{"date-parts":[["2012","12","20"]]},"page":"1179-1190","title":"What controls tropical forest architecture? Testing environmental, structural and floristic drivers","type":"article-journal","volume":"21"},"uris":["http://www.mendeley.com/documents/?uuid=780c9ebb-6e50-4d01-9a7b-a141a9583f9f"]}],"mendeley":{"formattedCitation":"(Banin et al. 2012)","manualFormatting":"Banin et al. (2012)","plainTextFormattedCitation":"(Banin et al. 2012)","previouslyFormattedCitation":"(Banin et al. 2012)"},"properties":{"noteIndex":0},"schema":"https://github.com/citation-style-language/schema/raw/master/csl-citation.json"}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Banin et al. (2012)</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Africa</w:t>
            </w:r>
          </w:p>
        </w:tc>
        <w:tc>
          <w:tcPr>
            <w:tcW w:w="207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Exponential</w:t>
            </w:r>
          </w:p>
        </w:tc>
        <w:tc>
          <w:tcPr>
            <w:tcW w:w="4338"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H=45.1-42.8×</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(-0.025×D)</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sidRPr="008B4F80">
              <w:rPr>
                <w:rFonts w:ascii="Times New Roman" w:eastAsia="Times New Roman" w:hAnsi="Times New Roman" w:cs="Times New Roman"/>
                <w:color w:val="000000"/>
                <w:sz w:val="24"/>
                <w:szCs w:val="24"/>
                <w:lang w:eastAsia="en-GB"/>
              </w:rPr>
              <w:instrText>ADDIN CSL_CITATION {"citationItems":[{"id":"ITEM-1","itemData":{"DOI":"10.1016/j.foreco.2016.04.033","ISSN":"03781127","abstract":"Accurate height-diameter allometry is crucial for the estimation of forest biomass and carbon stocks. Tree height measurements over a large range of diameters and species are urgently needed in the tropics, specifically in central Africa, for the development of locally derived height-diameter allometric equations and the conversion of forest inventory data into biomass estimates, and for the validation of remotely sensed canopy height that mostly rely on a few specific field sites. In this study, we aimed to identify the variation in height-diameter allometry of tropical trees between forest types and among species in central Africa, and we examined the consequences for biomass estimation. Height and diameter were measured for a total of 521 trees over a large range of diameters in two forest types in southern Cameroon, 10–240 cm in the evergreen forest and 11–182 cm in the semi-deciduous forest. A total of ten allometric models including asymptotic and non-asymptotic models were fitted to the height-diameter data. Measured tree diameters, grouped into 10 cm wide diameter classes up to 150, from commercial forest inventory data (0.5 ha plots, n = 2101 and n = 5152, respectively in the evergreen and in the semi-deciduous forests) were converted into biomass estimates using general allometric models with and without including our site-specific height-diameter allometry. Though debated in the literature, our results supported a saturation of tree height with tree diameter both at site and species level, with asymptotic models better depicting the height-diameter allometry. Height-diameter allometry significantly differed between forest types and these local height-diameter equations also differed from published equations. For a given diameter, trees tended to be taller in the semi-deciduous forest than in the evergreen forest, as already reported between moist and wet forests in pantropical studies. Similar trends were reported within species for the three species shared by both forest types, suggesting an environmental control of tree allometry. Because of the low performance of the bioclimatic stress variable to predict tree height and of the slight soil differences between the two forest types, the environmental determinants of height-diameter allometry remain to be explored. In addition to tree allometry variation, structural differences (basal area and density) were also identified between the two forest types using commercial forest inventory data at…","author":[{"dropping-particle":"","family":"Fayolle","given":"Adeline","non-dropping-particle":"","parse-names":false,"suffix":""},{"dropping-particle":"","family":"Loubota Panzou","given":"Grace Jopaul","non-dropping-particle":"","parse-names":false,"suffix":""},{"dropping-particle":"","family":"Drouet","given":"Thomas","non-dropping-particle":"","parse-names":false,"suffix":""},{"dropping-particle":"","family":"Swaine","given":"Michael D.","non-dropping-particle":"","parse-names":false,"suffix":""},{"dropping-particle":"","family":"Bauwens","given":"Sébastien","non-dropping-particle":"","parse-names":false,"suffix":""},{"dropping-particle":"","family":"Vleminckx","given":"Jason","non-dropping-particle":"","parse-names":false,"suffix":""},{"dropping-particle":"","family":"Biwole","given":"Achille","non-dropping-particle":"","parse-names":false,"suffix":""},{"dropping-particle":"","family":"Lejeune","given":"Philippe","non-dropping-particle":"","parse-names":false,"suffix":""},{"dropping-particle":"","family":"Doucet","given":"Jean Louis","non-dropping-particle":"","parse-names":false,"suffix":""}],"container-title":"Forest Ecology and Management","id":"ITEM-1","issued":{"date-parts":[["2016"]]},"page":"42-50","publisher":"Elsevier B.V.","title":"Taller trees, denser stands and greater biomass in semi-deciduous than in evergreen lowland central African forests","type":"article-journal","volume":"374"},"uris":["http://www.mendeley.com/documents/?uuid=bcb58ff2-de94-4a44-b6aa-0d21e517b84b"]}],"mendeley":{"formattedCitation":"(Fayolle et al. 2016)","manualFormatting":"Fayolle et al. (2016)","plainTextFormattedCitation":"(Fayolle et al. 2016)","previouslyFormattedCitation":"(Fayolle et al. 2016)"},"properties":{"noteIndex":0},"schema":"https://github.com/citation-style-language/schema/raw/master/csl-citation.json"}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Fayolle et al. (2016)</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Local (Cameroon)</w:t>
            </w:r>
          </w:p>
        </w:tc>
        <w:tc>
          <w:tcPr>
            <w:tcW w:w="207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proofErr w:type="spellStart"/>
            <w:r w:rsidRPr="008B4F80">
              <w:rPr>
                <w:rFonts w:ascii="Times New Roman" w:eastAsia="Times New Roman" w:hAnsi="Times New Roman" w:cs="Times New Roman"/>
                <w:color w:val="000000"/>
                <w:sz w:val="24"/>
                <w:szCs w:val="24"/>
                <w:lang w:eastAsia="en-GB"/>
              </w:rPr>
              <w:t>Michaelis-Menten</w:t>
            </w:r>
            <w:proofErr w:type="spellEnd"/>
            <w:r w:rsidRPr="008B4F80">
              <w:rPr>
                <w:rFonts w:ascii="Times New Roman" w:eastAsia="Times New Roman" w:hAnsi="Times New Roman" w:cs="Times New Roman"/>
                <w:color w:val="000000"/>
                <w:sz w:val="24"/>
                <w:szCs w:val="24"/>
                <w:lang w:eastAsia="en-GB"/>
              </w:rPr>
              <w:t xml:space="preserve"> </w:t>
            </w:r>
          </w:p>
        </w:tc>
        <w:tc>
          <w:tcPr>
            <w:tcW w:w="4338"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H=55.2×D/(38.2+D)</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w:t>
            </w:r>
          </w:p>
        </w:tc>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{"citationItems":[{"id":"ITEM-1","itemData":{"DOI":"10.5194/bg-8-1081-2011","ISSN":"1726-4189","author":[{"dropping-particle":"","family":"Feldpausch","given":"T. R.","non-dropping-particle":"","parse-names":false,"suffix":""},{"dropping-particle":"","family":"Banin","given":"L.","non-dropping-particle":"","parse-names":false,"suffix":""},{"dropping-particle":"","family":"Phillips","given":"O. L.","non-dropping-particle":"","parse-names":false,"suffix":""},{"dropping-particle":"","family":"Baker","given":"T. R.","non-dropping-particle":"","parse-names":false,"suffix":""},{"dropping-particle":"","family":"Lewis","given":"S. L.","non-dropping-particle":"","parse-names":false,"suffix":""},{"dropping-particle":"","family":"Quesada","given":"C. A.","non-dropping-particle":"","parse-names":false,"suffix":""},{"dropping-particle":"","family":"Affum-Baffoe","given":"K.","non-dropping-particle":"","parse-names":false,"suffix":""},{"dropping-particle":"","family":"Arets","given":"E. J. M. M.","non-dropping-particle":"","parse-names":false,"suffix":""},{"dropping-particle":"","family":"Berry","given":"N. J.","non-dropping-particle":"","parse-names":false,"suffix":""},{"dropping-particle":"","family":"Bird","given":"M.","non-dropping-particle":"","parse-names":false,"suffix":""},{"dropping-particle":"","family":"Brondizio","given":"E. S.","non-dropping-particle":"","parse-names":false,"suffix":""},{"dropping-particle":"","family":"Camargo","given":"P.","non-dropping-particle":"de","parse-names":false,"suffix":""},{"dropping-particle":"","family":"Chave","given":"J.","non-dropping-particle":"","parse-names":false,"suffix":""},{"dropping-particle":"","family":"Djagbletey","given":"G.","non-dropping-particle":"","parse-names":false,"suffix":""},{"dropping-particle":"","family":"Domingues","given":"T. F.","non-dropping-particle":"","parse-names":false,"suffix":""},{"dropping-particle":"","family":"Drescher","given":"M.","non-dropping-particle":"","parse-names":false,"suffix":""},{"dropping-particle":"","family":"Fearnside","given":"P. M.","non-dropping-particle":"","parse-names":false,"suffix":""},{"dropping-particle":"","family":"França","given":"M. B.","non-dropping-particle":"","parse-names":false,"suffix":""},{"dropping-particle":"","family":"Fyllas","given":"N. M.","non-dropping-particle":"","parse-names":false,"suffix":""},{"dropping-particle":"","family":"Lopez-Gonzalez","given":"G.","non-dropping-particle":"","parse-names":false,"suffix":""},{"dropping-particle":"","family":"Hladik","given":"A.","non-dropping-particle":"","parse-names":false,"suffix":""},{"dropping-particle":"","family":"Higuchi","given":"N.","non-dropping-particle":"","parse-names":false,"suffix":""},{"dropping-particle":"","family":"Hunter","given":"M. O.","non-dropping-particle":"","parse-names":false,"suffix":""},{"dropping-particle":"","family":"Iida","given":"Y.","non-dropping-particle":"","parse-names":false,"suffix":""},{"dropping-particle":"","family":"Salim","given":"K. A.","non-dropping-particle":"","parse-names":false,"suffix":""},{"dropping-particle":"","family":"Kassim","given":"A. R.","non-dropping-particle":"","parse-names":false,"suffix":""},{"dropping-particle":"","family":"Keller","given":"M.","non-dropping-particle":"","parse-names":false,"suffix":""},{"dropping-particle":"","family":"Kemp","given":"J.","non-dropping-particle":"","parse-names":false,"suffix":""},{"dropping-particle":"","family":"King","given":"D. A.","non-dropping-particle":"","parse-names":false,"suffix":""},{"dropping-particle":"","family":"Lovett","given":"J. C.","non-dropping-particle":"","parse-names":false,"suffix":""},{"dropping-particle":"","family":"Marimon","given":"B. S.","non-dropping-particle":"","parse-names":false,"suffix":""},{"dropping-particle":"","family":"Marimon-Junior","given":"B. H.","non-dropping-particle":"","parse-names":false,"suffix":""},{"dropping-particle":"","family":"Lenza","given":"E.","non-dropping-particle":"","parse-names":false,"suffix":""},{"dropping-particle":"","family":"Marshall","given":"A. R.","non-dropping-particle":"","parse-names":false,"suffix":""},{"dropping-particle":"","family":"Metcalfe","given":"D. J.","non-dropping-particle":"","parse-names":false,"suffix":""},{"dropping-particle":"","family":"Mitchard","given":"E. T. A.","non-dropping-particle":"","parse-names":false,"suffix":""},{"dropping-particle":"","family":"Moran","given":"E. F.","non-dropping-particle":"","parse-names":false,"suffix":""},{"dropping-particle":"","family":"Nelson","given":"B. W.","non-dropping-particle":"","parse-names":false,"suffix":""},{"dropping-particle":"","family":"Nilus","given":"R.","non-dropping-particle":"","parse-names":false,"suffix":""},{"dropping-particle":"","family":"Nogueira","given":"E. M.","non-dropping-particle":"","parse-names":false,"suffix":""},{"dropping-particle":"","family":"Palace","given":"M.","non-dropping-particle":"","parse-names":false,"suffix":""},{"dropping-particle":"","family":"Patiño","given":"S.","non-dropping-particle":"","parse-names":false,"suffix":""},{"dropping-particle":"","family":"Peh","given":"K. S.-H.","non-dropping-particle":"","parse-names":false,"suffix":""},{"dropping-particle":"","family":"Raventos","given":"M. T.","non-dropping-particle":"","parse-names":false,"suffix":""},{"dropping-particle":"","family":"Reitsma","given":"J. M.","non-dropping-particle":"","parse-names":false,"suffix":""},{"dropping-particle":"","family":"Saiz","given":"G.","non-dropping-particle":"","parse-names":false,"suffix":""},{"dropping-particle":"","family":"Schrodt","given":"F.","non-dropping-particle":"","parse-names":false,"suffix":""},{"dropping-particle":"","family":"Sonké","given":"B.","non-dropping-particle":"","parse-names":false,"suffix":""},{"dropping-particle":"","family":"Taedoumg","given":"H. E.","non-dropping-particle":"","parse-names":false,"suffix":""},{"dropping-particle":"","family":"Tan","given":"S.","non-dropping-particle":"","parse-names":false,"suffix":""},{"dropping-particle":"","family":"White","given":"L.","non-dropping-particle":"","parse-names":false,"suffix":""},{"dropping-particle":"","family":"Wöll","given":"H.","non-dropping-particle":"","parse-names":false,"suffix":""},{"dropping-particle":"","family":"Lloyd","given":"J.","non-dropping-particle":"","parse-names":false,"suffix":""}],"container-title":"Biogeosciences","id":"ITEM-1","issue":"5","issued":{"date-parts":[["2011","5","5"]]},"page":"1081-1106","title":"Height-diameter allometry of tropical forest trees","type":"article-journal","volume":"8"},"uris":["http://www.mendeley.com/documents/?uuid=f8abcff5-c43a-431a-8388-efa7779eb2ab"]}],"mendeley":{"formattedCitation":"(Feldpausch et al. 2011)","manualFormatting":"Feldpausch et al. (2011)","plainTextFormattedCitation":"(Feldpausch et al. 2011)","previouslyFormattedCitation":"(Feldpausch et al. 2011)"},"properties":{"noteIndex":0},"schema":"https://github.com/citation-style-language/schema/raw/master/csl-citation.json"}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Feldpausch et al. (2011)</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Central Africa</w:t>
            </w:r>
          </w:p>
        </w:tc>
        <w:tc>
          <w:tcPr>
            <w:tcW w:w="207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Power</w:t>
            </w:r>
          </w:p>
        </w:tc>
        <w:tc>
          <w:tcPr>
            <w:tcW w:w="4338"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func>
                  <m:funcPr>
                    <m:ctrlPr>
                      <w:rPr>
                        <w:rFonts w:ascii="Cambria Math" w:eastAsia="Times New Roman" w:hAnsi="Cambria Math" w:cs="Times New Roman"/>
                        <w:color w:val="000000"/>
                        <w:sz w:val="24"/>
                        <w:szCs w:val="24"/>
                        <w:lang w:eastAsia="en-GB"/>
                      </w:rPr>
                    </m:ctrlPr>
                  </m:funcPr>
                  <m:fName>
                    <m:r>
                      <m:rPr>
                        <m:sty m:val="p"/>
                      </m:rPr>
                      <w:rPr>
                        <w:rFonts w:ascii="Cambria Math" w:eastAsia="Times New Roman" w:hAnsi="Cambria Math" w:cs="Times New Roman"/>
                        <w:color w:val="000000"/>
                        <w:sz w:val="24"/>
                        <w:szCs w:val="24"/>
                        <w:lang w:eastAsia="en-GB"/>
                      </w:rPr>
                      <m:t>log</m:t>
                    </m:r>
                  </m:fName>
                  <m:e>
                    <m:d>
                      <m:dPr>
                        <m:ctrlPr>
                          <w:rPr>
                            <w:rFonts w:ascii="Cambria Math" w:eastAsia="Times New Roman" w:hAnsi="Cambria Math" w:cs="Times New Roman"/>
                            <w:i/>
                            <w:color w:val="000000"/>
                            <w:sz w:val="24"/>
                            <w:szCs w:val="24"/>
                            <w:lang w:eastAsia="en-GB"/>
                          </w:rPr>
                        </m:ctrlPr>
                      </m:dPr>
                      <m:e>
                        <m:r>
                          <w:rPr>
                            <w:rFonts w:ascii="Cambria Math" w:eastAsia="Times New Roman" w:hAnsi="Cambria Math" w:cs="Times New Roman"/>
                            <w:color w:val="000000"/>
                            <w:sz w:val="24"/>
                            <w:szCs w:val="24"/>
                            <w:lang w:eastAsia="en-GB"/>
                          </w:rPr>
                          <m:t>H</m:t>
                        </m:r>
                      </m:e>
                    </m:d>
                  </m:e>
                </m:func>
                <m:r>
                  <w:rPr>
                    <w:rFonts w:ascii="Cambria Math" w:eastAsia="Times New Roman" w:hAnsi="Cambria Math" w:cs="Times New Roman"/>
                    <w:color w:val="000000"/>
                    <w:sz w:val="24"/>
                    <w:szCs w:val="24"/>
                    <w:lang w:eastAsia="en-GB"/>
                  </w:rPr>
                  <m:t>=1.15+0.55×</m:t>
                </m:r>
                <m:r>
                  <m:rPr>
                    <m:sty m:val="p"/>
                  </m:rPr>
                  <w:rPr>
                    <w:rFonts w:ascii="Cambria Math" w:eastAsia="Times New Roman" w:hAnsi="Cambria Math" w:cs="Times New Roman"/>
                    <w:color w:val="000000"/>
                    <w:sz w:val="24"/>
                    <w:szCs w:val="24"/>
                    <w:lang w:eastAsia="en-GB"/>
                  </w:rPr>
                  <m:t>log⁡</m:t>
                </m:r>
                <m:r>
                  <w:rPr>
                    <w:rFonts w:ascii="Cambria Math" w:eastAsia="Times New Roman" w:hAnsi="Cambria Math" w:cs="Times New Roman"/>
                    <w:color w:val="000000"/>
                    <w:sz w:val="24"/>
                    <w:szCs w:val="24"/>
                    <w:lang w:eastAsia="en-GB"/>
                  </w:rPr>
                  <m:t>(D)</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w:t>
            </w:r>
          </w:p>
        </w:tc>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sidRPr="008B4F80">
              <w:rPr>
                <w:rFonts w:ascii="Times New Roman" w:eastAsia="Times New Roman" w:hAnsi="Times New Roman" w:cs="Times New Roman"/>
                <w:color w:val="000000"/>
                <w:sz w:val="24"/>
                <w:szCs w:val="24"/>
                <w:lang w:eastAsia="en-GB"/>
              </w:rPr>
              <w:instrText>ADDIN CSL_CITATION {"citationItems":[{"id":"ITEM-1","itemData":{"DOI":"10.5194/bg-9-3381-2012","ISSN":"17264170","abstract":"Above-ground tropical tree biomass and carbon storage estimates commonly ignore tree height. We estimate the effect of incorporating height (H) on forest biomass estimates using 37 625 concomitant H and diameter measurements (n = 327 plots) and 1816 harvested trees (n = 21 plots) tropics-wide to answer the following questions:\\r\\n\\r\\n1. For trees of known biomass (from destructive harvests) which H-model form and geographic scale (plot, region, and continent) most reduces biomass estimate uncertainty?\\r\\n\\r\\n2. How much does including H relationship estimates derived in (1) reduce uncertainty in biomass estimates across 327 plots spanning four continents?\\r\\n\\r\\n3. What effect does the inclusion of H in biomass estimates have on plot- and continental-scale forest biomass estimates?\\r\\n\\r\\nThe mean relative error in biomass estimates of the destructively harvested trees was half (mean 0.06) when including H, compared to excluding H (mean 0.13). The power- and Weibull-H asymptotic model provided the greatest reduction in uncertainty, with the regional Weibull-H model preferred because it reduces uncertainty in smaller-diameter classes that contain the bulk of biomass per hectare in most forests. Propagating the relationships from destructively harvested tree biomass to each of the 327 plots from across the tropics shows errors are reduced from 41.8 Mg ha−1 (range 6.6 to 112.4) to 8.0 Mg ha−1 (−2.5 to 23.0) when including $H$. For all plots, above-ground live biomass was 52.2±17.3 Mg ha−1 lower when including H estimates (13%), with the greatest reductions in estimated biomass in Brazilian Shield forests and relatively no change in the Guyana Shield, central Africa and southeast Asia. We show fundamentally different stand structure across the four forested tropical continents, which affects biomass reductions due to $H$. African forests store a greater portion of total biomass in large-diameter trees and trees are on average larger in diameter. This contrasts to forests on all other continents where smaller-diameter trees contain the greatest fractions of total biomass. After accounting for variation in $H$, total biomass per hectare is greatest in Australia, the Guyana Shield, and Asia and lowest in W. Africa, W. Amazonia, and the Brazilian Shield (descending order). Thus, if closed canopy tropical forests span 1668 million km2 and store 285 Pg C, then the overestimate is 35 Pg C if H is ignored, and the sampled plots are an unbiased statistical represent…","author":[{"dropping-particle":"","family":"Feldpausch","given":"T. R.","non-dropping-particle":"","parse-names":false,"suffix":""},{"dropping-particle":"","family":"Lloyd","given":"J.","non-dropping-particle":"","parse-names":false,"suffix":""},{"dropping-particle":"","family":"Lewis","given":"S. L.","non-dropping-particle":"","parse-names":false,"suffix":""},{"dropping-particle":"","family":"Brienen","given":"R. J.W.","non-dropping-particle":"","parse-names":false,"suffix":""},{"dropping-particle":"","family":"Gloor","given":"M.","non-dropping-particle":"","parse-names":false,"suffix":""},{"dropping-particle":"","family":"Monteagudo Mendoza","given":"A.","non-dropping-particle":"","parse-names":false,"suffix":""},{"dropping-particle":"","family":"Lopez-Gonzalez","given":"G.","non-dropping-particle":"","parse-names":false,"suffix":""},{"dropping-particle":"","family":"Banin","given":"L.","non-dropping-particle":"","parse-names":false,"suffix":""},{"dropping-particle":"","family":"Abu Salim","given":"K.","non-dropping-particle":"","parse-names":false,"suffix":""},{"dropping-particle":"","family":"Affum-Baffoe","given":"K.","non-dropping-particle":"","parse-names":false,"suffix":""},{"dropping-particle":"","family":"Alexiades","given":"M.","non-dropping-particle":"","parse-names":false,"suffix":""},{"dropping-particle":"","family":"Almeida","given":"S.","non-dropping-particle":"","parse-names":false,"suffix":""},{"dropping-particle":"","family":"Amaral","given":"I.","non-dropping-particle":"","parse-names":false,"suffix":""},{"dropping-particle":"","family":"Andrade","given":"A.","non-dropping-particle":"","parse-names":false,"suffix":""},{"dropping-particle":"","family":"Aragão","given":"L. E.O.C.","non-dropping-particle":"","parse-names":false,"suffix":""},{"dropping-particle":"","family":"Araujo Murakami","given":"A.","non-dropping-particle":"","parse-names":false,"suffix":""},{"dropping-particle":"","family":"Arets","given":"E. J.M.","non-dropping-particle":"","parse-names":false,"suffix":""},{"dropping-particle":"","family":"Arroyo","given":"L.","non-dropping-particle":"","parse-names":false,"suffix":""},{"dropping-particle":"","family":"Aymard C.","given":"G. A.","non-dropping-particle":"","parse-names":false,"suffix":""},{"dropping-particle":"","family":"Baker","given":"T. R.","non-dropping-particle":"","parse-names":false,"suffix":""},{"dropping-particle":"","family":"Bánki","given":"O. S.","non-dropping-particle":"","parse-names":false,"suffix":""},{"dropping-particle":"","family":"Berry","given":"N. J.","non-dropping-particle":"","parse-names":false,"suffix":""},{"dropping-particle":"","family":"Cardozo","given":"N.","non-dropping-particle":"","parse-names":false,"suffix":""},{"dropping-particle":"","family":"Chave","given":"J.","non-dropping-particle":"","parse-names":false,"suffix":""},{"dropping-particle":"","family":"Comiskey","given":"J. A.","non-dropping-particle":"","parse-names":false,"suffix":""},{"dropping-particle":"","family":"Alvarez","given":"E.","non-dropping-particle":"","parse-names":false,"suffix":""},{"dropping-particle":"","family":"Oliveira","given":"A.","non-dropping-particle":"De","parse-names":false,"suffix":""},{"dropping-particle":"","family":"Fiore","given":"A.","non-dropping-particle":"Di","parse-names":false,"suffix":""},{"dropping-particle":"","family":"Djagbletey","given":"G.","non-dropping-particle":"","parse-names":false,"suffix":""},{"dropping-particle":"","family":"Domingues","given":"T. F.","non-dropping-particle":"","parse-names":false,"suffix":""},{"dropping-particle":"","family":"Erwin","given":"T. L.","non-dropping-particle":"","parse-names":false,"suffix":""},{"dropping-particle":"","family":"Fearnside","given":"P. M.","non-dropping-particle":"","parse-names":false,"suffix":""},{"dropping-particle":"","family":"França","given":"M. B.","non-dropping-particle":"","parse-names":false,"suffix":""},{"dropping-particle":"","family":"Freitas","given":"M. A.","non-dropping-particle":"","parse-names":false,"suffix":""},{"dropping-particle":"","family":"Higuchi","given":"N.","non-dropping-particle":"","parse-names":false,"suffix":""},{"dropping-particle":"","family":"Honorio C.","given":"E.","non-dropping-particle":"","parse-names":false,"suffix":""},{"dropping-particle":"","family":"Iida","given":"Y.","non-dropping-particle":"","parse-names":false,"suffix":""},{"dropping-particle":"","family":"Jiménez","given":"E.","non-dropping-particle":"","parse-names":false,"suffix":""},{"dropping-particle":"","family":"Kassim","given":"A. R.","non-dropping-particle":"","parse-names":false,"suffix":""},{"dropping-particle":"","family":"Killeen","given":"T. J.","non-dropping-particle":"","parse-names":false,"suffix":""},{"dropping-particle":"","family":"Laurance","given":"W. F.","non-dropping-particle":"","parse-names":false,"suffix":""},{"dropping-particle":"","family":"Lovett","given":"J. C.","non-dropping-particle":"","parse-names":false,"suffix":""},{"dropping-particle":"","family":"Malhi","given":"Y.","non-dropping-particle":"","parse-names":false,"suffix":""},{"dropping-particle":"","family":"Marimon","given":"B. S.","non-dropping-particle":"","parse-names":false,"suffix":""},{"dropping-particle":"","family":"Marimon-Junior","given":"B. H.","non-dropping-particle":"","parse-names":false,"suffix":""},{"dropping-particle":"","family":"Lenza","given":"E.","non-dropping-particle":"","parse-names":false,"suffix":""},{"dropping-particle":"","family":"Marshall","given":"A. R.","non-dropping-particle":"","parse-names":false,"suffix":""},{"dropping-particle":"","family":"Mendoza","given":"C.","non-dropping-particle":"","parse-names":false,"suffix":""},{"dropping-particle":"","family":"Metcalfe","given":"D. J.","non-dropping-particle":"","parse-names":false,"suffix":""},{"dropping-particle":"","family":"Mitchard","given":"E. T.A.","non-dropping-particle":"","parse-names":false,"suffix":""},{"dropping-particle":"","family":"Neill","given":"D. A.","non-dropping-particle":"","parse-names":false,"suffix":""},{"dropping-particle":"","family":"Nelson","given":"B. W.","non-dropping-particle":"","parse-names":false,"suffix":""},{"dropping-particle":"","family":"Nilus","given":"R.","non-dropping-particle":"","parse-names":false,"suffix":""},{"dropping-particle":"","family":"Nogueira","given":"E. M.","non-dropping-particle":"","parse-names":false,"suffix":""},{"dropping-particle":"","family":"Parada","given":"A.","non-dropping-particle":"","parse-names":false,"suffix":""},{"dropping-particle":"","family":"S.-H. Peh","given":"K.","non-dropping-particle":"","parse-names":false,"suffix":""},{"dropping-particle":"","family":"Pena Cruz","given":"A.","non-dropping-particle":"","parse-names":false,"suffix":""},{"dropping-particle":"","family":"Peñuela","given":"M. C.","non-dropping-particle":"","parse-names":false,"suffix":""},{"dropping-particle":"","family":"Pitman","given":"N. C.A.","non-dropping-particle":"","parse-names":false,"suffix":""},{"dropping-particle":"","family":"Prieto","given":"A.","non-dropping-particle":"","parse-names":false,"suffix":""},{"dropping-particle":"","family":"Quesada","given":"C. A.","non-dropping-particle":"","parse-names":false,"suffix":""},{"dropping-particle":"","family":"Ramírez","given":"F.","non-dropping-particle":"","parse-names":false,"suffix":""},{"dropping-particle":"","family":"Ramírez-Angulo","given":"H.","non-dropping-particle":"","parse-names":false,"suffix":""},{"dropping-particle":"","family":"Reitsma","given":"J. M.","non-dropping-particle":"","parse-names":false,"suffix":""},{"dropping-particle":"","family":"Rudas","given":"A.","non-dropping-particle":"","parse-names":false,"suffix":""},{"dropping-particle":"","family":"Saiz","given":"G.","non-dropping-particle":"","parse-names":false,"suffix":""},{"dropping-particle":"","family":"Salomão","given":"R. P.","non-dropping-particle":"","parse-names":false,"suffix":""},{"dropping-particle":"","family":"Schwarz","given":"M.","non-dropping-particle":"","parse-names":false,"suffix":""},{"dropping-particle":"","family":"Silva","given":"N.","non-dropping-particle":"","parse-names":false,"suffix":""},{"dropping-particle":"","family":"Silva-Espejo","given":"J. E.","non-dropping-particle":"","parse-names":false,"suffix":""},{"dropping-particle":"","family":"Silveira","given":"M.","non-dropping-particle":"","parse-names":false,"suffix":""},{"dropping-particle":"","family":"Sonké","given":"B.","non-dropping-particle":"","parse-names":false,"suffix":""},{"dropping-particle":"","family":"Stropp","given":"J.","non-dropping-particle":"","parse-names":false,"suffix":""},{"dropping-particle":"","family":"Taedoumg","given":"H. E.","non-dropping-particle":"","parse-names":false,"suffix":""},{"dropping-particle":"","family":"Tan","given":"S.","non-dropping-particle":"","parse-names":false,"suffix":""},{"dropping-particle":"","family":"Steege","given":"H.","non-dropping-particle":"Ter","parse-names":false,"suffix":""},{"dropping-particle":"","family":"Terborgh","given":"J.","non-dropping-particle":"","parse-names":false,"suffix":""},{"dropping-particle":"","family":"Torello-Raventos","given":"M.","non-dropping-particle":"","parse-names":false,"suffix":""},{"dropping-particle":"","family":"Heijden","given":"G. M.F.","non-dropping-particle":"Van Der","parse-names":false,"suffix":""},{"dropping-particle":"","family":"Vásquez","given":"R.","non-dropping-particle":"","parse-names":false,"suffix":""},{"dropping-particle":"","family":"Vilanova","given":"E.","non-dropping-particle":"","parse-names":false,"suffix":""},{"dropping-particle":"","family":"Vos","given":"V. A.","non-dropping-particle":"","parse-names":false,"suffix":""},{"dropping-particle":"","family":"White","given":"L.","non-dropping-particle":"","parse-names":false,"suffix":""},{"dropping-particle":"","family":"Willcock","given":"S.","non-dropping-particle":"","parse-names":false,"suffix":""},{"dropping-particle":"","family":"Woell","given":"H.","non-dropping-particle":"","parse-names":false,"suffix":""},{"dropping-particle":"","family":"Phillips","given":"O. L.","non-dropping-particle":"","parse-names":false,"suffix":""}],"container-title":"Biogeosciences","id":"ITEM-1","issue":"8","issued":{"date-parts":[["2012"]]},"page":"3381-3403","title":"Tree height integrated into pantropical forest biomass estimates","type":"article-journal","volume":"9"},"uris":["http://www.mendeley.com/documents/?uuid=4bf6a6b5-fb34-4402-ac24-a1621df5a5ca"]}],"mendeley":{"formattedCitation":"(Feldpausch et al. 2012)","manualFormatting":"Feldpausch et al. (2012)","plainTextFormattedCitation":"(Feldpausch et al. 2012)","previouslyFormattedCitation":"(Feldpausch et al. 2012)"},"properties":{"noteIndex":0},"schema":"https://github.com/citation-style-language/schema/raw/master/csl-citation.json"}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Feldpausch et al. (2012)</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Central Africa</w:t>
            </w:r>
          </w:p>
        </w:tc>
        <w:tc>
          <w:tcPr>
            <w:tcW w:w="207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Weibull</w:t>
            </w:r>
          </w:p>
        </w:tc>
        <w:tc>
          <w:tcPr>
            <w:tcW w:w="4338"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H=50.45×(1-</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(-0.047×</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0.812</m:t>
                    </m:r>
                  </m:sup>
                </m:sSup>
                <m:r>
                  <w:rPr>
                    <w:rFonts w:ascii="Cambria Math" w:eastAsia="Times New Roman" w:hAnsi="Cambria Math" w:cs="Times New Roman"/>
                    <w:color w:val="000000"/>
                    <w:sz w:val="24"/>
                    <w:szCs w:val="24"/>
                    <w:lang w:eastAsia="en-GB"/>
                  </w:rPr>
                  <m:t>)</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w:t>
            </w:r>
          </w:p>
        </w:tc>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sidRPr="008B4F80">
              <w:rPr>
                <w:rFonts w:ascii="Times New Roman" w:eastAsia="Times New Roman" w:hAnsi="Times New Roman" w:cs="Times New Roman"/>
                <w:color w:val="000000"/>
                <w:sz w:val="24"/>
                <w:szCs w:val="24"/>
                <w:lang w:eastAsia="en-GB"/>
              </w:rPr>
              <w:instrText>ADDIN CSL_CITATION {"citationItems":[{"id":"ITEM-1","itemData":{"DOI":"10.1038/ncomms3269","ISSN":"2041-1723","PMID":"23912554","abstract":"Policies to reduce emissions from deforestation and forest degradation largely depend on accurate estimates of tropical forest carbon stocks. Here we present the first field-based carbon stock data for the Central Congo Basin in Yangambi, Democratic Republic of Congo. We find an average aboveground carbon stock of 162 ± 20  Mg  C  ha(-1) for intact old-growth forest, which is significantly lower than stocks recorded in the outer regions of the Congo Basin. The best available tree height-diameter relationships derived for Central Africa do not render accurate canopy height estimates for our study area. Aboveground carbon stocks would be overestimated by 24% if these inaccurate relationships were used. The studied forests have a lower stature compared with forests in the outer regions of the basin, which confirms remotely sensed patterns. Additionally, we find an average soil carbon stock of 111 ± 24  Mg  C  ha(-1), slightly influenced by the current land-use change.","author":[{"dropping-particle":"","family":"Kearsley","given":"Elizabeth","non-dropping-particle":"","parse-names":false,"suffix":""},{"dropping-particle":"","family":"Haulleville","given":"Thales","non-dropping-particle":"de","parse-names":false,"suffix":""},{"dropping-particle":"","family":"Hufkens","given":"Koen","non-dropping-particle":"","parse-names":false,"suffix":""},{"dropping-particle":"","family":"Kidimbu","given":"Alidé","non-dropping-particle":"","parse-names":false,"suffix":""},{"dropping-particle":"","family":"Toirambe","given":"Benjamin","non-dropping-particle":"","parse-names":false,"suffix":""},{"dropping-particle":"","family":"Baert","given":"Geert","non-dropping-particle":"","parse-names":false,"suffix":""},{"dropping-particle":"","family":"Huygens","given":"Dries","non-dropping-particle":"","parse-names":false,"suffix":""},{"dropping-particle":"","family":"Kebede","given":"Yodit","non-dropping-particle":"","parse-names":false,"suffix":""},{"dropping-particle":"","family":"Defourny","given":"Pierre","non-dropping-particle":"","parse-names":false,"suffix":""},{"dropping-particle":"","family":"Bogaert","given":"Jan","non-dropping-particle":"","parse-names":false,"suffix":""},{"dropping-particle":"","family":"Beeckman","given":"Hans","non-dropping-particle":"","parse-names":false,"suffix":""},{"dropping-particle":"","family":"Steppe","given":"Kathy","non-dropping-particle":"","parse-names":false,"suffix":""},{"dropping-particle":"","family":"Boeckx","given":"Pascal","non-dropping-particle":"","parse-names":false,"suffix":""},{"dropping-particle":"","family":"Verbeeck","given":"Hans","non-dropping-particle":"","parse-names":false,"suffix":""}],"container-title":"Nature communications","id":"ITEM-1","issued":{"date-parts":[["2013","1"]]},"page":"2269","title":"Conventional tree height-diameter relationships significantly overestimate aboveground carbon stocks in the Central Congo Basin.","type":"article-journal","volume":"4"},"uris":["http://www.mendeley.com/documents/?uuid=61adde84-9f1a-4432-8c11-13d4e19d4f59"]}],"mendeley":{"formattedCitation":"(Kearsley et al. 2013)","manualFormatting":"Kearsley et al. (2013)","plainTextFormattedCitation":"(Kearsley et al. 2013)","previouslyFormattedCitation":"(Kearsley et al. 2013)"},"properties":{"noteIndex":0},"schema":"https://github.com/citation-style-language/schema/raw/master/csl-citation.json"}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Kearsley et al. (2013)</w:t>
            </w:r>
            <w:r w:rsidRPr="008B4F80">
              <w:rPr>
                <w:rStyle w:val="Appelnotedebasdep"/>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Mixed</w:t>
            </w:r>
          </w:p>
        </w:tc>
        <w:tc>
          <w:tcPr>
            <w:tcW w:w="2835"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Local (DRC)</w:t>
            </w:r>
          </w:p>
        </w:tc>
        <w:tc>
          <w:tcPr>
            <w:tcW w:w="2072"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Exponential</w:t>
            </w:r>
          </w:p>
        </w:tc>
        <w:tc>
          <w:tcPr>
            <w:tcW w:w="4338" w:type="dxa"/>
            <w:tcBorders>
              <w:top w:val="nil"/>
              <w:left w:val="nil"/>
              <w:bottom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H=36.35-31.6×</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(-0.022×D)</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w:t>
            </w:r>
          </w:p>
        </w:tc>
        <w:bookmarkStart w:id="0" w:name="_GoBack"/>
        <w:bookmarkEnd w:id="0"/>
      </w:tr>
      <w:tr w:rsidR="00B27B32" w:rsidRPr="008B4F80" w:rsidTr="00B27B32">
        <w:trPr>
          <w:trHeight w:val="300"/>
          <w:jc w:val="center"/>
        </w:trPr>
        <w:tc>
          <w:tcPr>
            <w:tcW w:w="4142" w:type="dxa"/>
            <w:tcBorders>
              <w:top w:val="nil"/>
              <w:left w:val="nil"/>
              <w:bottom w:val="nil"/>
              <w:right w:val="nil"/>
            </w:tcBorders>
            <w:shd w:val="clear" w:color="auto" w:fill="auto"/>
            <w:noWrap/>
            <w:vAlign w:val="center"/>
            <w:hideMark/>
          </w:tcPr>
          <w:p w:rsidR="00B27B32" w:rsidRPr="008B4F80" w:rsidRDefault="00B27B32" w:rsidP="006C1290">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sidRPr="008B4F80">
              <w:rPr>
                <w:rFonts w:ascii="Times New Roman" w:eastAsia="Times New Roman" w:hAnsi="Times New Roman" w:cs="Times New Roman"/>
                <w:color w:val="000000"/>
                <w:sz w:val="24"/>
                <w:szCs w:val="24"/>
                <w:lang w:eastAsia="en-GB"/>
              </w:rPr>
              <w:instrText>ADDIN CSL_CITATION {"citationItems":[{"id":"ITEM-1","itemData":{"DOI":"10.1038/ncomms3269","ISSN":"2041-1723","PMID":"23912554","abstract":"Policies to reduce emissions from deforestation and forest degradation largely depend on accurate estimates of tropical forest carbon stocks. Here we present the first field-based carbon stock data for the Central Congo Basin in Yangambi, Democratic Republic of Congo. We find an average aboveground carbon stock of 162 ± 20  Mg  C  ha(-1) for intact old-growth forest, which is significantly lower than stocks recorded in the outer regions of the Congo Basin. The best available tree height-diameter relationships derived for Central Africa do not render accurate canopy height estimates for our study area. Aboveground carbon stocks would be overestimated by 24% if these inaccurate relationships were used. The studied forests have a lower stature compared with forests in the outer regions of the basin, which confirms remotely sensed patterns. Additionally, we find an average soil carbon stock of 111 ± 24  Mg  C  ha(-1), slightly influenced by the current land-use change.","author":[{"dropping-particle":"","family":"Kearsley","given":"Elizabeth","non-dropping-particle":"","parse-names":false,"suffix":""},{"dropping-particle":"","family":"Haulleville","given":"Thales","non-dropping-particle":"de","parse-names":false,"suffix":""},{"dropping-particle":"","family":"Hufkens","given":"Koen","non-dropping-particle":"","parse-names":false,"suffix":""},{"dropping-particle":"","family":"Kidimbu","given":"Alidé","non-dropping-particle":"","parse-names":false,"suffix":""},{"dropping-particle":"","family":"Toirambe","given":"Benjamin","non-dropping-particle":"","parse-names":false,"suffix":""},{"dropping-particle":"","family":"Baert","given":"Geert","non-dropping-particle":"","parse-names":false,"suffix":""},{"dropping-particle":"","family":"Huygens","given":"Dries","non-dropping-particle":"","parse-names":false,"suffix":""},{"dropping-particle":"","family":"Kebede","given":"Yodit","non-dropping-particle":"","parse-names":false,"suffix":""},{"dropping-particle":"","family":"Defourny","given":"Pierre","non-dropping-particle":"","parse-names":false,"suffix":""},{"dropping-particle":"","family":"Bogaert","given":"Jan","non-dropping-particle":"","parse-names":false,"suffix":""},{"dropping-particle":"","family":"Beeckman","given":"Hans","non-dropping-particle":"","parse-names":false,"suffix":""},{"dropping-particle":"","family":"Steppe","given":"Kathy","non-dropping-particle":"","parse-names":false,"suffix":""},{"dropping-particle":"","family":"Boeckx","given":"Pascal","non-dropping-particle":"","parse-names":false,"suffix":""},{"dropping-particle":"","family":"Verbeeck","given":"Hans","non-dropping-particle":"","parse-names":false,"suffix":""}],"container-title":"Nature communications","id":"ITEM-1","issued":{"date-parts":[["2013","1"]]},"page":"2269","title":"Conventional tree height-diameter relationships significantly overestimate aboveground carbon stocks in the Central Congo Basin.","type":"article-journal","volume":"4"},"uris":["http://www.mendeley.com/documents/?uuid=61adde84-9f1a-4432-8c11-13d4e19d4f59"]}],"mendeley":{"formattedCitation":"(Kearsley et al. 2013)","manualFormatting":"Kearsley et al. (2013)","plainTextFormattedCitation":"(Kearsley et al. 2013)","previouslyFormattedCitation":"(Kearsley et al. 2013)"},"properties":{"noteIndex":0},"schema":"https://github.com/citation-style-language/schema/raw/master/csl-citation.json"}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Kearsley et al. (2013)</w:t>
            </w:r>
            <w:r w:rsidRPr="008B4F80">
              <w:rPr>
                <w:rStyle w:val="Appelnotedebasdep"/>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Monodominant</w:t>
            </w:r>
          </w:p>
        </w:tc>
        <w:tc>
          <w:tcPr>
            <w:tcW w:w="2835" w:type="dxa"/>
            <w:tcBorders>
              <w:top w:val="nil"/>
              <w:left w:val="nil"/>
              <w:bottom w:val="nil"/>
              <w:right w:val="nil"/>
            </w:tcBorders>
            <w:shd w:val="clear" w:color="auto" w:fill="auto"/>
            <w:noWrap/>
            <w:vAlign w:val="center"/>
            <w:hideMark/>
          </w:tcPr>
          <w:p w:rsidR="00B27B32" w:rsidRPr="008B4F80" w:rsidRDefault="00B27B32" w:rsidP="006C1290">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Local (DRC)</w:t>
            </w:r>
          </w:p>
        </w:tc>
        <w:tc>
          <w:tcPr>
            <w:tcW w:w="2072" w:type="dxa"/>
            <w:tcBorders>
              <w:top w:val="nil"/>
              <w:left w:val="nil"/>
              <w:bottom w:val="nil"/>
              <w:right w:val="nil"/>
            </w:tcBorders>
            <w:shd w:val="clear" w:color="auto" w:fill="auto"/>
            <w:noWrap/>
            <w:vAlign w:val="center"/>
            <w:hideMark/>
          </w:tcPr>
          <w:p w:rsidR="00B27B32" w:rsidRPr="008B4F80" w:rsidRDefault="00B27B32" w:rsidP="006C1290">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Exponential</w:t>
            </w:r>
          </w:p>
        </w:tc>
        <w:tc>
          <w:tcPr>
            <w:tcW w:w="4338" w:type="dxa"/>
            <w:tcBorders>
              <w:top w:val="nil"/>
              <w:left w:val="nil"/>
              <w:bottom w:val="nil"/>
              <w:right w:val="nil"/>
            </w:tcBorders>
            <w:shd w:val="clear" w:color="auto" w:fill="auto"/>
            <w:noWrap/>
            <w:vAlign w:val="center"/>
            <w:hideMark/>
          </w:tcPr>
          <w:p w:rsidR="00B27B32" w:rsidRPr="008B4F80" w:rsidRDefault="00B27B32" w:rsidP="006C1290">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H=35.04-30.4×</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(-0.024×D)</m:t>
                </m:r>
              </m:oMath>
            </m:oMathPara>
          </w:p>
        </w:tc>
        <w:tc>
          <w:tcPr>
            <w:tcW w:w="567" w:type="dxa"/>
            <w:tcBorders>
              <w:top w:val="nil"/>
              <w:left w:val="nil"/>
              <w:bottom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p>
        </w:tc>
      </w:tr>
      <w:tr w:rsidR="00B27B32" w:rsidRPr="008B4F80" w:rsidTr="00B27B32">
        <w:trPr>
          <w:trHeight w:val="300"/>
          <w:jc w:val="center"/>
        </w:trPr>
        <w:tc>
          <w:tcPr>
            <w:tcW w:w="4142" w:type="dxa"/>
            <w:tcBorders>
              <w:top w:val="nil"/>
              <w:left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sidRPr="008B4F80">
              <w:rPr>
                <w:rFonts w:ascii="Times New Roman" w:eastAsia="Times New Roman" w:hAnsi="Times New Roman" w:cs="Times New Roman"/>
                <w:color w:val="000000"/>
                <w:sz w:val="24"/>
                <w:szCs w:val="24"/>
                <w:lang w:eastAsia="en-GB"/>
              </w:rPr>
              <w:instrText>ADDIN CSL_CITATION {"citationItems":[{"id":"ITEM-1","itemData":{"author":[{"dropping-particle":"","family":"Lewis","given":"S.L.","non-dropping-particle":"","parse-names":false,"suffix":""},{"dropping-particle":"","family":"Lopez-Gonzalez","given":"G.","non-dropping-particle":"","parse-names":false,"suffix":""},{"dropping-particle":"","family":"Sonké","given":"B.","non-dropping-particle":"","parse-names":false,"suffix":""},{"dropping-particle":"","family":"Affum-Baffoe","given":"K.","non-dropping-particle":"","parse-names":false,"suffix":""},{"dropping-particle":"","family":"Baker","given":"T.R.","non-dropping-particle":"","parse-names":false,"suffix":""},{"dropping-particle":"","family":"Ojo","given":"L.O.","non-dropping-particle":"","parse-names":false,"suffix":""},{"dropping-particle":"","family":"Phillips","given":"O.L.","non-dropping-particle":"","parse-names":false,"suffix":""},{"dropping-particle":"","family":"Reitsma","given":"J.M.","non-dropping-particle":"","parse-names":false,"suffix":""},{"dropping-particle":"","family":"White","given":"L.","non-dropping-particle":"","parse-names":false,"suffix":""},{"dropping-particle":"","family":"Comiskey","given":"J.A.","non-dropping-particle":"","parse-names":false,"suffix":""}],"container-title":"Nature","id":"ITEM-1","issued":{"date-parts":[["2009"]]},"page":"1003–1006","title":"Increasing carbon storage in intact African tropical forests","type":"article-journal","volume":"457"},"uris":["http://www.mendeley.com/documents/?uuid=0bef51ef-ea24-44a5-98e7-f1b1a985a57c"]}],"mendeley":{"formattedCitation":"(Lewis et al. 2009)","manualFormatting":"Lewis et al. (2009)","plainTextFormattedCitation":"(Lewis et al. 2009)","previouslyFormattedCitation":"(Lewis et al. 2009)"},"properties":{"noteIndex":0},"schema":"https://github.com/citation-style-language/schema/raw/master/csl-citation.json"}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8B4F80">
              <w:rPr>
                <w:rFonts w:ascii="Times New Roman" w:eastAsia="Times New Roman" w:hAnsi="Times New Roman" w:cs="Times New Roman"/>
                <w:noProof/>
                <w:color w:val="000000"/>
                <w:sz w:val="24"/>
                <w:szCs w:val="24"/>
                <w:lang w:eastAsia="en-GB"/>
              </w:rPr>
              <w:t>Lewis et al. (2009)</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Africa</w:t>
            </w:r>
          </w:p>
        </w:tc>
        <w:tc>
          <w:tcPr>
            <w:tcW w:w="2072" w:type="dxa"/>
            <w:tcBorders>
              <w:top w:val="nil"/>
              <w:left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Weibull</w:t>
            </w:r>
          </w:p>
        </w:tc>
        <w:tc>
          <w:tcPr>
            <w:tcW w:w="4338" w:type="dxa"/>
            <w:tcBorders>
              <w:top w:val="nil"/>
              <w:left w:val="nil"/>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H=54.01×(1-</m:t>
                </m:r>
                <m:r>
                  <m:rPr>
                    <m:sty m:val="p"/>
                  </m:rPr>
                  <w:rPr>
                    <w:rFonts w:ascii="Cambria Math" w:eastAsia="Times New Roman" w:hAnsi="Cambria Math" w:cs="Times New Roman"/>
                    <w:color w:val="000000"/>
                    <w:sz w:val="24"/>
                    <w:szCs w:val="24"/>
                    <w:lang w:eastAsia="en-GB"/>
                  </w:rPr>
                  <m:t>exp⁡</m:t>
                </m:r>
                <m:r>
                  <w:rPr>
                    <w:rFonts w:ascii="Cambria Math" w:eastAsia="Times New Roman" w:hAnsi="Cambria Math" w:cs="Times New Roman"/>
                    <w:color w:val="000000"/>
                    <w:sz w:val="24"/>
                    <w:szCs w:val="24"/>
                    <w:lang w:eastAsia="en-GB"/>
                  </w:rPr>
                  <m:t>(-0.053×</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D</m:t>
                    </m:r>
                  </m:e>
                  <m:sup>
                    <m:r>
                      <w:rPr>
                        <w:rFonts w:ascii="Cambria Math" w:eastAsia="Times New Roman" w:hAnsi="Cambria Math" w:cs="Times New Roman"/>
                        <w:color w:val="000000"/>
                        <w:sz w:val="24"/>
                        <w:szCs w:val="24"/>
                        <w:lang w:eastAsia="en-GB"/>
                      </w:rPr>
                      <m:t>0.759</m:t>
                    </m:r>
                  </m:sup>
                </m:sSup>
                <m:r>
                  <w:rPr>
                    <w:rFonts w:ascii="Cambria Math" w:eastAsia="Times New Roman" w:hAnsi="Cambria Math" w:cs="Times New Roman"/>
                    <w:color w:val="000000"/>
                    <w:sz w:val="24"/>
                    <w:szCs w:val="24"/>
                    <w:lang w:eastAsia="en-GB"/>
                  </w:rPr>
                  <m:t>)</m:t>
                </m:r>
              </m:oMath>
            </m:oMathPara>
          </w:p>
        </w:tc>
        <w:tc>
          <w:tcPr>
            <w:tcW w:w="567" w:type="dxa"/>
            <w:tcBorders>
              <w:top w:val="nil"/>
              <w:left w:val="nil"/>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p>
        </w:tc>
      </w:tr>
      <w:tr w:rsidR="00B27B32" w:rsidRPr="008B4F80" w:rsidTr="00B27B32">
        <w:trPr>
          <w:trHeight w:val="300"/>
          <w:jc w:val="center"/>
        </w:trPr>
        <w:tc>
          <w:tcPr>
            <w:tcW w:w="4142" w:type="dxa"/>
            <w:tcBorders>
              <w:top w:val="nil"/>
              <w:left w:val="nil"/>
              <w:bottom w:val="single" w:sz="4" w:space="0" w:color="auto"/>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Style w:val="Appelnotedebasdep"/>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{"citationItems":[{"id":"ITEM-1","itemData":{"DOI":"10.1016/j.foreco.2018.07.056","ISSN":"03781127","abstract":"Tropical forests play a key role in regulating the terrestrial carbon cycle and climate change by storing a large amount of carbon. Yet, there is considerable uncertainty about the amount and spatial variation of aboveground biomass (AGB), especially in the relatively less studied African tropical forests. In this study, we explore the local-scale variation and determinants of plot-level AGB, between and within two types of forests, the Celtis and Manilkara forests, growing under the same climate but on different geological substrates in the northern Republic of Congo. In each forest site, all trees ≥10 cm diameter were censured in 36 × 1-ha plots and we measured tree height and crown size using a subsample of 18 × 1-ha of these plots. We developed height-diameter and crown-diameter allometric relationships and tested whether they differed between the two sites. For each 1-ha plot, we further estimated the AGB and calculated structural attributes (stem density and basal area), composition attributes (wood density) and architectural attributes (tree height and crown size), the latter being derived from site-specific allometric relationships. We found strong between-site differences in height-diameter and crown-diameter allometries. For a given diameter, trees were taller in the Celtis forest while they had larger crown in the Manilkara forest. Similar trends were found for the sixteen species present in both forest sites, suggesting an environmental control of tree allometry. Although there were some between-site differences in forest structure, composition and architecture, we did not detect any significant difference in mean AGB between the Celtis and the Manilkara forests. The AGB variation was related to the heterogeneous distribution of large trees, and influenced by basal area, height and crown dimensions, and to a lesser extent wood density. These forest attributes have strong practical implications on emerging remote-sensing technologies for carbon monitoring in tropical forests.","author":[{"dropping-particle":"","family":"Loubota Panzou","given":"Grace Jopaul","non-dropping-particle":"","parse-names":false,"suffix":""},{"dropping-particle":"","family":"Fayolle","given":"Adeline","non-dropping-particle":"","parse-names":false,"suffix":""},{"dropping-particle":"","family":"Feldpausch","given":"Ted R.","non-dropping-particle":"","parse-names":false,"suffix":""},{"dropping-particle":"","family":"Ligot","given":"Gauthier","non-dropping-particle":"","parse-names":false,"suffix":""},{"dropping-particle":"","family":"Doucet","given":"Jean Louis","non-dropping-particle":"","parse-names":false,"suffix":""},{"dropping-particle":"","family":"Forni","given":"Eric","non-dropping-particle":"","parse-names":false,"suffix":""},{"dropping-particle":"","family":"Zombo","given":"Isaac","non-dropping-particle":"","parse-names":false,"suffix":""},{"dropping-particle":"","family":"Mazengue","given":"Mathurin","non-dropping-particle":"","parse-names":false,"suffix":""},{"dropping-particle":"","family":"Loumeto","given":"Jean Joël","non-dropping-particle":"","parse-names":false,"suffix":""},{"dropping-particle":"","family":"Gourlet-Fleury","given":"Sylvie","non-dropping-particle":"","parse-names":false,"suffix":""}],"container-title":"Forest Ecology and Management","id":"ITEM-1","issue":"July","issued":{"date-parts":[["2018"]]},"page":"570-578","publisher":"Elsevier","title":"What controls local-scale aboveground biomass variation in central Africa? Testing structural, composition and architectural attributes","type":"article-journal","volume":"429"},"uris":["http://www.mendeley.com/documents/?uuid=b886c231-2f69-4f78-9c37-fda52bdb854b"]}],"mendeley":{"formattedCitation":"(Loubota Panzou et al. 2018a)","manualFormatting":"Loubota Panzou et al. (2018a)","plainTextFormattedCitation":"(Loubota Panzou et al. 2018a)","previouslyFormattedCitation":"(Loubota Panzou et al. 2018a)"},"properties":{"noteIndex":0},"schema":"https://github.com/citation-style-language/schema/raw/master/csl-citation.json"}</w:instrText>
            </w:r>
            <w:r w:rsidRPr="008B4F80">
              <w:rPr>
                <w:rStyle w:val="Appelnotedebasdep"/>
                <w:rFonts w:ascii="Times New Roman" w:eastAsia="Times New Roman" w:hAnsi="Times New Roman" w:cs="Times New Roman"/>
                <w:color w:val="000000"/>
                <w:sz w:val="24"/>
                <w:szCs w:val="24"/>
                <w:lang w:eastAsia="en-GB"/>
              </w:rPr>
              <w:fldChar w:fldCharType="separate"/>
            </w:r>
            <w:r w:rsidRPr="00912F7B">
              <w:rPr>
                <w:rFonts w:ascii="Times New Roman" w:eastAsia="Times New Roman" w:hAnsi="Times New Roman" w:cs="Times New Roman"/>
                <w:noProof/>
                <w:color w:val="000000"/>
                <w:sz w:val="24"/>
                <w:szCs w:val="24"/>
                <w:lang w:eastAsia="en-GB"/>
              </w:rPr>
              <w:t xml:space="preserve">Loubota Panzou et al. </w:t>
            </w:r>
            <w:r>
              <w:rPr>
                <w:rFonts w:ascii="Times New Roman" w:eastAsia="Times New Roman" w:hAnsi="Times New Roman" w:cs="Times New Roman"/>
                <w:noProof/>
                <w:color w:val="000000"/>
                <w:sz w:val="24"/>
                <w:szCs w:val="24"/>
                <w:lang w:eastAsia="en-GB"/>
              </w:rPr>
              <w:t>(</w:t>
            </w:r>
            <w:r w:rsidRPr="00912F7B">
              <w:rPr>
                <w:rFonts w:ascii="Times New Roman" w:eastAsia="Times New Roman" w:hAnsi="Times New Roman" w:cs="Times New Roman"/>
                <w:noProof/>
                <w:color w:val="000000"/>
                <w:sz w:val="24"/>
                <w:szCs w:val="24"/>
                <w:lang w:eastAsia="en-GB"/>
              </w:rPr>
              <w:t>2018a)</w:t>
            </w:r>
            <w:r w:rsidRPr="008B4F80">
              <w:rPr>
                <w:rStyle w:val="Appelnotedebasdep"/>
                <w:rFonts w:ascii="Times New Roman" w:eastAsia="Times New Roman" w:hAnsi="Times New Roman" w:cs="Times New Roman"/>
                <w:color w:val="000000"/>
                <w:sz w:val="24"/>
                <w:szCs w:val="24"/>
                <w:lang w:eastAsia="en-GB"/>
              </w:rPr>
              <w:fldChar w:fldCharType="end"/>
            </w:r>
          </w:p>
        </w:tc>
        <w:tc>
          <w:tcPr>
            <w:tcW w:w="2835" w:type="dxa"/>
            <w:tcBorders>
              <w:top w:val="nil"/>
              <w:left w:val="nil"/>
              <w:bottom w:val="single" w:sz="4" w:space="0" w:color="auto"/>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r w:rsidRPr="008B4F80">
              <w:rPr>
                <w:rFonts w:ascii="Times New Roman" w:eastAsia="Times New Roman" w:hAnsi="Times New Roman" w:cs="Times New Roman"/>
                <w:color w:val="000000"/>
                <w:sz w:val="24"/>
                <w:szCs w:val="24"/>
                <w:lang w:eastAsia="en-GB"/>
              </w:rPr>
              <w:t>Local (Republic of Congo)</w:t>
            </w:r>
          </w:p>
        </w:tc>
        <w:tc>
          <w:tcPr>
            <w:tcW w:w="2072" w:type="dxa"/>
            <w:tcBorders>
              <w:top w:val="nil"/>
              <w:left w:val="nil"/>
              <w:bottom w:val="single" w:sz="4" w:space="0" w:color="auto"/>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w:proofErr w:type="spellStart"/>
            <w:r w:rsidRPr="008B4F80">
              <w:rPr>
                <w:rFonts w:ascii="Times New Roman" w:eastAsia="Times New Roman" w:hAnsi="Times New Roman" w:cs="Times New Roman"/>
                <w:color w:val="000000"/>
                <w:sz w:val="24"/>
                <w:szCs w:val="24"/>
                <w:lang w:eastAsia="en-GB"/>
              </w:rPr>
              <w:t>Michaelis-Menten</w:t>
            </w:r>
            <w:proofErr w:type="spellEnd"/>
          </w:p>
        </w:tc>
        <w:tc>
          <w:tcPr>
            <w:tcW w:w="4338" w:type="dxa"/>
            <w:tcBorders>
              <w:top w:val="nil"/>
              <w:left w:val="nil"/>
              <w:bottom w:val="single" w:sz="4" w:space="0" w:color="auto"/>
              <w:right w:val="nil"/>
            </w:tcBorders>
            <w:shd w:val="clear" w:color="auto" w:fill="auto"/>
            <w:noWrap/>
            <w:vAlign w:val="center"/>
            <w:hideMark/>
          </w:tcPr>
          <w:p w:rsidR="00B27B32" w:rsidRPr="008B4F80" w:rsidRDefault="00B27B32" w:rsidP="00F20057">
            <w:pPr>
              <w:spacing w:after="0" w:line="48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H=55.38×D/(43.31+D)</m:t>
                </m:r>
              </m:oMath>
            </m:oMathPara>
          </w:p>
        </w:tc>
        <w:tc>
          <w:tcPr>
            <w:tcW w:w="567" w:type="dxa"/>
            <w:tcBorders>
              <w:top w:val="nil"/>
              <w:left w:val="nil"/>
              <w:bottom w:val="single" w:sz="4" w:space="0" w:color="auto"/>
              <w:right w:val="nil"/>
            </w:tcBorders>
            <w:vAlign w:val="center"/>
          </w:tcPr>
          <w:p w:rsidR="00B27B32" w:rsidRDefault="00B27B32" w:rsidP="00B27B32">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w:t>
            </w:r>
          </w:p>
        </w:tc>
      </w:tr>
    </w:tbl>
    <w:p w:rsidR="00476525" w:rsidRDefault="00476525" w:rsidP="00476525">
      <w:pPr>
        <w:spacing w:line="480" w:lineRule="auto"/>
      </w:pPr>
      <w:r w:rsidRPr="008B4F80">
        <w:rPr>
          <w:rFonts w:ascii="Times New Roman" w:eastAsia="Times New Roman" w:hAnsi="Times New Roman" w:cs="Times New Roman"/>
          <w:color w:val="000000"/>
          <w:sz w:val="24"/>
          <w:szCs w:val="24"/>
          <w:lang w:eastAsia="en-GB"/>
        </w:rPr>
        <w:t>DRC: Democratic Republic of Congo</w:t>
      </w:r>
    </w:p>
    <w:p w:rsidR="00476525" w:rsidRPr="00065E08" w:rsidRDefault="00476525" w:rsidP="00476525">
      <w:pPr>
        <w:spacing w:line="480" w:lineRule="auto"/>
        <w:rPr>
          <w:rFonts w:ascii="Times New Roman" w:hAnsi="Times New Roman" w:cs="Times New Roman"/>
          <w:noProof/>
          <w:sz w:val="24"/>
          <w:szCs w:val="24"/>
          <w:lang w:eastAsia="en-GB"/>
        </w:rPr>
      </w:pPr>
    </w:p>
    <w:p w:rsidR="00961F5A" w:rsidRDefault="005B38CB"/>
    <w:sectPr w:rsidR="00961F5A" w:rsidSect="00ED3DAC">
      <w:headerReference w:type="default" r:id="rId7"/>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CB" w:rsidRDefault="005B38CB">
      <w:pPr>
        <w:spacing w:after="0" w:line="240" w:lineRule="auto"/>
      </w:pPr>
      <w:r>
        <w:separator/>
      </w:r>
    </w:p>
  </w:endnote>
  <w:endnote w:type="continuationSeparator" w:id="0">
    <w:p w:rsidR="005B38CB" w:rsidRDefault="005B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CB" w:rsidRDefault="005B38CB">
      <w:pPr>
        <w:spacing w:after="0" w:line="240" w:lineRule="auto"/>
      </w:pPr>
      <w:r>
        <w:separator/>
      </w:r>
    </w:p>
  </w:footnote>
  <w:footnote w:type="continuationSeparator" w:id="0">
    <w:p w:rsidR="005B38CB" w:rsidRDefault="005B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5" w:rsidRDefault="005B38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25"/>
    <w:rsid w:val="00476525"/>
    <w:rsid w:val="005B38CB"/>
    <w:rsid w:val="00882678"/>
    <w:rsid w:val="00910588"/>
    <w:rsid w:val="009326CA"/>
    <w:rsid w:val="00B106FB"/>
    <w:rsid w:val="00B13EFF"/>
    <w:rsid w:val="00B27B32"/>
    <w:rsid w:val="00E10378"/>
    <w:rsid w:val="00E26CA8"/>
    <w:rsid w:val="00E30E33"/>
    <w:rsid w:val="00EB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476525"/>
    <w:rPr>
      <w:vertAlign w:val="superscript"/>
    </w:rPr>
  </w:style>
  <w:style w:type="paragraph" w:styleId="En-tte">
    <w:name w:val="header"/>
    <w:basedOn w:val="Normal"/>
    <w:link w:val="En-tteCar"/>
    <w:uiPriority w:val="99"/>
    <w:unhideWhenUsed/>
    <w:rsid w:val="00476525"/>
    <w:pPr>
      <w:tabs>
        <w:tab w:val="center" w:pos="4536"/>
        <w:tab w:val="right" w:pos="9072"/>
      </w:tabs>
      <w:spacing w:after="0" w:line="240" w:lineRule="auto"/>
    </w:pPr>
  </w:style>
  <w:style w:type="character" w:customStyle="1" w:styleId="En-tteCar">
    <w:name w:val="En-tête Car"/>
    <w:basedOn w:val="Policepardfaut"/>
    <w:link w:val="En-tte"/>
    <w:uiPriority w:val="99"/>
    <w:rsid w:val="00476525"/>
  </w:style>
  <w:style w:type="paragraph" w:styleId="Textedebulles">
    <w:name w:val="Balloon Text"/>
    <w:basedOn w:val="Normal"/>
    <w:link w:val="TextedebullesCar"/>
    <w:uiPriority w:val="99"/>
    <w:semiHidden/>
    <w:unhideWhenUsed/>
    <w:rsid w:val="004765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525"/>
    <w:rPr>
      <w:rFonts w:ascii="Tahoma" w:hAnsi="Tahoma" w:cs="Tahoma"/>
      <w:sz w:val="16"/>
      <w:szCs w:val="16"/>
    </w:rPr>
  </w:style>
  <w:style w:type="character" w:styleId="Numrodeligne">
    <w:name w:val="line number"/>
    <w:basedOn w:val="Policepardfaut"/>
    <w:uiPriority w:val="99"/>
    <w:semiHidden/>
    <w:unhideWhenUsed/>
    <w:rsid w:val="00476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476525"/>
    <w:rPr>
      <w:vertAlign w:val="superscript"/>
    </w:rPr>
  </w:style>
  <w:style w:type="paragraph" w:styleId="En-tte">
    <w:name w:val="header"/>
    <w:basedOn w:val="Normal"/>
    <w:link w:val="En-tteCar"/>
    <w:uiPriority w:val="99"/>
    <w:unhideWhenUsed/>
    <w:rsid w:val="00476525"/>
    <w:pPr>
      <w:tabs>
        <w:tab w:val="center" w:pos="4536"/>
        <w:tab w:val="right" w:pos="9072"/>
      </w:tabs>
      <w:spacing w:after="0" w:line="240" w:lineRule="auto"/>
    </w:pPr>
  </w:style>
  <w:style w:type="character" w:customStyle="1" w:styleId="En-tteCar">
    <w:name w:val="En-tête Car"/>
    <w:basedOn w:val="Policepardfaut"/>
    <w:link w:val="En-tte"/>
    <w:uiPriority w:val="99"/>
    <w:rsid w:val="00476525"/>
  </w:style>
  <w:style w:type="paragraph" w:styleId="Textedebulles">
    <w:name w:val="Balloon Text"/>
    <w:basedOn w:val="Normal"/>
    <w:link w:val="TextedebullesCar"/>
    <w:uiPriority w:val="99"/>
    <w:semiHidden/>
    <w:unhideWhenUsed/>
    <w:rsid w:val="004765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525"/>
    <w:rPr>
      <w:rFonts w:ascii="Tahoma" w:hAnsi="Tahoma" w:cs="Tahoma"/>
      <w:sz w:val="16"/>
      <w:szCs w:val="16"/>
    </w:rPr>
  </w:style>
  <w:style w:type="character" w:styleId="Numrodeligne">
    <w:name w:val="line number"/>
    <w:basedOn w:val="Policepardfaut"/>
    <w:uiPriority w:val="99"/>
    <w:semiHidden/>
    <w:unhideWhenUsed/>
    <w:rsid w:val="0047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6694</Words>
  <Characters>38160</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Reviseur 1-2</dc:creator>
  <cp:lastModifiedBy>Reviseur 1-2</cp:lastModifiedBy>
  <cp:revision>5</cp:revision>
  <dcterms:created xsi:type="dcterms:W3CDTF">2020-02-12T10:00:00Z</dcterms:created>
  <dcterms:modified xsi:type="dcterms:W3CDTF">2021-05-17T23:09:00Z</dcterms:modified>
</cp:coreProperties>
</file>