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99C3C" w14:textId="017F62DE" w:rsidR="00240DD2" w:rsidRDefault="00655C1F" w:rsidP="00655C1F">
      <w:bookmarkStart w:id="0" w:name="_GoBack"/>
      <w:bookmarkEnd w:id="0"/>
      <w:r>
        <w:t xml:space="preserve">Appendix </w:t>
      </w:r>
      <w:r w:rsidR="00D3642D">
        <w:t>3</w:t>
      </w:r>
      <w:r>
        <w:t>. HTA guideline inclusion of individual societal and novel value elements</w:t>
      </w:r>
    </w:p>
    <w:tbl>
      <w:tblPr>
        <w:tblW w:w="153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430"/>
        <w:gridCol w:w="1848"/>
        <w:gridCol w:w="555"/>
        <w:gridCol w:w="556"/>
        <w:gridCol w:w="555"/>
        <w:gridCol w:w="556"/>
        <w:gridCol w:w="556"/>
        <w:gridCol w:w="555"/>
        <w:gridCol w:w="556"/>
        <w:gridCol w:w="555"/>
        <w:gridCol w:w="556"/>
        <w:gridCol w:w="556"/>
        <w:gridCol w:w="555"/>
        <w:gridCol w:w="556"/>
        <w:gridCol w:w="555"/>
        <w:gridCol w:w="556"/>
        <w:gridCol w:w="556"/>
        <w:gridCol w:w="555"/>
        <w:gridCol w:w="556"/>
        <w:gridCol w:w="555"/>
        <w:gridCol w:w="556"/>
        <w:gridCol w:w="556"/>
      </w:tblGrid>
      <w:tr w:rsidR="00655C1F" w:rsidRPr="004213F6" w14:paraId="51EF129B" w14:textId="77777777" w:rsidTr="00CF5B24">
        <w:trPr>
          <w:cantSplit/>
          <w:trHeight w:val="4607"/>
        </w:trPr>
        <w:tc>
          <w:tcPr>
            <w:tcW w:w="910" w:type="dxa"/>
            <w:textDirection w:val="btLr"/>
            <w:hideMark/>
          </w:tcPr>
          <w:p w14:paraId="67F17C56" w14:textId="77777777" w:rsidR="00655C1F" w:rsidRPr="004213F6" w:rsidRDefault="00655C1F" w:rsidP="00CF5B24">
            <w:pPr>
              <w:ind w:left="113" w:right="113"/>
            </w:pPr>
            <w:r w:rsidRPr="004213F6">
              <w:t>Country</w:t>
            </w:r>
          </w:p>
        </w:tc>
        <w:tc>
          <w:tcPr>
            <w:tcW w:w="1430" w:type="dxa"/>
            <w:textDirection w:val="btLr"/>
            <w:hideMark/>
          </w:tcPr>
          <w:p w14:paraId="363BEBD9" w14:textId="77777777" w:rsidR="00655C1F" w:rsidRPr="004213F6" w:rsidRDefault="00655C1F" w:rsidP="00CF5B24">
            <w:pPr>
              <w:ind w:left="113" w:right="113"/>
            </w:pPr>
            <w:r w:rsidRPr="004213F6">
              <w:t>HTA Organization</w:t>
            </w:r>
          </w:p>
        </w:tc>
        <w:tc>
          <w:tcPr>
            <w:tcW w:w="1848" w:type="dxa"/>
            <w:textDirection w:val="btLr"/>
            <w:hideMark/>
          </w:tcPr>
          <w:p w14:paraId="33D3C04B" w14:textId="77777777" w:rsidR="00655C1F" w:rsidRPr="004213F6" w:rsidRDefault="00655C1F" w:rsidP="00CF5B24">
            <w:pPr>
              <w:ind w:left="113" w:right="113"/>
            </w:pPr>
            <w:r w:rsidRPr="004213F6">
              <w:t>Guideline title</w:t>
            </w:r>
          </w:p>
        </w:tc>
        <w:tc>
          <w:tcPr>
            <w:tcW w:w="555" w:type="dxa"/>
            <w:textDirection w:val="btLr"/>
            <w:hideMark/>
          </w:tcPr>
          <w:p w14:paraId="5D84DCA1" w14:textId="77777777" w:rsidR="00655C1F" w:rsidRPr="004213F6" w:rsidRDefault="00655C1F" w:rsidP="00CF5B24">
            <w:pPr>
              <w:ind w:left="113" w:right="113"/>
            </w:pPr>
            <w:r w:rsidRPr="004213F6">
              <w:t>Productivity</w:t>
            </w:r>
          </w:p>
        </w:tc>
        <w:tc>
          <w:tcPr>
            <w:tcW w:w="556" w:type="dxa"/>
            <w:textDirection w:val="btLr"/>
            <w:hideMark/>
          </w:tcPr>
          <w:p w14:paraId="4D10EF18" w14:textId="77777777" w:rsidR="00655C1F" w:rsidRPr="004213F6" w:rsidRDefault="00655C1F" w:rsidP="00CF5B24">
            <w:pPr>
              <w:ind w:left="113" w:right="113"/>
            </w:pPr>
            <w:r w:rsidRPr="004213F6">
              <w:t>Adherence improving factors</w:t>
            </w:r>
          </w:p>
        </w:tc>
        <w:tc>
          <w:tcPr>
            <w:tcW w:w="555" w:type="dxa"/>
            <w:textDirection w:val="btLr"/>
            <w:hideMark/>
          </w:tcPr>
          <w:p w14:paraId="1DB1470F" w14:textId="77777777" w:rsidR="00655C1F" w:rsidRPr="004213F6" w:rsidRDefault="00655C1F" w:rsidP="00CF5B24">
            <w:pPr>
              <w:ind w:left="113" w:right="113"/>
            </w:pPr>
            <w:r w:rsidRPr="004213F6">
              <w:t>Real option value</w:t>
            </w:r>
          </w:p>
        </w:tc>
        <w:tc>
          <w:tcPr>
            <w:tcW w:w="556" w:type="dxa"/>
            <w:textDirection w:val="btLr"/>
            <w:hideMark/>
          </w:tcPr>
          <w:p w14:paraId="34FFCE09" w14:textId="77777777" w:rsidR="00655C1F" w:rsidRPr="004213F6" w:rsidRDefault="00655C1F" w:rsidP="00CF5B24">
            <w:pPr>
              <w:ind w:left="113" w:right="113"/>
            </w:pPr>
            <w:r w:rsidRPr="004213F6">
              <w:t>Scientific spillovers</w:t>
            </w:r>
          </w:p>
        </w:tc>
        <w:tc>
          <w:tcPr>
            <w:tcW w:w="556" w:type="dxa"/>
            <w:textDirection w:val="btLr"/>
            <w:hideMark/>
          </w:tcPr>
          <w:p w14:paraId="549002F7" w14:textId="77777777" w:rsidR="00655C1F" w:rsidRPr="004213F6" w:rsidRDefault="00655C1F" w:rsidP="00CF5B24">
            <w:pPr>
              <w:ind w:left="113" w:right="113"/>
            </w:pPr>
            <w:r w:rsidRPr="004213F6">
              <w:t>Value of hope</w:t>
            </w:r>
          </w:p>
        </w:tc>
        <w:tc>
          <w:tcPr>
            <w:tcW w:w="555" w:type="dxa"/>
            <w:textDirection w:val="btLr"/>
            <w:hideMark/>
          </w:tcPr>
          <w:p w14:paraId="33CE9373" w14:textId="77777777" w:rsidR="00655C1F" w:rsidRPr="004213F6" w:rsidRDefault="00655C1F" w:rsidP="00CF5B24">
            <w:pPr>
              <w:ind w:left="113" w:right="113"/>
            </w:pPr>
            <w:r w:rsidRPr="004213F6">
              <w:t>Insurance value</w:t>
            </w:r>
          </w:p>
        </w:tc>
        <w:tc>
          <w:tcPr>
            <w:tcW w:w="556" w:type="dxa"/>
            <w:textDirection w:val="btLr"/>
            <w:hideMark/>
          </w:tcPr>
          <w:p w14:paraId="16FB74D4" w14:textId="77777777" w:rsidR="00655C1F" w:rsidRPr="004213F6" w:rsidRDefault="00655C1F" w:rsidP="00CF5B24">
            <w:pPr>
              <w:ind w:left="113" w:right="113"/>
            </w:pPr>
            <w:r w:rsidRPr="004213F6">
              <w:t>Equity</w:t>
            </w:r>
          </w:p>
        </w:tc>
        <w:tc>
          <w:tcPr>
            <w:tcW w:w="555" w:type="dxa"/>
            <w:textDirection w:val="btLr"/>
            <w:hideMark/>
          </w:tcPr>
          <w:p w14:paraId="47BD9885" w14:textId="77777777" w:rsidR="00655C1F" w:rsidRPr="004213F6" w:rsidRDefault="00655C1F" w:rsidP="00CF5B24">
            <w:pPr>
              <w:ind w:left="113" w:right="113"/>
            </w:pPr>
            <w:r w:rsidRPr="004213F6">
              <w:t>Severity of disease</w:t>
            </w:r>
          </w:p>
        </w:tc>
        <w:tc>
          <w:tcPr>
            <w:tcW w:w="556" w:type="dxa"/>
            <w:textDirection w:val="btLr"/>
            <w:hideMark/>
          </w:tcPr>
          <w:p w14:paraId="4F91064D" w14:textId="77777777" w:rsidR="00655C1F" w:rsidRPr="004213F6" w:rsidRDefault="00655C1F" w:rsidP="00CF5B24">
            <w:pPr>
              <w:ind w:left="113" w:right="113"/>
            </w:pPr>
            <w:r w:rsidRPr="004213F6">
              <w:t>Fear of contagion &amp; disease</w:t>
            </w:r>
          </w:p>
        </w:tc>
        <w:tc>
          <w:tcPr>
            <w:tcW w:w="556" w:type="dxa"/>
            <w:textDirection w:val="btLr"/>
            <w:hideMark/>
          </w:tcPr>
          <w:p w14:paraId="09AB859A" w14:textId="77777777" w:rsidR="00655C1F" w:rsidRPr="004213F6" w:rsidRDefault="00655C1F" w:rsidP="00CF5B24">
            <w:pPr>
              <w:ind w:left="113" w:right="113"/>
            </w:pPr>
            <w:r w:rsidRPr="004213F6">
              <w:t>Reduction of uncertainty</w:t>
            </w:r>
          </w:p>
        </w:tc>
        <w:tc>
          <w:tcPr>
            <w:tcW w:w="555" w:type="dxa"/>
            <w:textDirection w:val="btLr"/>
            <w:hideMark/>
          </w:tcPr>
          <w:p w14:paraId="14311F51" w14:textId="77777777" w:rsidR="00655C1F" w:rsidRPr="004213F6" w:rsidRDefault="00655C1F" w:rsidP="00CF5B24">
            <w:pPr>
              <w:ind w:left="113" w:right="113"/>
            </w:pPr>
            <w:r w:rsidRPr="004213F6">
              <w:t>Consumption</w:t>
            </w:r>
          </w:p>
        </w:tc>
        <w:tc>
          <w:tcPr>
            <w:tcW w:w="556" w:type="dxa"/>
            <w:textDirection w:val="btLr"/>
            <w:hideMark/>
          </w:tcPr>
          <w:p w14:paraId="3B8B2D02" w14:textId="77777777" w:rsidR="00655C1F" w:rsidRPr="004213F6" w:rsidRDefault="00655C1F" w:rsidP="00CF5B24">
            <w:pPr>
              <w:ind w:left="113" w:right="113"/>
            </w:pPr>
            <w:r w:rsidRPr="004213F6">
              <w:t>Social services</w:t>
            </w:r>
          </w:p>
        </w:tc>
        <w:tc>
          <w:tcPr>
            <w:tcW w:w="555" w:type="dxa"/>
            <w:textDirection w:val="btLr"/>
            <w:hideMark/>
          </w:tcPr>
          <w:p w14:paraId="654A839C" w14:textId="77777777" w:rsidR="00655C1F" w:rsidRPr="004213F6" w:rsidRDefault="00655C1F" w:rsidP="00CF5B24">
            <w:pPr>
              <w:ind w:left="113" w:right="113"/>
            </w:pPr>
            <w:r w:rsidRPr="004213F6">
              <w:t>Legal or criminal justice</w:t>
            </w:r>
          </w:p>
        </w:tc>
        <w:tc>
          <w:tcPr>
            <w:tcW w:w="556" w:type="dxa"/>
            <w:textDirection w:val="btLr"/>
            <w:hideMark/>
          </w:tcPr>
          <w:p w14:paraId="76A7E85C" w14:textId="77777777" w:rsidR="00655C1F" w:rsidRPr="004213F6" w:rsidRDefault="00655C1F" w:rsidP="00CF5B24">
            <w:pPr>
              <w:ind w:left="113" w:right="113"/>
            </w:pPr>
            <w:r w:rsidRPr="004213F6">
              <w:t>Education</w:t>
            </w:r>
          </w:p>
        </w:tc>
        <w:tc>
          <w:tcPr>
            <w:tcW w:w="556" w:type="dxa"/>
            <w:textDirection w:val="btLr"/>
            <w:hideMark/>
          </w:tcPr>
          <w:p w14:paraId="228A18D2" w14:textId="77777777" w:rsidR="00655C1F" w:rsidRPr="004213F6" w:rsidRDefault="00655C1F" w:rsidP="00CF5B24">
            <w:pPr>
              <w:ind w:left="113" w:right="113"/>
            </w:pPr>
            <w:r w:rsidRPr="004213F6">
              <w:t>Housing</w:t>
            </w:r>
          </w:p>
        </w:tc>
        <w:tc>
          <w:tcPr>
            <w:tcW w:w="555" w:type="dxa"/>
            <w:textDirection w:val="btLr"/>
            <w:hideMark/>
          </w:tcPr>
          <w:p w14:paraId="26E6EC75" w14:textId="77777777" w:rsidR="00655C1F" w:rsidRPr="004213F6" w:rsidRDefault="00655C1F" w:rsidP="00CF5B24">
            <w:pPr>
              <w:ind w:left="113" w:right="113"/>
            </w:pPr>
            <w:r w:rsidRPr="004213F6">
              <w:t>Environment</w:t>
            </w:r>
          </w:p>
        </w:tc>
        <w:tc>
          <w:tcPr>
            <w:tcW w:w="556" w:type="dxa"/>
            <w:textDirection w:val="btLr"/>
            <w:hideMark/>
          </w:tcPr>
          <w:p w14:paraId="040A18E1" w14:textId="77777777" w:rsidR="00655C1F" w:rsidRPr="004213F6" w:rsidRDefault="00655C1F" w:rsidP="00CF5B24">
            <w:pPr>
              <w:ind w:left="113" w:right="113"/>
            </w:pPr>
            <w:r w:rsidRPr="004213F6">
              <w:t>Family spillover</w:t>
            </w:r>
          </w:p>
        </w:tc>
        <w:tc>
          <w:tcPr>
            <w:tcW w:w="555" w:type="dxa"/>
            <w:textDirection w:val="btLr"/>
            <w:hideMark/>
          </w:tcPr>
          <w:p w14:paraId="12691116" w14:textId="77777777" w:rsidR="00655C1F" w:rsidRPr="004213F6" w:rsidRDefault="00655C1F" w:rsidP="00CF5B24">
            <w:pPr>
              <w:ind w:left="113" w:right="113"/>
            </w:pPr>
            <w:r w:rsidRPr="004213F6">
              <w:t>Transportation</w:t>
            </w:r>
          </w:p>
        </w:tc>
        <w:tc>
          <w:tcPr>
            <w:tcW w:w="556" w:type="dxa"/>
            <w:textDirection w:val="btLr"/>
            <w:hideMark/>
          </w:tcPr>
          <w:p w14:paraId="63C125F3" w14:textId="77777777" w:rsidR="00655C1F" w:rsidRPr="004213F6" w:rsidRDefault="00655C1F" w:rsidP="00CF5B24">
            <w:pPr>
              <w:ind w:left="113" w:right="113"/>
            </w:pPr>
            <w:r w:rsidRPr="004213F6">
              <w:t>Economic activity (supply and demand side)</w:t>
            </w:r>
          </w:p>
        </w:tc>
        <w:tc>
          <w:tcPr>
            <w:tcW w:w="556" w:type="dxa"/>
            <w:textDirection w:val="btLr"/>
            <w:hideMark/>
          </w:tcPr>
          <w:p w14:paraId="03D9B485" w14:textId="77777777" w:rsidR="00655C1F" w:rsidRPr="004213F6" w:rsidRDefault="00655C1F" w:rsidP="00CF5B24">
            <w:pPr>
              <w:ind w:left="113" w:right="113"/>
            </w:pPr>
            <w:r w:rsidRPr="004213F6">
              <w:t>Healthcare system capacity</w:t>
            </w:r>
          </w:p>
        </w:tc>
      </w:tr>
      <w:tr w:rsidR="00655C1F" w:rsidRPr="004213F6" w14:paraId="75CADE27" w14:textId="77777777" w:rsidTr="00CF5B24">
        <w:trPr>
          <w:trHeight w:val="2550"/>
        </w:trPr>
        <w:tc>
          <w:tcPr>
            <w:tcW w:w="910" w:type="dxa"/>
            <w:hideMark/>
          </w:tcPr>
          <w:p w14:paraId="5BA9984D" w14:textId="77777777" w:rsidR="00655C1F" w:rsidRPr="004213F6" w:rsidRDefault="00655C1F" w:rsidP="00CF5B24">
            <w:r w:rsidRPr="004213F6">
              <w:t>AMCP</w:t>
            </w:r>
          </w:p>
        </w:tc>
        <w:tc>
          <w:tcPr>
            <w:tcW w:w="1430" w:type="dxa"/>
            <w:hideMark/>
          </w:tcPr>
          <w:p w14:paraId="1444B391" w14:textId="77777777" w:rsidR="00655C1F" w:rsidRPr="004213F6" w:rsidRDefault="00655C1F" w:rsidP="00CF5B24">
            <w:r w:rsidRPr="004213F6">
              <w:t>Academy of Managed Care Pharmacy</w:t>
            </w:r>
          </w:p>
        </w:tc>
        <w:tc>
          <w:tcPr>
            <w:tcW w:w="1848" w:type="dxa"/>
            <w:hideMark/>
          </w:tcPr>
          <w:p w14:paraId="2AA9833D" w14:textId="77777777" w:rsidR="00655C1F" w:rsidRPr="004213F6" w:rsidRDefault="00655C1F" w:rsidP="00CF5B24">
            <w:r w:rsidRPr="004213F6">
              <w:t>The AMCP Format for Formulary Submissions Version 4.0</w:t>
            </w:r>
          </w:p>
        </w:tc>
        <w:tc>
          <w:tcPr>
            <w:tcW w:w="555" w:type="dxa"/>
            <w:hideMark/>
          </w:tcPr>
          <w:p w14:paraId="441C9287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72E16F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E32E37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14DCDE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0E1308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A0F461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700D027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53E2769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C7AA65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84B034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0C8DDA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4EC585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A05C11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9CCA39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AAD69D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9C34D7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47F32E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ECFD67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663E00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09596E7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3E1B843F" w14:textId="77777777" w:rsidTr="00CF5B24">
        <w:trPr>
          <w:trHeight w:val="3060"/>
        </w:trPr>
        <w:tc>
          <w:tcPr>
            <w:tcW w:w="910" w:type="dxa"/>
            <w:hideMark/>
          </w:tcPr>
          <w:p w14:paraId="02B96DE4" w14:textId="77777777" w:rsidR="00655C1F" w:rsidRPr="004213F6" w:rsidRDefault="00655C1F" w:rsidP="00CF5B24">
            <w:r w:rsidRPr="004213F6">
              <w:lastRenderedPageBreak/>
              <w:t>Australia</w:t>
            </w:r>
          </w:p>
        </w:tc>
        <w:tc>
          <w:tcPr>
            <w:tcW w:w="1430" w:type="dxa"/>
            <w:hideMark/>
          </w:tcPr>
          <w:p w14:paraId="1EB970B6" w14:textId="77777777" w:rsidR="00655C1F" w:rsidRPr="004213F6" w:rsidRDefault="00655C1F" w:rsidP="00CF5B24">
            <w:r w:rsidRPr="004213F6">
              <w:t>Pharmaceutical Benefits Advisory Committee</w:t>
            </w:r>
          </w:p>
        </w:tc>
        <w:tc>
          <w:tcPr>
            <w:tcW w:w="1848" w:type="dxa"/>
            <w:hideMark/>
          </w:tcPr>
          <w:p w14:paraId="4B25C864" w14:textId="77777777" w:rsidR="00655C1F" w:rsidRPr="004213F6" w:rsidRDefault="00655C1F" w:rsidP="00CF5B24">
            <w:r w:rsidRPr="004213F6">
              <w:t>Guidelines for preparing a submission to the Pharmaceutical Benefits Advisory Committee</w:t>
            </w:r>
          </w:p>
        </w:tc>
        <w:tc>
          <w:tcPr>
            <w:tcW w:w="555" w:type="dxa"/>
            <w:hideMark/>
          </w:tcPr>
          <w:p w14:paraId="03857FB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3382669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2CA60B5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90DDEB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425478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536D3D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36A0DB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769BFB5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59053F3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9573DA8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2E5289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C537C3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9D1A69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AEFFF49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4218209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7486907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9615FC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7A5206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4D8DC9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E939081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0F7BF2A6" w14:textId="77777777" w:rsidTr="00CF5B24">
        <w:trPr>
          <w:trHeight w:val="2295"/>
        </w:trPr>
        <w:tc>
          <w:tcPr>
            <w:tcW w:w="910" w:type="dxa"/>
            <w:hideMark/>
          </w:tcPr>
          <w:p w14:paraId="40AD477E" w14:textId="77777777" w:rsidR="00655C1F" w:rsidRPr="004213F6" w:rsidRDefault="00655C1F" w:rsidP="00CF5B24">
            <w:r w:rsidRPr="004213F6">
              <w:t>Austria</w:t>
            </w:r>
          </w:p>
        </w:tc>
        <w:tc>
          <w:tcPr>
            <w:tcW w:w="1430" w:type="dxa"/>
            <w:hideMark/>
          </w:tcPr>
          <w:p w14:paraId="529C881C" w14:textId="77777777" w:rsidR="00655C1F" w:rsidRPr="004213F6" w:rsidRDefault="00655C1F" w:rsidP="00CF5B24">
            <w:r w:rsidRPr="004213F6">
              <w:t xml:space="preserve">Institute for </w:t>
            </w:r>
            <w:proofErr w:type="spellStart"/>
            <w:r w:rsidRPr="004213F6">
              <w:t>Pharmaeconomic</w:t>
            </w:r>
            <w:proofErr w:type="spellEnd"/>
            <w:r w:rsidRPr="004213F6">
              <w:t xml:space="preserve"> Research</w:t>
            </w:r>
          </w:p>
        </w:tc>
        <w:tc>
          <w:tcPr>
            <w:tcW w:w="1848" w:type="dxa"/>
            <w:hideMark/>
          </w:tcPr>
          <w:p w14:paraId="5A1E841F" w14:textId="77777777" w:rsidR="00655C1F" w:rsidRPr="004213F6" w:rsidRDefault="00655C1F" w:rsidP="00CF5B24">
            <w:r w:rsidRPr="004213F6">
              <w:t>Guidelines on Health Economic Evaluation: Consensus paper</w:t>
            </w:r>
          </w:p>
        </w:tc>
        <w:tc>
          <w:tcPr>
            <w:tcW w:w="555" w:type="dxa"/>
            <w:hideMark/>
          </w:tcPr>
          <w:p w14:paraId="5FBF6CF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DC3C8B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AF8334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ED31A7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3ABC0D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F10ED7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773ACE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BBCE13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81A2B1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EF3FF4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1950C2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E00FBD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6C9D9E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8B9E76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EEF753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370C98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8EFEDE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78670B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B9DEB9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46345DD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5D1734F1" w14:textId="77777777" w:rsidTr="00CF5B24">
        <w:trPr>
          <w:trHeight w:val="2295"/>
        </w:trPr>
        <w:tc>
          <w:tcPr>
            <w:tcW w:w="910" w:type="dxa"/>
            <w:hideMark/>
          </w:tcPr>
          <w:p w14:paraId="21188919" w14:textId="77777777" w:rsidR="00655C1F" w:rsidRPr="004213F6" w:rsidRDefault="00655C1F" w:rsidP="00CF5B24">
            <w:r w:rsidRPr="004213F6">
              <w:t>Baltics (Latvia, Lithuania, Estonia)</w:t>
            </w:r>
          </w:p>
        </w:tc>
        <w:tc>
          <w:tcPr>
            <w:tcW w:w="1430" w:type="dxa"/>
            <w:hideMark/>
          </w:tcPr>
          <w:p w14:paraId="45503FCD" w14:textId="77777777" w:rsidR="00655C1F" w:rsidRPr="004213F6" w:rsidRDefault="00655C1F" w:rsidP="00CF5B24">
            <w:r w:rsidRPr="004213F6">
              <w:t>Baltic Guideline for Economic Evaluation of Pharmaceuticals</w:t>
            </w:r>
          </w:p>
        </w:tc>
        <w:tc>
          <w:tcPr>
            <w:tcW w:w="1848" w:type="dxa"/>
            <w:hideMark/>
          </w:tcPr>
          <w:p w14:paraId="32AC6C65" w14:textId="77777777" w:rsidR="00655C1F" w:rsidRPr="004213F6" w:rsidRDefault="00655C1F" w:rsidP="00CF5B24">
            <w:r w:rsidRPr="004213F6">
              <w:t>Baltic Guideline for Economic Evaluation of Pharmaceuticals</w:t>
            </w:r>
          </w:p>
        </w:tc>
        <w:tc>
          <w:tcPr>
            <w:tcW w:w="555" w:type="dxa"/>
            <w:hideMark/>
          </w:tcPr>
          <w:p w14:paraId="1BC73F2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5CD7FB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7A8BE0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F8F281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202363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9E62AA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E001B1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51D39C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D3F102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75BF8F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E6C0B1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1F2D4C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BD9216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3E2F06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42CF7D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C2D69F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548228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B611BB7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770F55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38053AF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19700FA3" w14:textId="77777777" w:rsidTr="00CF5B24">
        <w:trPr>
          <w:trHeight w:val="3825"/>
        </w:trPr>
        <w:tc>
          <w:tcPr>
            <w:tcW w:w="910" w:type="dxa"/>
            <w:hideMark/>
          </w:tcPr>
          <w:p w14:paraId="5E56EF9E" w14:textId="77777777" w:rsidR="00655C1F" w:rsidRPr="004213F6" w:rsidRDefault="00655C1F" w:rsidP="00CF5B24">
            <w:r w:rsidRPr="004213F6">
              <w:lastRenderedPageBreak/>
              <w:t>Belgium</w:t>
            </w:r>
          </w:p>
        </w:tc>
        <w:tc>
          <w:tcPr>
            <w:tcW w:w="1430" w:type="dxa"/>
            <w:hideMark/>
          </w:tcPr>
          <w:p w14:paraId="48337A15" w14:textId="77777777" w:rsidR="00655C1F" w:rsidRPr="004213F6" w:rsidRDefault="00655C1F" w:rsidP="00CF5B24">
            <w:r w:rsidRPr="004213F6">
              <w:t>Belgian Health Care Knowledge Centre</w:t>
            </w:r>
          </w:p>
        </w:tc>
        <w:tc>
          <w:tcPr>
            <w:tcW w:w="1848" w:type="dxa"/>
            <w:hideMark/>
          </w:tcPr>
          <w:p w14:paraId="79DF50DE" w14:textId="77777777" w:rsidR="00655C1F" w:rsidRPr="004213F6" w:rsidRDefault="00655C1F" w:rsidP="00CF5B24">
            <w:r w:rsidRPr="004213F6">
              <w:t>BELGIAN GUIDELINES FOR ECONOMIC EVALUATIONS AND BUDGET IMPACT ANALYSES: SECOND EDITION</w:t>
            </w:r>
          </w:p>
        </w:tc>
        <w:tc>
          <w:tcPr>
            <w:tcW w:w="555" w:type="dxa"/>
            <w:hideMark/>
          </w:tcPr>
          <w:p w14:paraId="072E3B4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3A5CD1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ABAD11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BF3327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BE50A4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CC72A7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FB502A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E3492D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1F1526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1F2807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F3779F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E5015F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1674E9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33FCB7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16DFD7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3A242A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2E4F5B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4B4160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BBEA1A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B4C4E98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6C69CB1D" w14:textId="77777777" w:rsidTr="00CF5B24">
        <w:trPr>
          <w:trHeight w:val="3315"/>
        </w:trPr>
        <w:tc>
          <w:tcPr>
            <w:tcW w:w="910" w:type="dxa"/>
            <w:hideMark/>
          </w:tcPr>
          <w:p w14:paraId="7B14A1B3" w14:textId="77777777" w:rsidR="00655C1F" w:rsidRPr="004213F6" w:rsidRDefault="00655C1F" w:rsidP="00CF5B24">
            <w:r w:rsidRPr="004213F6">
              <w:t>Brazil</w:t>
            </w:r>
          </w:p>
        </w:tc>
        <w:tc>
          <w:tcPr>
            <w:tcW w:w="1430" w:type="dxa"/>
            <w:hideMark/>
          </w:tcPr>
          <w:p w14:paraId="618C46C9" w14:textId="1E68135F" w:rsidR="00655C1F" w:rsidRPr="004213F6" w:rsidRDefault="00655C1F" w:rsidP="00CF5B24">
            <w:r w:rsidRPr="004213F6">
              <w:t>Ministry of Health, Secretariat of Science and Strategic Inputs, Department of Science and</w:t>
            </w:r>
            <w:r w:rsidR="005D6E01">
              <w:t xml:space="preserve"> </w:t>
            </w:r>
            <w:r w:rsidRPr="004213F6">
              <w:t xml:space="preserve">Technology </w:t>
            </w:r>
          </w:p>
        </w:tc>
        <w:tc>
          <w:tcPr>
            <w:tcW w:w="1848" w:type="dxa"/>
            <w:hideMark/>
          </w:tcPr>
          <w:p w14:paraId="5D848979" w14:textId="5A9EEFF3" w:rsidR="00655C1F" w:rsidRPr="004213F6" w:rsidRDefault="00655C1F" w:rsidP="00CF5B24">
            <w:r w:rsidRPr="004213F6">
              <w:t>Methodological Guidelines</w:t>
            </w:r>
            <w:r w:rsidR="005D6E01">
              <w:t xml:space="preserve"> </w:t>
            </w:r>
            <w:r w:rsidRPr="004213F6">
              <w:t>Economic Assessment Guideline</w:t>
            </w:r>
          </w:p>
        </w:tc>
        <w:tc>
          <w:tcPr>
            <w:tcW w:w="555" w:type="dxa"/>
            <w:hideMark/>
          </w:tcPr>
          <w:p w14:paraId="409ADBD8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FF0D519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252BDB9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E9378C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A8D7D7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1129B1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1D493E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33BCB6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7F631B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ADF06E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918FE0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ED5FCE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2530F4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77D812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4D008F7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BF498C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195510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8531BE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761CE3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E30423D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59426BD7" w14:textId="77777777" w:rsidTr="00CF5B24">
        <w:trPr>
          <w:trHeight w:val="3060"/>
        </w:trPr>
        <w:tc>
          <w:tcPr>
            <w:tcW w:w="910" w:type="dxa"/>
            <w:hideMark/>
          </w:tcPr>
          <w:p w14:paraId="31A21724" w14:textId="77777777" w:rsidR="00655C1F" w:rsidRPr="004213F6" w:rsidRDefault="00655C1F" w:rsidP="00CF5B24">
            <w:r w:rsidRPr="004213F6">
              <w:lastRenderedPageBreak/>
              <w:t>Canada</w:t>
            </w:r>
          </w:p>
        </w:tc>
        <w:tc>
          <w:tcPr>
            <w:tcW w:w="1430" w:type="dxa"/>
            <w:hideMark/>
          </w:tcPr>
          <w:p w14:paraId="325E8071" w14:textId="77777777" w:rsidR="00655C1F" w:rsidRPr="004213F6" w:rsidRDefault="00655C1F" w:rsidP="00CF5B24">
            <w:r w:rsidRPr="004213F6">
              <w:t>The Canadian Agency for Drugs and Technologies in Health</w:t>
            </w:r>
          </w:p>
        </w:tc>
        <w:tc>
          <w:tcPr>
            <w:tcW w:w="1848" w:type="dxa"/>
            <w:hideMark/>
          </w:tcPr>
          <w:p w14:paraId="6E724A03" w14:textId="77777777" w:rsidR="00655C1F" w:rsidRPr="004213F6" w:rsidRDefault="00655C1F" w:rsidP="00CF5B24">
            <w:r w:rsidRPr="004213F6">
              <w:t>Guidelines for the Economic Evaluation of Health Technologies: Canada 4th Edition</w:t>
            </w:r>
          </w:p>
        </w:tc>
        <w:tc>
          <w:tcPr>
            <w:tcW w:w="555" w:type="dxa"/>
            <w:hideMark/>
          </w:tcPr>
          <w:p w14:paraId="318E429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399C505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CC25AF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728954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AF31BE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B81803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21FE8D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2D3532F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CEFF40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C72B93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839589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B0957B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0783CF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FC88078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9F524C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C91C8E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FD620F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4BC4B2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69CB8D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56BF27C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40F9BB02" w14:textId="77777777" w:rsidTr="00CF5B24">
        <w:trPr>
          <w:trHeight w:val="6375"/>
        </w:trPr>
        <w:tc>
          <w:tcPr>
            <w:tcW w:w="910" w:type="dxa"/>
            <w:hideMark/>
          </w:tcPr>
          <w:p w14:paraId="64300D6A" w14:textId="77777777" w:rsidR="00655C1F" w:rsidRPr="004213F6" w:rsidRDefault="00655C1F" w:rsidP="00CF5B24">
            <w:r w:rsidRPr="004213F6">
              <w:t>Chile</w:t>
            </w:r>
          </w:p>
        </w:tc>
        <w:tc>
          <w:tcPr>
            <w:tcW w:w="1430" w:type="dxa"/>
            <w:hideMark/>
          </w:tcPr>
          <w:p w14:paraId="227F9472" w14:textId="77777777" w:rsidR="00655C1F" w:rsidRPr="004213F6" w:rsidRDefault="00655C1F" w:rsidP="00CF5B24">
            <w:r w:rsidRPr="004213F6">
              <w:t xml:space="preserve"> </w:t>
            </w:r>
            <w:proofErr w:type="spellStart"/>
            <w:r w:rsidRPr="004213F6">
              <w:t>Departamento</w:t>
            </w:r>
            <w:proofErr w:type="spellEnd"/>
            <w:r w:rsidRPr="004213F6">
              <w:t xml:space="preserve"> de </w:t>
            </w:r>
            <w:proofErr w:type="spellStart"/>
            <w:r w:rsidRPr="004213F6">
              <w:t>Economía</w:t>
            </w:r>
            <w:proofErr w:type="spellEnd"/>
            <w:r w:rsidRPr="004213F6">
              <w:t xml:space="preserve"> de la </w:t>
            </w:r>
            <w:proofErr w:type="spellStart"/>
            <w:r w:rsidRPr="004213F6">
              <w:t>Salud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Subsecretaría</w:t>
            </w:r>
            <w:proofErr w:type="spellEnd"/>
            <w:r w:rsidRPr="004213F6">
              <w:t xml:space="preserve"> de </w:t>
            </w:r>
            <w:proofErr w:type="spellStart"/>
            <w:r w:rsidRPr="004213F6">
              <w:t>Salud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Pública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Ministerio</w:t>
            </w:r>
            <w:proofErr w:type="spellEnd"/>
            <w:r w:rsidRPr="004213F6">
              <w:t xml:space="preserve"> de </w:t>
            </w:r>
            <w:proofErr w:type="spellStart"/>
            <w:r w:rsidRPr="004213F6">
              <w:t>Salud</w:t>
            </w:r>
            <w:proofErr w:type="spellEnd"/>
            <w:r w:rsidRPr="004213F6">
              <w:t xml:space="preserve"> de Chile (Department of Health Economics, Undersecretary of Public Health, Ministry of Health of Chile)</w:t>
            </w:r>
          </w:p>
        </w:tc>
        <w:tc>
          <w:tcPr>
            <w:tcW w:w="1848" w:type="dxa"/>
            <w:hideMark/>
          </w:tcPr>
          <w:p w14:paraId="136E9356" w14:textId="77777777" w:rsidR="00655C1F" w:rsidRPr="004213F6" w:rsidRDefault="00655C1F" w:rsidP="00CF5B24">
            <w:r w:rsidRPr="004213F6">
              <w:t>GUÍA METODOLÓGICA PARA LA EVALUACIÓN ECONÓMICA DE INTERVENCIONES EN SALUD EN CHILE (Methodologic guide for the economic evaluation of health interventions in Chile"</w:t>
            </w:r>
          </w:p>
        </w:tc>
        <w:tc>
          <w:tcPr>
            <w:tcW w:w="555" w:type="dxa"/>
            <w:hideMark/>
          </w:tcPr>
          <w:p w14:paraId="14170D6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5369127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0F70D7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0CD6A9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37E4E0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F84A34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E796BA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32370A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1A5480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CC9F9F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B8700A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531AA1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D56110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9D77AD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A8FEF9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EE6F56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D624FA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2F97B46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9F1C13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A8E5257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5C9D7E6D" w14:textId="77777777" w:rsidTr="00CF5B24">
        <w:trPr>
          <w:trHeight w:val="4335"/>
        </w:trPr>
        <w:tc>
          <w:tcPr>
            <w:tcW w:w="910" w:type="dxa"/>
            <w:hideMark/>
          </w:tcPr>
          <w:p w14:paraId="478808AE" w14:textId="77777777" w:rsidR="00655C1F" w:rsidRPr="004213F6" w:rsidRDefault="00655C1F" w:rsidP="00CF5B24">
            <w:r w:rsidRPr="004213F6">
              <w:t>China</w:t>
            </w:r>
          </w:p>
        </w:tc>
        <w:tc>
          <w:tcPr>
            <w:tcW w:w="1430" w:type="dxa"/>
            <w:hideMark/>
          </w:tcPr>
          <w:p w14:paraId="48C1C397" w14:textId="77777777" w:rsidR="00655C1F" w:rsidRPr="004213F6" w:rsidRDefault="00655C1F" w:rsidP="00CF5B24">
            <w:r w:rsidRPr="004213F6">
              <w:t>Chinese Pharmaceutical Association, China Society for Pharmacoeconomics and Outcomes Research, ISPOR Beijing Chapter Dec</w:t>
            </w:r>
          </w:p>
        </w:tc>
        <w:tc>
          <w:tcPr>
            <w:tcW w:w="1848" w:type="dxa"/>
            <w:hideMark/>
          </w:tcPr>
          <w:p w14:paraId="4C796387" w14:textId="77777777" w:rsidR="00655C1F" w:rsidRPr="004213F6" w:rsidRDefault="00655C1F" w:rsidP="00CF5B24">
            <w:r w:rsidRPr="004213F6">
              <w:t>China Guidelines for Pharmacoeconomic Evaluations</w:t>
            </w:r>
          </w:p>
        </w:tc>
        <w:tc>
          <w:tcPr>
            <w:tcW w:w="555" w:type="dxa"/>
            <w:hideMark/>
          </w:tcPr>
          <w:p w14:paraId="67EC0C8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5AA8D9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B07745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806D8D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9B9828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CD1476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3AC92B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7E84F96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E60C17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0EB563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F5831B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578CF8A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6BEBD9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E7C4F9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206A98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4A3618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AE294E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21770F67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F969FB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079D2ED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2FE441A0" w14:textId="77777777" w:rsidTr="00CF5B24">
        <w:trPr>
          <w:trHeight w:val="4080"/>
        </w:trPr>
        <w:tc>
          <w:tcPr>
            <w:tcW w:w="910" w:type="dxa"/>
            <w:hideMark/>
          </w:tcPr>
          <w:p w14:paraId="2107FB82" w14:textId="77777777" w:rsidR="00655C1F" w:rsidRPr="004213F6" w:rsidRDefault="00655C1F" w:rsidP="00CF5B24">
            <w:r w:rsidRPr="004213F6">
              <w:t>Colombia</w:t>
            </w:r>
          </w:p>
        </w:tc>
        <w:tc>
          <w:tcPr>
            <w:tcW w:w="1430" w:type="dxa"/>
            <w:hideMark/>
          </w:tcPr>
          <w:p w14:paraId="4A487C59" w14:textId="77777777" w:rsidR="00655C1F" w:rsidRPr="004213F6" w:rsidRDefault="00655C1F" w:rsidP="00CF5B24">
            <w:proofErr w:type="spellStart"/>
            <w:r w:rsidRPr="004213F6">
              <w:t>Instituto</w:t>
            </w:r>
            <w:proofErr w:type="spellEnd"/>
            <w:r w:rsidRPr="004213F6">
              <w:t xml:space="preserve"> de </w:t>
            </w:r>
            <w:proofErr w:type="spellStart"/>
            <w:r w:rsidRPr="004213F6">
              <w:t>Evaluación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Tecnológica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en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Salud</w:t>
            </w:r>
            <w:proofErr w:type="spellEnd"/>
            <w:r w:rsidRPr="004213F6">
              <w:t xml:space="preserve"> – IETS</w:t>
            </w:r>
          </w:p>
        </w:tc>
        <w:tc>
          <w:tcPr>
            <w:tcW w:w="1848" w:type="dxa"/>
            <w:hideMark/>
          </w:tcPr>
          <w:p w14:paraId="59D73F2B" w14:textId="77777777" w:rsidR="00655C1F" w:rsidRPr="004213F6" w:rsidRDefault="00655C1F" w:rsidP="00CF5B24">
            <w:r w:rsidRPr="004213F6">
              <w:t xml:space="preserve">Manual for the elaboration of health economic evaluations (Manual para la </w:t>
            </w:r>
            <w:proofErr w:type="spellStart"/>
            <w:r w:rsidRPr="004213F6">
              <w:t>elaboracion</w:t>
            </w:r>
            <w:proofErr w:type="spellEnd"/>
            <w:r w:rsidRPr="004213F6">
              <w:t xml:space="preserve"> de </w:t>
            </w:r>
            <w:proofErr w:type="spellStart"/>
            <w:r w:rsidRPr="004213F6">
              <w:t>evaluaciones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economicas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en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salud</w:t>
            </w:r>
            <w:proofErr w:type="spellEnd"/>
            <w:r w:rsidRPr="004213F6">
              <w:t>)</w:t>
            </w:r>
          </w:p>
        </w:tc>
        <w:tc>
          <w:tcPr>
            <w:tcW w:w="555" w:type="dxa"/>
            <w:hideMark/>
          </w:tcPr>
          <w:p w14:paraId="319F307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313D30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A94509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6E3C96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BB16DF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0D5AEB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09CB60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6FF83E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373331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57B00D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ADBD1E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E0F912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640A57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917A7D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B8E70A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285255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8F55C1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7D977C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CD5D0D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1B961A8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650FEC17" w14:textId="77777777" w:rsidTr="00CF5B24">
        <w:trPr>
          <w:trHeight w:val="5100"/>
        </w:trPr>
        <w:tc>
          <w:tcPr>
            <w:tcW w:w="910" w:type="dxa"/>
            <w:hideMark/>
          </w:tcPr>
          <w:p w14:paraId="62B65790" w14:textId="77777777" w:rsidR="00655C1F" w:rsidRPr="004213F6" w:rsidRDefault="00655C1F" w:rsidP="00CF5B24">
            <w:r w:rsidRPr="004213F6">
              <w:t>Croatia</w:t>
            </w:r>
          </w:p>
        </w:tc>
        <w:tc>
          <w:tcPr>
            <w:tcW w:w="1430" w:type="dxa"/>
            <w:hideMark/>
          </w:tcPr>
          <w:p w14:paraId="084A113F" w14:textId="77777777" w:rsidR="00655C1F" w:rsidRPr="004213F6" w:rsidRDefault="00655C1F" w:rsidP="00CF5B24">
            <w:r w:rsidRPr="004213F6">
              <w:t>Agency for Quality and Accreditation in Health Care, Croatia Department for Development, Research and Health Technology Assessment</w:t>
            </w:r>
          </w:p>
        </w:tc>
        <w:tc>
          <w:tcPr>
            <w:tcW w:w="1848" w:type="dxa"/>
            <w:hideMark/>
          </w:tcPr>
          <w:p w14:paraId="1C8460E0" w14:textId="77777777" w:rsidR="00655C1F" w:rsidRPr="004213F6" w:rsidRDefault="00655C1F" w:rsidP="00CF5B24">
            <w:r w:rsidRPr="004213F6">
              <w:t>The Croatian Guideline for Health Technology Assessment Process and Reporting</w:t>
            </w:r>
          </w:p>
        </w:tc>
        <w:tc>
          <w:tcPr>
            <w:tcW w:w="555" w:type="dxa"/>
            <w:hideMark/>
          </w:tcPr>
          <w:p w14:paraId="1D8533B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A1CB74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AAF546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3454C0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481ADB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DF2EA4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B13601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15B381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3829D7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4E0E94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3612D7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21A19A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E57EDD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E4B614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CE1139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1B9D72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180F08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A99403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440720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762D19B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00AF963B" w14:textId="77777777" w:rsidTr="00CF5B24">
        <w:trPr>
          <w:trHeight w:val="3060"/>
        </w:trPr>
        <w:tc>
          <w:tcPr>
            <w:tcW w:w="910" w:type="dxa"/>
            <w:hideMark/>
          </w:tcPr>
          <w:p w14:paraId="2EE124D2" w14:textId="77777777" w:rsidR="00655C1F" w:rsidRPr="004213F6" w:rsidRDefault="00655C1F" w:rsidP="00CF5B24">
            <w:r w:rsidRPr="004213F6">
              <w:t>Cuba</w:t>
            </w:r>
          </w:p>
        </w:tc>
        <w:tc>
          <w:tcPr>
            <w:tcW w:w="1430" w:type="dxa"/>
            <w:hideMark/>
          </w:tcPr>
          <w:p w14:paraId="0E4E4670" w14:textId="77777777" w:rsidR="00655C1F" w:rsidRPr="004213F6" w:rsidRDefault="00655C1F" w:rsidP="00CF5B24">
            <w:r w:rsidRPr="004213F6">
              <w:t>Ministry of Public Health, National School of Public Health, Economy Area</w:t>
            </w:r>
          </w:p>
        </w:tc>
        <w:tc>
          <w:tcPr>
            <w:tcW w:w="1848" w:type="dxa"/>
            <w:hideMark/>
          </w:tcPr>
          <w:p w14:paraId="6BF0E85D" w14:textId="77777777" w:rsidR="00655C1F" w:rsidRPr="004213F6" w:rsidRDefault="00655C1F" w:rsidP="00CF5B24">
            <w:r w:rsidRPr="004213F6">
              <w:t>METHODOLOGICAL GUIDE FOR ECONOMIC EVALUATION IN HEALTH. CUBA. 2003</w:t>
            </w:r>
          </w:p>
        </w:tc>
        <w:tc>
          <w:tcPr>
            <w:tcW w:w="555" w:type="dxa"/>
            <w:hideMark/>
          </w:tcPr>
          <w:p w14:paraId="140F2209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3997CA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24ED94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5F303E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6E9F08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7BDB16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34AA88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22F6E0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09BC99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392A78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C3122C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40F41F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862AA9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C3791D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AE1B76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046826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C06617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7BD70D2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4200D4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CA9FF2F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346B74C4" w14:textId="77777777" w:rsidTr="00CF5B24">
        <w:trPr>
          <w:trHeight w:val="8190"/>
        </w:trPr>
        <w:tc>
          <w:tcPr>
            <w:tcW w:w="910" w:type="dxa"/>
            <w:hideMark/>
          </w:tcPr>
          <w:p w14:paraId="6B22F4FA" w14:textId="77777777" w:rsidR="00655C1F" w:rsidRPr="004213F6" w:rsidRDefault="00655C1F" w:rsidP="00CF5B24">
            <w:r w:rsidRPr="004213F6">
              <w:t>Czech Republic</w:t>
            </w:r>
          </w:p>
        </w:tc>
        <w:tc>
          <w:tcPr>
            <w:tcW w:w="1430" w:type="dxa"/>
            <w:hideMark/>
          </w:tcPr>
          <w:p w14:paraId="371D06B8" w14:textId="77777777" w:rsidR="00655C1F" w:rsidRPr="004213F6" w:rsidRDefault="00655C1F" w:rsidP="00CF5B24">
            <w:proofErr w:type="spellStart"/>
            <w:r w:rsidRPr="004213F6">
              <w:t>České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farmakoekonomické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společnosti</w:t>
            </w:r>
            <w:proofErr w:type="spellEnd"/>
            <w:r w:rsidRPr="004213F6">
              <w:t xml:space="preserve"> (ČFES)</w:t>
            </w:r>
          </w:p>
        </w:tc>
        <w:tc>
          <w:tcPr>
            <w:tcW w:w="1848" w:type="dxa"/>
            <w:hideMark/>
          </w:tcPr>
          <w:p w14:paraId="6F97956F" w14:textId="77777777" w:rsidR="00655C1F" w:rsidRPr="004213F6" w:rsidRDefault="00655C1F" w:rsidP="00CF5B24">
            <w:r w:rsidRPr="004213F6">
              <w:t xml:space="preserve">Recommended procedures of the Czech </w:t>
            </w:r>
            <w:proofErr w:type="spellStart"/>
            <w:r w:rsidRPr="004213F6">
              <w:t>Pharmacoeconomic</w:t>
            </w:r>
            <w:proofErr w:type="spellEnd"/>
            <w:r w:rsidRPr="004213F6">
              <w:t xml:space="preserve"> Society (</w:t>
            </w:r>
            <w:proofErr w:type="spellStart"/>
            <w:r w:rsidRPr="004213F6">
              <w:t>ÿFES</w:t>
            </w:r>
            <w:proofErr w:type="spellEnd"/>
            <w:r w:rsidRPr="004213F6">
              <w:t>) for health and economic evaluations in the Czech Republic (</w:t>
            </w:r>
            <w:proofErr w:type="spellStart"/>
            <w:r w:rsidRPr="004213F6">
              <w:t>Doporučené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postupy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České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farmakoekonomické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společnosti</w:t>
            </w:r>
            <w:proofErr w:type="spellEnd"/>
            <w:r w:rsidRPr="004213F6">
              <w:t xml:space="preserve"> (ČFES) pro </w:t>
            </w:r>
            <w:proofErr w:type="spellStart"/>
            <w:r w:rsidRPr="004213F6">
              <w:t>zdravotně-ekonomická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hodnocení</w:t>
            </w:r>
            <w:proofErr w:type="spellEnd"/>
            <w:r w:rsidRPr="004213F6">
              <w:t xml:space="preserve"> v ČR </w:t>
            </w:r>
            <w:proofErr w:type="spellStart"/>
            <w:r w:rsidRPr="004213F6">
              <w:t>Pracovní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skupina</w:t>
            </w:r>
            <w:proofErr w:type="spellEnd"/>
            <w:r w:rsidRPr="004213F6">
              <w:t xml:space="preserve"> pro </w:t>
            </w:r>
            <w:proofErr w:type="spellStart"/>
            <w:r w:rsidRPr="004213F6">
              <w:t>tvorbu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doporučených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postupů</w:t>
            </w:r>
            <w:proofErr w:type="spellEnd"/>
            <w:r w:rsidRPr="004213F6">
              <w:t xml:space="preserve"> ČFES </w:t>
            </w:r>
            <w:proofErr w:type="spellStart"/>
            <w:r w:rsidRPr="004213F6">
              <w:t>Duben</w:t>
            </w:r>
            <w:proofErr w:type="spellEnd"/>
            <w:r w:rsidRPr="004213F6">
              <w:t>)</w:t>
            </w:r>
          </w:p>
        </w:tc>
        <w:tc>
          <w:tcPr>
            <w:tcW w:w="555" w:type="dxa"/>
            <w:hideMark/>
          </w:tcPr>
          <w:p w14:paraId="254CC64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D603EE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05B0AD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FBB1CB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84A619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88DC88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252962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556DEA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0A7DAD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283832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A4C7F7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3C1B71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998D6A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7707A0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106F7F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363EE9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BC4D63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95BFBF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38DEEF3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B8C6780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2C7C04B1" w14:textId="77777777" w:rsidTr="00CF5B24">
        <w:trPr>
          <w:trHeight w:val="2550"/>
        </w:trPr>
        <w:tc>
          <w:tcPr>
            <w:tcW w:w="910" w:type="dxa"/>
            <w:hideMark/>
          </w:tcPr>
          <w:p w14:paraId="196B3FD3" w14:textId="77777777" w:rsidR="00655C1F" w:rsidRPr="004213F6" w:rsidRDefault="00655C1F" w:rsidP="00CF5B24">
            <w:r w:rsidRPr="004213F6">
              <w:t>Denmark</w:t>
            </w:r>
          </w:p>
        </w:tc>
        <w:tc>
          <w:tcPr>
            <w:tcW w:w="1430" w:type="dxa"/>
            <w:hideMark/>
          </w:tcPr>
          <w:p w14:paraId="427C331B" w14:textId="77777777" w:rsidR="00655C1F" w:rsidRPr="004213F6" w:rsidRDefault="00655C1F" w:rsidP="00CF5B24">
            <w:r w:rsidRPr="004213F6">
              <w:t>Danish Centre for Health Technology Assessment, National Board of Health</w:t>
            </w:r>
          </w:p>
        </w:tc>
        <w:tc>
          <w:tcPr>
            <w:tcW w:w="1848" w:type="dxa"/>
            <w:hideMark/>
          </w:tcPr>
          <w:p w14:paraId="31C16827" w14:textId="77777777" w:rsidR="00655C1F" w:rsidRPr="004213F6" w:rsidRDefault="00655C1F" w:rsidP="00CF5B24">
            <w:r w:rsidRPr="004213F6">
              <w:t>Health Technology Assessment Handbook</w:t>
            </w:r>
          </w:p>
        </w:tc>
        <w:tc>
          <w:tcPr>
            <w:tcW w:w="555" w:type="dxa"/>
            <w:hideMark/>
          </w:tcPr>
          <w:p w14:paraId="63C575B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94297C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AC53EA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C02521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013C46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1615B2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EF2136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7DF14B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42A0D3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C48D57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130EBDA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CD4CC9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AB9476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0F5D0A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151748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CF00FD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09BCEA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4536FB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FF2750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381252D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27938FAA" w14:textId="77777777" w:rsidTr="00CF5B24">
        <w:trPr>
          <w:trHeight w:val="3060"/>
        </w:trPr>
        <w:tc>
          <w:tcPr>
            <w:tcW w:w="910" w:type="dxa"/>
            <w:hideMark/>
          </w:tcPr>
          <w:p w14:paraId="2CCCCFDF" w14:textId="77777777" w:rsidR="00655C1F" w:rsidRPr="004213F6" w:rsidRDefault="00655C1F" w:rsidP="00CF5B24">
            <w:r w:rsidRPr="004213F6">
              <w:t>Drummond et al</w:t>
            </w:r>
          </w:p>
        </w:tc>
        <w:tc>
          <w:tcPr>
            <w:tcW w:w="1430" w:type="dxa"/>
            <w:hideMark/>
          </w:tcPr>
          <w:p w14:paraId="484F621F" w14:textId="77777777" w:rsidR="00655C1F" w:rsidRPr="004213F6" w:rsidRDefault="00655C1F" w:rsidP="00CF5B24">
            <w:r w:rsidRPr="004213F6">
              <w:t>Drummond et al.</w:t>
            </w:r>
          </w:p>
        </w:tc>
        <w:tc>
          <w:tcPr>
            <w:tcW w:w="1848" w:type="dxa"/>
            <w:hideMark/>
          </w:tcPr>
          <w:p w14:paraId="28741D60" w14:textId="77777777" w:rsidR="00655C1F" w:rsidRPr="004213F6" w:rsidRDefault="00655C1F" w:rsidP="00CF5B24">
            <w:r w:rsidRPr="004213F6">
              <w:t xml:space="preserve">Methods for the Economic Evaluation of Health Care </w:t>
            </w:r>
            <w:proofErr w:type="spellStart"/>
            <w:r w:rsidRPr="004213F6">
              <w:t>Programmes</w:t>
            </w:r>
            <w:proofErr w:type="spellEnd"/>
            <w:r w:rsidRPr="004213F6">
              <w:t>, Fourth Edition</w:t>
            </w:r>
          </w:p>
        </w:tc>
        <w:tc>
          <w:tcPr>
            <w:tcW w:w="555" w:type="dxa"/>
            <w:hideMark/>
          </w:tcPr>
          <w:p w14:paraId="0997A4C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998080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7879E4AA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74636F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BB72FB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DAF64A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CB5A30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F3C122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E90DDC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697CD17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8A3C9F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E88D88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2E8C42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6B932A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9D8220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39D603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7804438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EC5DAF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76DAED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5D92CAB" w14:textId="77777777" w:rsidR="00655C1F" w:rsidRPr="004213F6" w:rsidRDefault="00655C1F" w:rsidP="00CF5B24">
            <w:r w:rsidRPr="004213F6">
              <w:t>Yes</w:t>
            </w:r>
          </w:p>
        </w:tc>
      </w:tr>
      <w:tr w:rsidR="00655C1F" w:rsidRPr="004213F6" w14:paraId="58956CC2" w14:textId="77777777" w:rsidTr="00CF5B24">
        <w:trPr>
          <w:trHeight w:val="2550"/>
        </w:trPr>
        <w:tc>
          <w:tcPr>
            <w:tcW w:w="910" w:type="dxa"/>
            <w:hideMark/>
          </w:tcPr>
          <w:p w14:paraId="62FB23D4" w14:textId="77777777" w:rsidR="00655C1F" w:rsidRPr="004213F6" w:rsidRDefault="00655C1F" w:rsidP="00CF5B24">
            <w:r w:rsidRPr="004213F6">
              <w:t>Egypt</w:t>
            </w:r>
          </w:p>
        </w:tc>
        <w:tc>
          <w:tcPr>
            <w:tcW w:w="1430" w:type="dxa"/>
            <w:hideMark/>
          </w:tcPr>
          <w:p w14:paraId="579A6943" w14:textId="77777777" w:rsidR="00655C1F" w:rsidRPr="004213F6" w:rsidRDefault="00655C1F" w:rsidP="00CF5B24">
            <w:r w:rsidRPr="004213F6">
              <w:t>Ministry of Health and Population, Egypt</w:t>
            </w:r>
          </w:p>
        </w:tc>
        <w:tc>
          <w:tcPr>
            <w:tcW w:w="1848" w:type="dxa"/>
            <w:hideMark/>
          </w:tcPr>
          <w:p w14:paraId="59C502BC" w14:textId="77777777" w:rsidR="00655C1F" w:rsidRPr="004213F6" w:rsidRDefault="00655C1F" w:rsidP="00CF5B24">
            <w:r w:rsidRPr="004213F6">
              <w:t>Recommendations for Reporting Pharmacoeconomic Evaluations in Egypt</w:t>
            </w:r>
          </w:p>
        </w:tc>
        <w:tc>
          <w:tcPr>
            <w:tcW w:w="555" w:type="dxa"/>
            <w:hideMark/>
          </w:tcPr>
          <w:p w14:paraId="7606C68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CFA256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379682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39CD57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2B60C6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D067A8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C98305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584420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DE5725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65F3F4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F0A727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ED4F3A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A9413A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DC2BA2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26CEEE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8168B6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3EEED0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008BE2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A739B0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00E8872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1A1CAC6A" w14:textId="77777777" w:rsidTr="00CF5B24">
        <w:trPr>
          <w:trHeight w:val="1530"/>
        </w:trPr>
        <w:tc>
          <w:tcPr>
            <w:tcW w:w="910" w:type="dxa"/>
            <w:hideMark/>
          </w:tcPr>
          <w:p w14:paraId="777A252A" w14:textId="77777777" w:rsidR="00655C1F" w:rsidRPr="004213F6" w:rsidRDefault="00655C1F" w:rsidP="00CF5B24">
            <w:r w:rsidRPr="004213F6">
              <w:t>England</w:t>
            </w:r>
          </w:p>
        </w:tc>
        <w:tc>
          <w:tcPr>
            <w:tcW w:w="1430" w:type="dxa"/>
            <w:hideMark/>
          </w:tcPr>
          <w:p w14:paraId="23F0C288" w14:textId="77777777" w:rsidR="00655C1F" w:rsidRPr="004213F6" w:rsidRDefault="00655C1F" w:rsidP="00CF5B24">
            <w:r w:rsidRPr="004213F6">
              <w:t>National Institute for Health and Care Excellence</w:t>
            </w:r>
          </w:p>
        </w:tc>
        <w:tc>
          <w:tcPr>
            <w:tcW w:w="1848" w:type="dxa"/>
            <w:hideMark/>
          </w:tcPr>
          <w:p w14:paraId="6663A210" w14:textId="77777777" w:rsidR="00655C1F" w:rsidRPr="004213F6" w:rsidRDefault="00655C1F" w:rsidP="00CF5B24">
            <w:r w:rsidRPr="004213F6">
              <w:t>Developing NICE guidelines: the manual</w:t>
            </w:r>
          </w:p>
        </w:tc>
        <w:tc>
          <w:tcPr>
            <w:tcW w:w="555" w:type="dxa"/>
            <w:hideMark/>
          </w:tcPr>
          <w:p w14:paraId="174D24AB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5847A5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655C9E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43041AB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A541C4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7CDC3D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BDF904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AAE1CC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493C2B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3A26D1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940713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844EF1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79680C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3D750B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63FA6E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2F3283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55A8B37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D9B908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40452D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4EA4317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4618CC9D" w14:textId="77777777" w:rsidTr="00CF5B24">
        <w:trPr>
          <w:trHeight w:val="6885"/>
        </w:trPr>
        <w:tc>
          <w:tcPr>
            <w:tcW w:w="910" w:type="dxa"/>
            <w:hideMark/>
          </w:tcPr>
          <w:p w14:paraId="590F16ED" w14:textId="77777777" w:rsidR="00655C1F" w:rsidRPr="004213F6" w:rsidRDefault="00655C1F" w:rsidP="00CF5B24">
            <w:r w:rsidRPr="004213F6">
              <w:t>Finland</w:t>
            </w:r>
          </w:p>
        </w:tc>
        <w:tc>
          <w:tcPr>
            <w:tcW w:w="1430" w:type="dxa"/>
            <w:hideMark/>
          </w:tcPr>
          <w:p w14:paraId="32EF79AF" w14:textId="77777777" w:rsidR="00655C1F" w:rsidRPr="004213F6" w:rsidRDefault="00655C1F" w:rsidP="00CF5B24">
            <w:r w:rsidRPr="004213F6">
              <w:t>Pharmaceuticals Pricing Board (</w:t>
            </w:r>
            <w:proofErr w:type="spellStart"/>
            <w:r w:rsidRPr="004213F6">
              <w:t>Lääkkeiden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Hintalautakunta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Läkemedelsprisnämnden</w:t>
            </w:r>
            <w:proofErr w:type="spellEnd"/>
            <w:r w:rsidRPr="004213F6">
              <w:t>)</w:t>
            </w:r>
          </w:p>
        </w:tc>
        <w:tc>
          <w:tcPr>
            <w:tcW w:w="1848" w:type="dxa"/>
            <w:hideMark/>
          </w:tcPr>
          <w:p w14:paraId="281C0485" w14:textId="77777777" w:rsidR="00655C1F" w:rsidRPr="004213F6" w:rsidRDefault="00655C1F" w:rsidP="00CF5B24">
            <w:r w:rsidRPr="004213F6">
              <w:t>PREPARING A HEALTH ECONOMIC EVALUATION TO BE ATTACHED TO THE APPLICA-TION FOR REIMBURSEMENT STATUS AND WHOLESALE PRICE FOR A MEDICINAL PRODUCT</w:t>
            </w:r>
          </w:p>
        </w:tc>
        <w:tc>
          <w:tcPr>
            <w:tcW w:w="555" w:type="dxa"/>
            <w:hideMark/>
          </w:tcPr>
          <w:p w14:paraId="55E622E7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8D5E7C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129EB2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02E140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2C4000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440F29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AA6827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0E845C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9CA593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2CD25A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329C0D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3D713A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D18CB1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B3382A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228FA7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91D9C5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003B22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8D5BE3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AEEDAC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84B26B6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45F3E8C7" w14:textId="77777777" w:rsidTr="00CF5B24">
        <w:trPr>
          <w:trHeight w:val="4335"/>
        </w:trPr>
        <w:tc>
          <w:tcPr>
            <w:tcW w:w="910" w:type="dxa"/>
            <w:hideMark/>
          </w:tcPr>
          <w:p w14:paraId="406E7B3A" w14:textId="77777777" w:rsidR="00655C1F" w:rsidRPr="004213F6" w:rsidRDefault="00655C1F" w:rsidP="00CF5B24">
            <w:r w:rsidRPr="004213F6">
              <w:t>France</w:t>
            </w:r>
          </w:p>
        </w:tc>
        <w:tc>
          <w:tcPr>
            <w:tcW w:w="1430" w:type="dxa"/>
            <w:hideMark/>
          </w:tcPr>
          <w:p w14:paraId="697A31E4" w14:textId="77777777" w:rsidR="00655C1F" w:rsidRPr="004213F6" w:rsidRDefault="00655C1F" w:rsidP="00CF5B24">
            <w:r w:rsidRPr="004213F6">
              <w:t xml:space="preserve">French National Authority for Health (Haute </w:t>
            </w:r>
            <w:proofErr w:type="spellStart"/>
            <w:r w:rsidRPr="004213F6">
              <w:t>Autorité</w:t>
            </w:r>
            <w:proofErr w:type="spellEnd"/>
            <w:r w:rsidRPr="004213F6">
              <w:t xml:space="preserve"> de santé (HAS))</w:t>
            </w:r>
          </w:p>
        </w:tc>
        <w:tc>
          <w:tcPr>
            <w:tcW w:w="1848" w:type="dxa"/>
            <w:hideMark/>
          </w:tcPr>
          <w:p w14:paraId="0FD8DF28" w14:textId="77777777" w:rsidR="00655C1F" w:rsidRPr="004213F6" w:rsidRDefault="00655C1F" w:rsidP="00CF5B24">
            <w:r w:rsidRPr="004213F6">
              <w:t>Choices in Methods for Economic Evaluation to HAS (</w:t>
            </w:r>
            <w:proofErr w:type="spellStart"/>
            <w:r w:rsidRPr="004213F6">
              <w:t>Choix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méthodologiques</w:t>
            </w:r>
            <w:proofErr w:type="spellEnd"/>
            <w:r w:rsidRPr="004213F6">
              <w:t xml:space="preserve"> pour </w:t>
            </w:r>
            <w:proofErr w:type="spellStart"/>
            <w:r w:rsidRPr="004213F6">
              <w:t>l'évaluation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économique</w:t>
            </w:r>
            <w:proofErr w:type="spellEnd"/>
            <w:r w:rsidRPr="004213F6">
              <w:t xml:space="preserve"> à la HAS)</w:t>
            </w:r>
          </w:p>
        </w:tc>
        <w:tc>
          <w:tcPr>
            <w:tcW w:w="555" w:type="dxa"/>
            <w:hideMark/>
          </w:tcPr>
          <w:p w14:paraId="0DF5C78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8F3DF7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ED0507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8AAB6B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830AF7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EC88DC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EF2BB98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1137C9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339F02B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639301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AF64F2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648380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B99633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680218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C93FFA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4C2A26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9DDE878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12C184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3ABA5E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B091193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7A2C6A0A" w14:textId="77777777" w:rsidTr="00CF5B24">
        <w:trPr>
          <w:trHeight w:val="3825"/>
        </w:trPr>
        <w:tc>
          <w:tcPr>
            <w:tcW w:w="910" w:type="dxa"/>
            <w:hideMark/>
          </w:tcPr>
          <w:p w14:paraId="3935F2DC" w14:textId="77777777" w:rsidR="00655C1F" w:rsidRPr="004213F6" w:rsidRDefault="00655C1F" w:rsidP="00CF5B24">
            <w:r w:rsidRPr="004213F6">
              <w:t>Germany</w:t>
            </w:r>
          </w:p>
        </w:tc>
        <w:tc>
          <w:tcPr>
            <w:tcW w:w="1430" w:type="dxa"/>
            <w:hideMark/>
          </w:tcPr>
          <w:p w14:paraId="65B2B038" w14:textId="77777777" w:rsidR="00655C1F" w:rsidRPr="004213F6" w:rsidRDefault="00655C1F" w:rsidP="00CF5B24">
            <w:r w:rsidRPr="004213F6">
              <w:t>Institute for Quality and Efficiency in Health Care (</w:t>
            </w:r>
            <w:proofErr w:type="spellStart"/>
            <w:r w:rsidRPr="004213F6">
              <w:t>IQWiG</w:t>
            </w:r>
            <w:proofErr w:type="spellEnd"/>
            <w:r w:rsidRPr="004213F6">
              <w:t>), Foundation for Quality and Efficiency in Health Care</w:t>
            </w:r>
          </w:p>
        </w:tc>
        <w:tc>
          <w:tcPr>
            <w:tcW w:w="1848" w:type="dxa"/>
            <w:hideMark/>
          </w:tcPr>
          <w:p w14:paraId="131F4D6E" w14:textId="77777777" w:rsidR="00655C1F" w:rsidRPr="004213F6" w:rsidRDefault="00655C1F" w:rsidP="00CF5B24">
            <w:r w:rsidRPr="004213F6">
              <w:t>General Methods</w:t>
            </w:r>
          </w:p>
        </w:tc>
        <w:tc>
          <w:tcPr>
            <w:tcW w:w="555" w:type="dxa"/>
            <w:hideMark/>
          </w:tcPr>
          <w:p w14:paraId="32EA3CD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5F2BFF2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5E97F1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9BCBCF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8A9368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E9CBB3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DC8253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247C9A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710DBE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CCFD4A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C1EC27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31661D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CB4211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5663AB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DE824C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DD836A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AB61D8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796C08B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D6576C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88B7C4D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3C163098" w14:textId="77777777" w:rsidTr="00CF5B24">
        <w:trPr>
          <w:trHeight w:val="4590"/>
        </w:trPr>
        <w:tc>
          <w:tcPr>
            <w:tcW w:w="910" w:type="dxa"/>
            <w:hideMark/>
          </w:tcPr>
          <w:p w14:paraId="14ECFA32" w14:textId="77777777" w:rsidR="00655C1F" w:rsidRPr="004213F6" w:rsidRDefault="00655C1F" w:rsidP="00CF5B24">
            <w:r w:rsidRPr="004213F6">
              <w:t>Hungary</w:t>
            </w:r>
          </w:p>
        </w:tc>
        <w:tc>
          <w:tcPr>
            <w:tcW w:w="1430" w:type="dxa"/>
            <w:hideMark/>
          </w:tcPr>
          <w:p w14:paraId="62470DAE" w14:textId="77777777" w:rsidR="00655C1F" w:rsidRPr="004213F6" w:rsidRDefault="00655C1F" w:rsidP="00CF5B24">
            <w:r w:rsidRPr="004213F6">
              <w:t>The National Institute of Pharmacy and Nutrition (</w:t>
            </w:r>
            <w:proofErr w:type="spellStart"/>
            <w:r w:rsidRPr="004213F6">
              <w:t>Országos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Gyógyszerészeti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és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Élelmezés-egészségügyi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Intézet</w:t>
            </w:r>
            <w:proofErr w:type="spellEnd"/>
            <w:r w:rsidRPr="004213F6">
              <w:t xml:space="preserve"> (OGYÉI))</w:t>
            </w:r>
          </w:p>
        </w:tc>
        <w:tc>
          <w:tcPr>
            <w:tcW w:w="1848" w:type="dxa"/>
            <w:hideMark/>
          </w:tcPr>
          <w:p w14:paraId="5AE4AAEB" w14:textId="77777777" w:rsidR="00655C1F" w:rsidRPr="004213F6" w:rsidRDefault="00655C1F" w:rsidP="00CF5B24">
            <w:r w:rsidRPr="004213F6">
              <w:t>PROFESSIONAL HEALTHCARE GUIDELINE ON THE METHODOLOGY OF HEALTH TECHNOLOGY ASSESSMENT</w:t>
            </w:r>
          </w:p>
        </w:tc>
        <w:tc>
          <w:tcPr>
            <w:tcW w:w="555" w:type="dxa"/>
            <w:hideMark/>
          </w:tcPr>
          <w:p w14:paraId="117DE9F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68668FA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D75FF0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2C5C94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8C837F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417998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86ACE8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482DBA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B30724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C9BD50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147FD8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1D50BD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534FA8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C7ABDF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BD59E4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D2671B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6E49A5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B0121C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5793E3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7546793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25420926" w14:textId="77777777" w:rsidTr="00CF5B24">
        <w:trPr>
          <w:trHeight w:val="1785"/>
        </w:trPr>
        <w:tc>
          <w:tcPr>
            <w:tcW w:w="910" w:type="dxa"/>
            <w:hideMark/>
          </w:tcPr>
          <w:p w14:paraId="3A5307EB" w14:textId="77777777" w:rsidR="00655C1F" w:rsidRPr="004213F6" w:rsidRDefault="00655C1F" w:rsidP="00CF5B24">
            <w:r w:rsidRPr="004213F6">
              <w:t>ICER</w:t>
            </w:r>
          </w:p>
        </w:tc>
        <w:tc>
          <w:tcPr>
            <w:tcW w:w="1430" w:type="dxa"/>
            <w:hideMark/>
          </w:tcPr>
          <w:p w14:paraId="1E638DE7" w14:textId="77777777" w:rsidR="00655C1F" w:rsidRPr="004213F6" w:rsidRDefault="00655C1F" w:rsidP="00CF5B24">
            <w:r w:rsidRPr="004213F6">
              <w:t>Institute for Clinical and Economic Review</w:t>
            </w:r>
          </w:p>
        </w:tc>
        <w:tc>
          <w:tcPr>
            <w:tcW w:w="1848" w:type="dxa"/>
            <w:hideMark/>
          </w:tcPr>
          <w:p w14:paraId="6C478DFD" w14:textId="77777777" w:rsidR="00655C1F" w:rsidRPr="004213F6" w:rsidRDefault="00655C1F" w:rsidP="00CF5B24">
            <w:r w:rsidRPr="004213F6">
              <w:t>2020-2023 Value Assessment Framework</w:t>
            </w:r>
          </w:p>
        </w:tc>
        <w:tc>
          <w:tcPr>
            <w:tcW w:w="555" w:type="dxa"/>
            <w:hideMark/>
          </w:tcPr>
          <w:p w14:paraId="101F1029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2BBA21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345A10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14023A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4A46C6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2E0524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2C0A4E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3827C6B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FEBFA8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AF7B95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C8EB28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962953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602579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32E6E6CA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5F30B04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9E8101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6BD992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2A8FE0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826275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AC0E5F1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5E8FFB73" w14:textId="77777777" w:rsidTr="00CF5B24">
        <w:trPr>
          <w:trHeight w:val="3570"/>
        </w:trPr>
        <w:tc>
          <w:tcPr>
            <w:tcW w:w="910" w:type="dxa"/>
            <w:hideMark/>
          </w:tcPr>
          <w:p w14:paraId="7165ABED" w14:textId="77777777" w:rsidR="00655C1F" w:rsidRPr="004213F6" w:rsidRDefault="00655C1F" w:rsidP="00CF5B24">
            <w:r w:rsidRPr="004213F6">
              <w:t>Indonesia</w:t>
            </w:r>
          </w:p>
        </w:tc>
        <w:tc>
          <w:tcPr>
            <w:tcW w:w="1430" w:type="dxa"/>
            <w:hideMark/>
          </w:tcPr>
          <w:p w14:paraId="64819AFB" w14:textId="77777777" w:rsidR="00655C1F" w:rsidRPr="004213F6" w:rsidRDefault="00655C1F" w:rsidP="00CF5B24">
            <w:r w:rsidRPr="004213F6">
              <w:t>Indonesian Health Technology Assessment Committee (</w:t>
            </w:r>
            <w:proofErr w:type="spellStart"/>
            <w:r w:rsidRPr="004213F6">
              <w:t>InaHTAC</w:t>
            </w:r>
            <w:proofErr w:type="spellEnd"/>
            <w:r w:rsidRPr="004213F6">
              <w:t>) Ministry of Health Republic of Indonesia</w:t>
            </w:r>
          </w:p>
        </w:tc>
        <w:tc>
          <w:tcPr>
            <w:tcW w:w="1848" w:type="dxa"/>
            <w:hideMark/>
          </w:tcPr>
          <w:p w14:paraId="5B238100" w14:textId="77777777" w:rsidR="00655C1F" w:rsidRPr="004213F6" w:rsidRDefault="00655C1F" w:rsidP="00CF5B24">
            <w:r w:rsidRPr="004213F6">
              <w:t>Health Technology Assessment (HTA) Guideline</w:t>
            </w:r>
          </w:p>
        </w:tc>
        <w:tc>
          <w:tcPr>
            <w:tcW w:w="555" w:type="dxa"/>
            <w:hideMark/>
          </w:tcPr>
          <w:p w14:paraId="7C18B377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5AA9CD98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F4139A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44E8C8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472A38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CF7AB7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479A3AA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988636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05A84E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BA8FF2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D529E8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599069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A9FF09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4DD506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9627C2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2428E6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E5D1CB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524886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590C5A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DFC993F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11428649" w14:textId="77777777" w:rsidTr="00CF5B24">
        <w:trPr>
          <w:trHeight w:val="2550"/>
        </w:trPr>
        <w:tc>
          <w:tcPr>
            <w:tcW w:w="910" w:type="dxa"/>
            <w:hideMark/>
          </w:tcPr>
          <w:p w14:paraId="54AE4477" w14:textId="77777777" w:rsidR="00655C1F" w:rsidRPr="004213F6" w:rsidRDefault="00655C1F" w:rsidP="00CF5B24">
            <w:r w:rsidRPr="004213F6">
              <w:t>Ireland</w:t>
            </w:r>
          </w:p>
        </w:tc>
        <w:tc>
          <w:tcPr>
            <w:tcW w:w="1430" w:type="dxa"/>
            <w:hideMark/>
          </w:tcPr>
          <w:p w14:paraId="3C857354" w14:textId="77777777" w:rsidR="00655C1F" w:rsidRPr="004213F6" w:rsidRDefault="00655C1F" w:rsidP="00CF5B24">
            <w:r w:rsidRPr="004213F6">
              <w:t xml:space="preserve">Health Information and Quality Authority </w:t>
            </w:r>
          </w:p>
        </w:tc>
        <w:tc>
          <w:tcPr>
            <w:tcW w:w="1848" w:type="dxa"/>
            <w:hideMark/>
          </w:tcPr>
          <w:p w14:paraId="66A63F25" w14:textId="77777777" w:rsidR="00655C1F" w:rsidRPr="004213F6" w:rsidRDefault="00655C1F" w:rsidP="00CF5B24">
            <w:r w:rsidRPr="004213F6">
              <w:t>Guidelines for the Economic Evaluation of Health Technologies in Ireland</w:t>
            </w:r>
          </w:p>
        </w:tc>
        <w:tc>
          <w:tcPr>
            <w:tcW w:w="555" w:type="dxa"/>
            <w:hideMark/>
          </w:tcPr>
          <w:p w14:paraId="12D16249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5B436F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DACFD7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0849B5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A49369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5C0501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DCC76C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7F507D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3E3A4CE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DA5CBB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C84ADA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906C3C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391502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8BDD8F8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63956E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0C8516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FE6F88A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AD99B1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9200D8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DB4197C" w14:textId="77777777" w:rsidR="00655C1F" w:rsidRPr="004213F6" w:rsidRDefault="00655C1F" w:rsidP="00CF5B24">
            <w:r w:rsidRPr="004213F6">
              <w:t>Yes</w:t>
            </w:r>
          </w:p>
        </w:tc>
      </w:tr>
      <w:tr w:rsidR="00655C1F" w:rsidRPr="004213F6" w14:paraId="7143B2DD" w14:textId="77777777" w:rsidTr="00CF5B24">
        <w:trPr>
          <w:trHeight w:val="6375"/>
        </w:trPr>
        <w:tc>
          <w:tcPr>
            <w:tcW w:w="910" w:type="dxa"/>
            <w:hideMark/>
          </w:tcPr>
          <w:p w14:paraId="40266900" w14:textId="77777777" w:rsidR="00655C1F" w:rsidRPr="004213F6" w:rsidRDefault="00655C1F" w:rsidP="00CF5B24">
            <w:r w:rsidRPr="004213F6">
              <w:t>ISPOR</w:t>
            </w:r>
          </w:p>
        </w:tc>
        <w:tc>
          <w:tcPr>
            <w:tcW w:w="1430" w:type="dxa"/>
            <w:hideMark/>
          </w:tcPr>
          <w:p w14:paraId="1C96ED9C" w14:textId="77777777" w:rsidR="00655C1F" w:rsidRPr="004213F6" w:rsidRDefault="00655C1F" w:rsidP="00CF5B24">
            <w:r w:rsidRPr="004213F6">
              <w:t>International Society for Pharmacoeconomic and Outcomes Research (ISPOR)</w:t>
            </w:r>
          </w:p>
        </w:tc>
        <w:tc>
          <w:tcPr>
            <w:tcW w:w="1848" w:type="dxa"/>
            <w:hideMark/>
          </w:tcPr>
          <w:p w14:paraId="65262D85" w14:textId="77777777" w:rsidR="00655C1F" w:rsidRPr="004213F6" w:rsidRDefault="00655C1F" w:rsidP="00CF5B24">
            <w:r w:rsidRPr="004213F6">
              <w:t>Good Research Practices for Measuring Drug Costs in Cost Effectiveness Analyses: Issues and Recommendations: The ISPOR Drug Cost Task Force Report—Part Ivhe_663 3</w:t>
            </w:r>
            <w:proofErr w:type="gramStart"/>
            <w:r w:rsidRPr="004213F6">
              <w:t>..</w:t>
            </w:r>
            <w:proofErr w:type="gramEnd"/>
          </w:p>
        </w:tc>
        <w:tc>
          <w:tcPr>
            <w:tcW w:w="555" w:type="dxa"/>
            <w:hideMark/>
          </w:tcPr>
          <w:p w14:paraId="04AD3BD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4DD1F2B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2015E5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98DA99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AAEF7B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56211C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E51DC0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572203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64A3ED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95875D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1ACE55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0E6EB3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5DB323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522448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EAB624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FE728D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215DC0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BA5D26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386850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AAB1B50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78AEEB3A" w14:textId="77777777" w:rsidTr="00CF5B24">
        <w:trPr>
          <w:trHeight w:val="3825"/>
        </w:trPr>
        <w:tc>
          <w:tcPr>
            <w:tcW w:w="910" w:type="dxa"/>
            <w:hideMark/>
          </w:tcPr>
          <w:p w14:paraId="4D31AA37" w14:textId="77777777" w:rsidR="00655C1F" w:rsidRPr="004213F6" w:rsidRDefault="00655C1F" w:rsidP="00CF5B24">
            <w:r w:rsidRPr="004213F6">
              <w:t>Israel</w:t>
            </w:r>
          </w:p>
        </w:tc>
        <w:tc>
          <w:tcPr>
            <w:tcW w:w="1430" w:type="dxa"/>
            <w:hideMark/>
          </w:tcPr>
          <w:p w14:paraId="055BE969" w14:textId="77777777" w:rsidR="00655C1F" w:rsidRPr="004213F6" w:rsidRDefault="00655C1F" w:rsidP="00CF5B24">
            <w:r w:rsidRPr="004213F6">
              <w:t>Ministry of Health, Pharmaceutical Administration</w:t>
            </w:r>
          </w:p>
        </w:tc>
        <w:tc>
          <w:tcPr>
            <w:tcW w:w="1848" w:type="dxa"/>
            <w:hideMark/>
          </w:tcPr>
          <w:p w14:paraId="32160410" w14:textId="77777777" w:rsidR="00655C1F" w:rsidRPr="004213F6" w:rsidRDefault="00655C1F" w:rsidP="00CF5B24">
            <w:r w:rsidRPr="004213F6">
              <w:t>Guidelines for the submission of a request to include a pharmaceutical product in the national list of health services</w:t>
            </w:r>
          </w:p>
        </w:tc>
        <w:tc>
          <w:tcPr>
            <w:tcW w:w="555" w:type="dxa"/>
            <w:hideMark/>
          </w:tcPr>
          <w:p w14:paraId="11A6A60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13BB6E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AE39DE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92D30F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5BC0DE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A6D59B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017875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1AEECF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EC6997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3F9AE0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C977B1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A5B2FE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7496A0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674DEA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C8EF6F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3A598C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2E300D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9A3AC7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71D31B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60854ED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3678835D" w14:textId="77777777" w:rsidTr="00CF5B24">
        <w:trPr>
          <w:trHeight w:val="8190"/>
        </w:trPr>
        <w:tc>
          <w:tcPr>
            <w:tcW w:w="910" w:type="dxa"/>
            <w:hideMark/>
          </w:tcPr>
          <w:p w14:paraId="6982F5D2" w14:textId="77777777" w:rsidR="00655C1F" w:rsidRPr="004213F6" w:rsidRDefault="00655C1F" w:rsidP="00CF5B24">
            <w:r w:rsidRPr="004213F6">
              <w:t>Italy</w:t>
            </w:r>
          </w:p>
        </w:tc>
        <w:tc>
          <w:tcPr>
            <w:tcW w:w="1430" w:type="dxa"/>
            <w:hideMark/>
          </w:tcPr>
          <w:p w14:paraId="601D6CE7" w14:textId="77777777" w:rsidR="00655C1F" w:rsidRPr="004213F6" w:rsidRDefault="00655C1F" w:rsidP="00CF5B24">
            <w:r w:rsidRPr="004213F6">
              <w:t>Italian Pharmaceutical Agency</w:t>
            </w:r>
          </w:p>
        </w:tc>
        <w:tc>
          <w:tcPr>
            <w:tcW w:w="1848" w:type="dxa"/>
            <w:hideMark/>
          </w:tcPr>
          <w:p w14:paraId="63E7BE2C" w14:textId="77777777" w:rsidR="00655C1F" w:rsidRPr="004213F6" w:rsidRDefault="00655C1F" w:rsidP="00CF5B24">
            <w:r w:rsidRPr="004213F6">
              <w:t>LINEE GUIDA PER LA COMPILAZIONE DEL DOSSIER A SUPPORTO DELLA DOMANDA DI RIMBORSABILITÀ E PREZZO DI UN MEDICINALE (GUIDELINES FOR THE COMPILATION OF THE DOSSIER IN SUPPORT OF THE APPLICATION REFUNDABILITY AND PRICE OF A MEDICINE)</w:t>
            </w:r>
          </w:p>
        </w:tc>
        <w:tc>
          <w:tcPr>
            <w:tcW w:w="555" w:type="dxa"/>
            <w:hideMark/>
          </w:tcPr>
          <w:p w14:paraId="4C77792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E70690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978DA9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C660E6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2422B9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F8F8BA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0EDAEA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951476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E2D305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6A4E94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F970B6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09E80B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BBC825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9E1DEC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92BA26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A03034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0A229F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830BAC7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07A3A2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C1616E1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71E931D8" w14:textId="77777777" w:rsidTr="00CF5B24">
        <w:trPr>
          <w:trHeight w:val="3570"/>
        </w:trPr>
        <w:tc>
          <w:tcPr>
            <w:tcW w:w="910" w:type="dxa"/>
            <w:hideMark/>
          </w:tcPr>
          <w:p w14:paraId="48546784" w14:textId="77777777" w:rsidR="00655C1F" w:rsidRPr="004213F6" w:rsidRDefault="00655C1F" w:rsidP="00CF5B24">
            <w:r w:rsidRPr="004213F6">
              <w:t>Japan</w:t>
            </w:r>
          </w:p>
        </w:tc>
        <w:tc>
          <w:tcPr>
            <w:tcW w:w="1430" w:type="dxa"/>
            <w:hideMark/>
          </w:tcPr>
          <w:p w14:paraId="69141FE6" w14:textId="77777777" w:rsidR="00655C1F" w:rsidRPr="004213F6" w:rsidRDefault="00655C1F" w:rsidP="00CF5B24">
            <w:r w:rsidRPr="004213F6">
              <w:t>Center for Outcomes Research and Economic Evaluation for Health, National Institute of Public Health</w:t>
            </w:r>
          </w:p>
        </w:tc>
        <w:tc>
          <w:tcPr>
            <w:tcW w:w="1848" w:type="dxa"/>
            <w:hideMark/>
          </w:tcPr>
          <w:p w14:paraId="44189871" w14:textId="77777777" w:rsidR="00655C1F" w:rsidRPr="004213F6" w:rsidRDefault="00655C1F" w:rsidP="00CF5B24">
            <w:r w:rsidRPr="004213F6">
              <w:t>Guideline for Preparing Cost-Effectiveness Evaluation to the Central Social Insurance Medical Council</w:t>
            </w:r>
          </w:p>
        </w:tc>
        <w:tc>
          <w:tcPr>
            <w:tcW w:w="555" w:type="dxa"/>
            <w:hideMark/>
          </w:tcPr>
          <w:p w14:paraId="7E9CF16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5E4F74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BEEF49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92A65F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A96095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8F16EA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12ED5E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CD10BE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AC3A3D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E707A8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C1901E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669EC2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896799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FC2E69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3147E0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432B5B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872270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7E4FA6C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0BD464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83EF27C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1D47C949" w14:textId="77777777" w:rsidTr="00CF5B24">
        <w:trPr>
          <w:trHeight w:val="1530"/>
        </w:trPr>
        <w:tc>
          <w:tcPr>
            <w:tcW w:w="910" w:type="dxa"/>
            <w:hideMark/>
          </w:tcPr>
          <w:p w14:paraId="1A2A3185" w14:textId="77777777" w:rsidR="00655C1F" w:rsidRPr="004213F6" w:rsidRDefault="00655C1F" w:rsidP="00CF5B24">
            <w:r w:rsidRPr="004213F6">
              <w:t xml:space="preserve">Malaysia </w:t>
            </w:r>
          </w:p>
        </w:tc>
        <w:tc>
          <w:tcPr>
            <w:tcW w:w="1430" w:type="dxa"/>
            <w:hideMark/>
          </w:tcPr>
          <w:p w14:paraId="5FBA6D24" w14:textId="77777777" w:rsidR="00655C1F" w:rsidRPr="004213F6" w:rsidRDefault="00655C1F" w:rsidP="00CF5B24">
            <w:r w:rsidRPr="004213F6">
              <w:t>Ministry of Health, Malaysia</w:t>
            </w:r>
          </w:p>
        </w:tc>
        <w:tc>
          <w:tcPr>
            <w:tcW w:w="1848" w:type="dxa"/>
            <w:hideMark/>
          </w:tcPr>
          <w:p w14:paraId="0DF9F644" w14:textId="77777777" w:rsidR="00655C1F" w:rsidRPr="004213F6" w:rsidRDefault="00655C1F" w:rsidP="00CF5B24">
            <w:r w:rsidRPr="004213F6">
              <w:t>Pharmacoeconomic Guidelines for Malaysia</w:t>
            </w:r>
          </w:p>
        </w:tc>
        <w:tc>
          <w:tcPr>
            <w:tcW w:w="555" w:type="dxa"/>
            <w:hideMark/>
          </w:tcPr>
          <w:p w14:paraId="49694FAA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822191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F29ED4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681DB0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EBB46A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1930CC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15CFA8A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704635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E63C6F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4D4BAB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00BAED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B3E1B2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8A5A7B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61F5EC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C83256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E3F7E1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4D6359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8D2C2E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88B60E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6120B49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25029846" w14:textId="77777777" w:rsidTr="00CF5B24">
        <w:trPr>
          <w:trHeight w:val="4845"/>
        </w:trPr>
        <w:tc>
          <w:tcPr>
            <w:tcW w:w="910" w:type="dxa"/>
            <w:hideMark/>
          </w:tcPr>
          <w:p w14:paraId="6601C039" w14:textId="77777777" w:rsidR="00655C1F" w:rsidRPr="004213F6" w:rsidRDefault="00655C1F" w:rsidP="00CF5B24">
            <w:r w:rsidRPr="004213F6">
              <w:t>MERCOSUR (Argentina, Brazil, Paraguay, Uruguay)</w:t>
            </w:r>
          </w:p>
        </w:tc>
        <w:tc>
          <w:tcPr>
            <w:tcW w:w="1430" w:type="dxa"/>
            <w:hideMark/>
          </w:tcPr>
          <w:p w14:paraId="6C382837" w14:textId="77777777" w:rsidR="00655C1F" w:rsidRPr="004213F6" w:rsidRDefault="00655C1F" w:rsidP="00CF5B24">
            <w:r w:rsidRPr="004213F6">
              <w:t>Common Market Group</w:t>
            </w:r>
          </w:p>
        </w:tc>
        <w:tc>
          <w:tcPr>
            <w:tcW w:w="1848" w:type="dxa"/>
            <w:hideMark/>
          </w:tcPr>
          <w:p w14:paraId="416BBA32" w14:textId="77777777" w:rsidR="00655C1F" w:rsidRPr="004213F6" w:rsidRDefault="00655C1F" w:rsidP="00CF5B24">
            <w:r w:rsidRPr="004213F6">
              <w:t>GUÍA PARA ESTUDIOS DE EVALUACIÓN ECONÓMICA DE TECNOLOGÍAS SANITARIAS (Guide for economic evaluation studies of health technology)</w:t>
            </w:r>
          </w:p>
        </w:tc>
        <w:tc>
          <w:tcPr>
            <w:tcW w:w="555" w:type="dxa"/>
            <w:hideMark/>
          </w:tcPr>
          <w:p w14:paraId="5CD2DF8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0D58C2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B6E1BF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A33B93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D55F8D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638BD0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9B89CD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2A66DCF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738EF2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E3AFD0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8093A1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507B5F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3DCA47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29F2E7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FC784D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441247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220F80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5D89FC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27670B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4CE9A4F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6720DDAE" w14:textId="77777777" w:rsidTr="00CF5B24">
        <w:trPr>
          <w:trHeight w:val="8190"/>
        </w:trPr>
        <w:tc>
          <w:tcPr>
            <w:tcW w:w="910" w:type="dxa"/>
            <w:hideMark/>
          </w:tcPr>
          <w:p w14:paraId="6F988B85" w14:textId="77777777" w:rsidR="00655C1F" w:rsidRPr="004213F6" w:rsidRDefault="00655C1F" w:rsidP="00CF5B24">
            <w:proofErr w:type="spellStart"/>
            <w:r w:rsidRPr="004213F6">
              <w:t>Mexcio</w:t>
            </w:r>
            <w:proofErr w:type="spellEnd"/>
          </w:p>
        </w:tc>
        <w:tc>
          <w:tcPr>
            <w:tcW w:w="1430" w:type="dxa"/>
            <w:hideMark/>
          </w:tcPr>
          <w:p w14:paraId="4A2D6234" w14:textId="77777777" w:rsidR="00655C1F" w:rsidRPr="004213F6" w:rsidRDefault="00655C1F" w:rsidP="00CF5B24">
            <w:proofErr w:type="spellStart"/>
            <w:r w:rsidRPr="004213F6">
              <w:t>Comisión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Interinstitucional</w:t>
            </w:r>
            <w:proofErr w:type="spellEnd"/>
            <w:r w:rsidRPr="004213F6">
              <w:t xml:space="preserve"> del </w:t>
            </w:r>
            <w:proofErr w:type="spellStart"/>
            <w:r w:rsidRPr="004213F6">
              <w:t>Cuadro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Básico</w:t>
            </w:r>
            <w:proofErr w:type="spellEnd"/>
            <w:r w:rsidRPr="004213F6">
              <w:t xml:space="preserve"> de </w:t>
            </w:r>
            <w:proofErr w:type="spellStart"/>
            <w:r w:rsidRPr="004213F6">
              <w:t>Insumos</w:t>
            </w:r>
            <w:proofErr w:type="spellEnd"/>
            <w:r w:rsidRPr="004213F6">
              <w:t xml:space="preserve"> del Sector </w:t>
            </w:r>
            <w:proofErr w:type="spellStart"/>
            <w:r w:rsidRPr="004213F6">
              <w:t>Salud</w:t>
            </w:r>
            <w:proofErr w:type="spellEnd"/>
            <w:r w:rsidRPr="004213F6">
              <w:t xml:space="preserve"> (</w:t>
            </w:r>
            <w:proofErr w:type="spellStart"/>
            <w:r w:rsidRPr="004213F6">
              <w:t>Interinstitutional</w:t>
            </w:r>
            <w:proofErr w:type="spellEnd"/>
            <w:r w:rsidRPr="004213F6">
              <w:t xml:space="preserve"> Commission of the Basic Table of Health Sector Inputs) </w:t>
            </w:r>
          </w:p>
        </w:tc>
        <w:tc>
          <w:tcPr>
            <w:tcW w:w="1848" w:type="dxa"/>
            <w:hideMark/>
          </w:tcPr>
          <w:p w14:paraId="4A1D4C84" w14:textId="77777777" w:rsidR="00655C1F" w:rsidRPr="004213F6" w:rsidRDefault="00655C1F" w:rsidP="00CF5B24">
            <w:proofErr w:type="spellStart"/>
            <w:r w:rsidRPr="004213F6">
              <w:t>Guía</w:t>
            </w:r>
            <w:proofErr w:type="spellEnd"/>
            <w:r w:rsidRPr="004213F6">
              <w:t xml:space="preserve"> para la </w:t>
            </w:r>
            <w:proofErr w:type="spellStart"/>
            <w:r w:rsidRPr="004213F6">
              <w:t>Conducción</w:t>
            </w:r>
            <w:proofErr w:type="spellEnd"/>
            <w:r w:rsidRPr="004213F6">
              <w:t xml:space="preserve"> de </w:t>
            </w:r>
            <w:proofErr w:type="spellStart"/>
            <w:r w:rsidRPr="004213F6">
              <w:t>Estudios</w:t>
            </w:r>
            <w:proofErr w:type="spellEnd"/>
            <w:r w:rsidRPr="004213F6">
              <w:t xml:space="preserve"> de </w:t>
            </w:r>
            <w:proofErr w:type="spellStart"/>
            <w:r w:rsidRPr="004213F6">
              <w:t>Evaluación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Económica</w:t>
            </w:r>
            <w:proofErr w:type="spellEnd"/>
            <w:r w:rsidRPr="004213F6">
              <w:t xml:space="preserve"> para la </w:t>
            </w:r>
            <w:proofErr w:type="spellStart"/>
            <w:r w:rsidRPr="004213F6">
              <w:t>Actualización</w:t>
            </w:r>
            <w:proofErr w:type="spellEnd"/>
            <w:r w:rsidRPr="004213F6">
              <w:t xml:space="preserve"> del </w:t>
            </w:r>
            <w:proofErr w:type="spellStart"/>
            <w:r w:rsidRPr="004213F6">
              <w:t>Cuadro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Básico</w:t>
            </w:r>
            <w:proofErr w:type="spellEnd"/>
            <w:r w:rsidRPr="004213F6">
              <w:t xml:space="preserve"> y </w:t>
            </w:r>
            <w:proofErr w:type="spellStart"/>
            <w:r w:rsidRPr="004213F6">
              <w:t>Catálogo</w:t>
            </w:r>
            <w:proofErr w:type="spellEnd"/>
            <w:r w:rsidRPr="004213F6">
              <w:t xml:space="preserve"> de </w:t>
            </w:r>
            <w:proofErr w:type="spellStart"/>
            <w:r w:rsidRPr="004213F6">
              <w:t>Insumos</w:t>
            </w:r>
            <w:proofErr w:type="spellEnd"/>
            <w:r w:rsidRPr="004213F6">
              <w:t xml:space="preserve"> del Sector </w:t>
            </w:r>
            <w:proofErr w:type="spellStart"/>
            <w:r w:rsidRPr="004213F6">
              <w:t>Salud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en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México</w:t>
            </w:r>
            <w:proofErr w:type="spellEnd"/>
            <w:r w:rsidRPr="004213F6">
              <w:t xml:space="preserve"> (Guide for the conduction of economic evaluation studies for the update of the basic table and catalog of supplies of the health sector in Mexico)</w:t>
            </w:r>
          </w:p>
        </w:tc>
        <w:tc>
          <w:tcPr>
            <w:tcW w:w="555" w:type="dxa"/>
            <w:hideMark/>
          </w:tcPr>
          <w:p w14:paraId="610D45C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553BF89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78BC328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6EC8E4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C1A72F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DBA14C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6BCBB7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1717B0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989CCD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683C29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7CC47E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2EF8C9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AF03EC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DA49F7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F87B11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3A2878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D36A97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50F855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F7ADE9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7B99F4B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1A8A69BC" w14:textId="77777777" w:rsidTr="00CF5B24">
        <w:trPr>
          <w:trHeight w:val="2040"/>
        </w:trPr>
        <w:tc>
          <w:tcPr>
            <w:tcW w:w="910" w:type="dxa"/>
            <w:hideMark/>
          </w:tcPr>
          <w:p w14:paraId="72E54974" w14:textId="77777777" w:rsidR="00655C1F" w:rsidRPr="004213F6" w:rsidRDefault="00655C1F" w:rsidP="00CF5B24">
            <w:r w:rsidRPr="004213F6">
              <w:t>Netherlands</w:t>
            </w:r>
          </w:p>
        </w:tc>
        <w:tc>
          <w:tcPr>
            <w:tcW w:w="1430" w:type="dxa"/>
            <w:hideMark/>
          </w:tcPr>
          <w:p w14:paraId="613FE0E6" w14:textId="77777777" w:rsidR="00655C1F" w:rsidRPr="004213F6" w:rsidRDefault="00655C1F" w:rsidP="00CF5B24">
            <w:proofErr w:type="spellStart"/>
            <w:r w:rsidRPr="004213F6">
              <w:t>Zorginstituut</w:t>
            </w:r>
            <w:proofErr w:type="spellEnd"/>
            <w:r w:rsidRPr="004213F6">
              <w:t xml:space="preserve"> Nederland (National Health Care Institute)</w:t>
            </w:r>
          </w:p>
        </w:tc>
        <w:tc>
          <w:tcPr>
            <w:tcW w:w="1848" w:type="dxa"/>
            <w:hideMark/>
          </w:tcPr>
          <w:p w14:paraId="6AA3B7D6" w14:textId="77777777" w:rsidR="00655C1F" w:rsidRPr="004213F6" w:rsidRDefault="00655C1F" w:rsidP="00CF5B24">
            <w:r w:rsidRPr="004213F6">
              <w:t>Guideline for economic evaluations in healthcare</w:t>
            </w:r>
          </w:p>
        </w:tc>
        <w:tc>
          <w:tcPr>
            <w:tcW w:w="555" w:type="dxa"/>
            <w:hideMark/>
          </w:tcPr>
          <w:p w14:paraId="25D0763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954F8C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BD88C0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D801EE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72DD57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462F86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3DFFD1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2FCBF8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54D9BE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D61D2C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CE0773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A4B093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BAC992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77D67A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0FD773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6D41A4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200FBC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AC7969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5E84F5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C393A9C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7AD538B3" w14:textId="77777777" w:rsidTr="00CF5B24">
        <w:trPr>
          <w:trHeight w:val="1530"/>
        </w:trPr>
        <w:tc>
          <w:tcPr>
            <w:tcW w:w="910" w:type="dxa"/>
            <w:hideMark/>
          </w:tcPr>
          <w:p w14:paraId="4B071CD3" w14:textId="77777777" w:rsidR="00655C1F" w:rsidRPr="004213F6" w:rsidRDefault="00655C1F" w:rsidP="00CF5B24">
            <w:r w:rsidRPr="004213F6">
              <w:t>New Zealand</w:t>
            </w:r>
          </w:p>
        </w:tc>
        <w:tc>
          <w:tcPr>
            <w:tcW w:w="1430" w:type="dxa"/>
            <w:hideMark/>
          </w:tcPr>
          <w:p w14:paraId="6AE9A816" w14:textId="77777777" w:rsidR="00655C1F" w:rsidRPr="004213F6" w:rsidRDefault="00655C1F" w:rsidP="00CF5B24">
            <w:r w:rsidRPr="004213F6">
              <w:t>Pharmaceutical Management Agency</w:t>
            </w:r>
          </w:p>
        </w:tc>
        <w:tc>
          <w:tcPr>
            <w:tcW w:w="1848" w:type="dxa"/>
            <w:hideMark/>
          </w:tcPr>
          <w:p w14:paraId="20E2413D" w14:textId="77777777" w:rsidR="00655C1F" w:rsidRPr="004213F6" w:rsidRDefault="00655C1F" w:rsidP="00CF5B24">
            <w:r w:rsidRPr="004213F6">
              <w:t>Prescription for Pharmacoeconomic Analysis</w:t>
            </w:r>
          </w:p>
        </w:tc>
        <w:tc>
          <w:tcPr>
            <w:tcW w:w="555" w:type="dxa"/>
            <w:hideMark/>
          </w:tcPr>
          <w:p w14:paraId="22ED94B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F6EAB8A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23B7810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1DEF19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0E62EB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99A7FD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7281E6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923E69B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152AC3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BA48C2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2A1580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2BC119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3FB951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594496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4D10CE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2E89F8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13D057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D067C2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CD564D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18A89CC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7D2527EA" w14:textId="77777777" w:rsidTr="00CF5B24">
        <w:trPr>
          <w:trHeight w:val="3570"/>
        </w:trPr>
        <w:tc>
          <w:tcPr>
            <w:tcW w:w="910" w:type="dxa"/>
            <w:hideMark/>
          </w:tcPr>
          <w:p w14:paraId="60ED2E9A" w14:textId="77777777" w:rsidR="00655C1F" w:rsidRPr="004213F6" w:rsidRDefault="00655C1F" w:rsidP="00CF5B24">
            <w:r w:rsidRPr="004213F6">
              <w:t>Norway</w:t>
            </w:r>
          </w:p>
        </w:tc>
        <w:tc>
          <w:tcPr>
            <w:tcW w:w="1430" w:type="dxa"/>
            <w:hideMark/>
          </w:tcPr>
          <w:p w14:paraId="0621A24A" w14:textId="77777777" w:rsidR="00655C1F" w:rsidRPr="004213F6" w:rsidRDefault="00655C1F" w:rsidP="00CF5B24">
            <w:proofErr w:type="spellStart"/>
            <w:r w:rsidRPr="004213F6">
              <w:t>Statens</w:t>
            </w:r>
            <w:proofErr w:type="spellEnd"/>
            <w:r w:rsidRPr="004213F6">
              <w:t xml:space="preserve"> </w:t>
            </w:r>
            <w:proofErr w:type="spellStart"/>
            <w:r w:rsidRPr="004213F6">
              <w:t>Legemiddelverk</w:t>
            </w:r>
            <w:proofErr w:type="spellEnd"/>
            <w:r w:rsidRPr="004213F6">
              <w:t xml:space="preserve"> (The Norwegian Medicines Agency)</w:t>
            </w:r>
          </w:p>
        </w:tc>
        <w:tc>
          <w:tcPr>
            <w:tcW w:w="1848" w:type="dxa"/>
            <w:hideMark/>
          </w:tcPr>
          <w:p w14:paraId="535BAA47" w14:textId="77777777" w:rsidR="00655C1F" w:rsidRPr="004213F6" w:rsidRDefault="00655C1F" w:rsidP="00CF5B24">
            <w:r w:rsidRPr="004213F6">
              <w:t>Guidelines for the submission of documentation for single technology assessment (STA) of pharmaceuticals</w:t>
            </w:r>
          </w:p>
        </w:tc>
        <w:tc>
          <w:tcPr>
            <w:tcW w:w="555" w:type="dxa"/>
            <w:hideMark/>
          </w:tcPr>
          <w:p w14:paraId="7EA044E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57F3278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BC0116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268F7F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FFD53C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484218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C0649C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848163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30889F5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456576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F64C39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7B1682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BF48AD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F7F0D3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82A7F7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168267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399365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7C78D6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5D87F59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3E68265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69ECCCBB" w14:textId="77777777" w:rsidTr="00CF5B24">
        <w:trPr>
          <w:trHeight w:val="2295"/>
        </w:trPr>
        <w:tc>
          <w:tcPr>
            <w:tcW w:w="910" w:type="dxa"/>
            <w:hideMark/>
          </w:tcPr>
          <w:p w14:paraId="15794A4D" w14:textId="77777777" w:rsidR="00655C1F" w:rsidRPr="004213F6" w:rsidRDefault="00655C1F" w:rsidP="00CF5B24">
            <w:r w:rsidRPr="004213F6">
              <w:t>Philippines</w:t>
            </w:r>
          </w:p>
        </w:tc>
        <w:tc>
          <w:tcPr>
            <w:tcW w:w="1430" w:type="dxa"/>
            <w:hideMark/>
          </w:tcPr>
          <w:p w14:paraId="69241D0C" w14:textId="77777777" w:rsidR="00655C1F" w:rsidRPr="004213F6" w:rsidRDefault="00655C1F" w:rsidP="00CF5B24">
            <w:r w:rsidRPr="004213F6">
              <w:t>Department of Health - Philippines</w:t>
            </w:r>
          </w:p>
        </w:tc>
        <w:tc>
          <w:tcPr>
            <w:tcW w:w="1848" w:type="dxa"/>
            <w:hideMark/>
          </w:tcPr>
          <w:p w14:paraId="297B5497" w14:textId="77777777" w:rsidR="00655C1F" w:rsidRPr="004213F6" w:rsidRDefault="00655C1F" w:rsidP="00CF5B24">
            <w:r w:rsidRPr="004213F6">
              <w:t>Philippine Methods Guide for Health Technology Assessment</w:t>
            </w:r>
          </w:p>
        </w:tc>
        <w:tc>
          <w:tcPr>
            <w:tcW w:w="555" w:type="dxa"/>
            <w:hideMark/>
          </w:tcPr>
          <w:p w14:paraId="7B68E8AA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2B2AA5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B3E54C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147297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20E9C8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598199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71AD6A8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7BA996D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340D801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4F7CA1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110EF7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1BF353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F6882E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772932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18565E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5A394F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F963168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FF21CD9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649A84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2C92713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1829E451" w14:textId="77777777" w:rsidTr="00CF5B24">
        <w:trPr>
          <w:trHeight w:val="2550"/>
        </w:trPr>
        <w:tc>
          <w:tcPr>
            <w:tcW w:w="910" w:type="dxa"/>
            <w:hideMark/>
          </w:tcPr>
          <w:p w14:paraId="3C77110E" w14:textId="77777777" w:rsidR="00655C1F" w:rsidRPr="004213F6" w:rsidRDefault="00655C1F" w:rsidP="00CF5B24">
            <w:r w:rsidRPr="004213F6">
              <w:t>Poland</w:t>
            </w:r>
          </w:p>
        </w:tc>
        <w:tc>
          <w:tcPr>
            <w:tcW w:w="1430" w:type="dxa"/>
            <w:hideMark/>
          </w:tcPr>
          <w:p w14:paraId="3ED607E0" w14:textId="77777777" w:rsidR="00655C1F" w:rsidRPr="004213F6" w:rsidRDefault="00655C1F" w:rsidP="00CF5B24">
            <w:r w:rsidRPr="004213F6">
              <w:t>The Agency for Health Technology Assessment and Tariff System</w:t>
            </w:r>
          </w:p>
        </w:tc>
        <w:tc>
          <w:tcPr>
            <w:tcW w:w="1848" w:type="dxa"/>
            <w:hideMark/>
          </w:tcPr>
          <w:p w14:paraId="33F8E249" w14:textId="77777777" w:rsidR="00655C1F" w:rsidRPr="004213F6" w:rsidRDefault="00655C1F" w:rsidP="00CF5B24">
            <w:r w:rsidRPr="004213F6">
              <w:t>Health Technology Assessment Guidelines</w:t>
            </w:r>
          </w:p>
        </w:tc>
        <w:tc>
          <w:tcPr>
            <w:tcW w:w="555" w:type="dxa"/>
            <w:hideMark/>
          </w:tcPr>
          <w:p w14:paraId="6E0DD00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2F3722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06EACD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0E88A5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40F2ED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5852A7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0BB568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DF3221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3702DF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1A0339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9E755E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AD6A3E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759D45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C33F32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0033DF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76DD63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BBF1A59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D62BC5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FE0E69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1FA3E04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0FCB2FEA" w14:textId="77777777" w:rsidTr="00CF5B24">
        <w:trPr>
          <w:trHeight w:val="4335"/>
        </w:trPr>
        <w:tc>
          <w:tcPr>
            <w:tcW w:w="910" w:type="dxa"/>
            <w:hideMark/>
          </w:tcPr>
          <w:p w14:paraId="1A28A822" w14:textId="77777777" w:rsidR="00655C1F" w:rsidRPr="004213F6" w:rsidRDefault="00655C1F" w:rsidP="00CF5B24">
            <w:r w:rsidRPr="004213F6">
              <w:t>Portugal</w:t>
            </w:r>
          </w:p>
        </w:tc>
        <w:tc>
          <w:tcPr>
            <w:tcW w:w="1430" w:type="dxa"/>
            <w:hideMark/>
          </w:tcPr>
          <w:p w14:paraId="24C6D660" w14:textId="77777777" w:rsidR="00655C1F" w:rsidRPr="004213F6" w:rsidRDefault="00655C1F" w:rsidP="00CF5B24">
            <w:r w:rsidRPr="004213F6">
              <w:t>The National Health Technology Assessment System (</w:t>
            </w:r>
            <w:proofErr w:type="spellStart"/>
            <w:r w:rsidRPr="004213F6">
              <w:t>SiNATS</w:t>
            </w:r>
            <w:proofErr w:type="spellEnd"/>
            <w:r w:rsidRPr="004213F6">
              <w:t>)</w:t>
            </w:r>
          </w:p>
        </w:tc>
        <w:tc>
          <w:tcPr>
            <w:tcW w:w="1848" w:type="dxa"/>
            <w:hideMark/>
          </w:tcPr>
          <w:p w14:paraId="7B1AF949" w14:textId="77777777" w:rsidR="00655C1F" w:rsidRPr="004213F6" w:rsidRDefault="00655C1F" w:rsidP="00CF5B24">
            <w:r w:rsidRPr="004213F6">
              <w:t>Principles and characterization of Methodological Guidelines for Studies of Economic Assessment of Health Technologies</w:t>
            </w:r>
          </w:p>
        </w:tc>
        <w:tc>
          <w:tcPr>
            <w:tcW w:w="555" w:type="dxa"/>
            <w:hideMark/>
          </w:tcPr>
          <w:p w14:paraId="54DA729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B6BA5B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BC1053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6F10CF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88BCD6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653C88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741A4C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C5B8B8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F03E7E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3E51F9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7F9385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EF28D8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A2CA24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D59572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7714E3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0D2155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6891BB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4F84FE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51D713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58DE65B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79CE5ACD" w14:textId="77777777" w:rsidTr="00CF5B24">
        <w:trPr>
          <w:trHeight w:val="3570"/>
        </w:trPr>
        <w:tc>
          <w:tcPr>
            <w:tcW w:w="910" w:type="dxa"/>
            <w:hideMark/>
          </w:tcPr>
          <w:p w14:paraId="00F9EB58" w14:textId="77777777" w:rsidR="00655C1F" w:rsidRPr="004213F6" w:rsidRDefault="00655C1F" w:rsidP="00CF5B24">
            <w:r w:rsidRPr="004213F6">
              <w:t>Russia</w:t>
            </w:r>
          </w:p>
        </w:tc>
        <w:tc>
          <w:tcPr>
            <w:tcW w:w="1430" w:type="dxa"/>
            <w:hideMark/>
          </w:tcPr>
          <w:p w14:paraId="0EC63F73" w14:textId="77777777" w:rsidR="00655C1F" w:rsidRPr="004213F6" w:rsidRDefault="00655C1F" w:rsidP="00CF5B24">
            <w:r w:rsidRPr="004213F6">
              <w:t>State Budgetary Institution of the Ministry of Health of Russia</w:t>
            </w:r>
          </w:p>
        </w:tc>
        <w:tc>
          <w:tcPr>
            <w:tcW w:w="1848" w:type="dxa"/>
            <w:hideMark/>
          </w:tcPr>
          <w:p w14:paraId="667CE642" w14:textId="77777777" w:rsidR="00655C1F" w:rsidRPr="004213F6" w:rsidRDefault="00655C1F" w:rsidP="00CF5B24">
            <w:r w:rsidRPr="004213F6">
              <w:t xml:space="preserve">Methodological Recommendations for Carrying Out Comparative </w:t>
            </w:r>
            <w:proofErr w:type="spellStart"/>
            <w:r w:rsidRPr="004213F6">
              <w:t>Clinico</w:t>
            </w:r>
            <w:proofErr w:type="spellEnd"/>
            <w:r w:rsidRPr="004213F6">
              <w:t>-Economic Evaluation</w:t>
            </w:r>
          </w:p>
        </w:tc>
        <w:tc>
          <w:tcPr>
            <w:tcW w:w="555" w:type="dxa"/>
            <w:hideMark/>
          </w:tcPr>
          <w:p w14:paraId="609A624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DB84BE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244B32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09A085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03F6A7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BE353A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B0D2F5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3DF132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FEF59A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C4F06E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EC89E6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17221D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28862E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547548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C823DE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B8E44C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BF1490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28C71D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0F8BB3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1342DCF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0553235A" w14:textId="77777777" w:rsidTr="00CF5B24">
        <w:trPr>
          <w:trHeight w:val="3060"/>
        </w:trPr>
        <w:tc>
          <w:tcPr>
            <w:tcW w:w="910" w:type="dxa"/>
            <w:hideMark/>
          </w:tcPr>
          <w:p w14:paraId="7C7E6D5E" w14:textId="77777777" w:rsidR="00655C1F" w:rsidRPr="004213F6" w:rsidRDefault="00655C1F" w:rsidP="00CF5B24">
            <w:r w:rsidRPr="004213F6">
              <w:t>Scotland</w:t>
            </w:r>
          </w:p>
        </w:tc>
        <w:tc>
          <w:tcPr>
            <w:tcW w:w="1430" w:type="dxa"/>
            <w:hideMark/>
          </w:tcPr>
          <w:p w14:paraId="1936BBF1" w14:textId="77777777" w:rsidR="00655C1F" w:rsidRPr="004213F6" w:rsidRDefault="00655C1F" w:rsidP="00CF5B24">
            <w:r w:rsidRPr="004213F6">
              <w:t>Scottish Medicines Consortium</w:t>
            </w:r>
          </w:p>
        </w:tc>
        <w:tc>
          <w:tcPr>
            <w:tcW w:w="1848" w:type="dxa"/>
            <w:hideMark/>
          </w:tcPr>
          <w:p w14:paraId="63D4CBB7" w14:textId="77777777" w:rsidR="00655C1F" w:rsidRPr="004213F6" w:rsidRDefault="00655C1F" w:rsidP="00CF5B24">
            <w:r w:rsidRPr="004213F6">
              <w:t>Guidance to submitting companies for completion of New Product Assessment Form (NPAF)</w:t>
            </w:r>
          </w:p>
        </w:tc>
        <w:tc>
          <w:tcPr>
            <w:tcW w:w="555" w:type="dxa"/>
            <w:hideMark/>
          </w:tcPr>
          <w:p w14:paraId="75980A0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4C6045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BA0537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0AE02D8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5EB00EC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333E14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8572E3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395261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BE2EA9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B4F73F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2205FA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F01BDC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20D9E1F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1BEB1C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BB7BC9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2CBED9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4676F6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F28EA2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FABCC1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CC038E2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0AEDCF4D" w14:textId="77777777" w:rsidTr="00CF5B24">
        <w:trPr>
          <w:trHeight w:val="5355"/>
        </w:trPr>
        <w:tc>
          <w:tcPr>
            <w:tcW w:w="910" w:type="dxa"/>
            <w:hideMark/>
          </w:tcPr>
          <w:p w14:paraId="617FE0BA" w14:textId="77777777" w:rsidR="00655C1F" w:rsidRPr="004213F6" w:rsidRDefault="00655C1F" w:rsidP="00CF5B24">
            <w:r w:rsidRPr="004213F6">
              <w:t>Second Panel</w:t>
            </w:r>
          </w:p>
        </w:tc>
        <w:tc>
          <w:tcPr>
            <w:tcW w:w="1430" w:type="dxa"/>
            <w:hideMark/>
          </w:tcPr>
          <w:p w14:paraId="01DD1FC8" w14:textId="77777777" w:rsidR="00655C1F" w:rsidRPr="004213F6" w:rsidRDefault="00655C1F" w:rsidP="00CF5B24">
            <w:r w:rsidRPr="004213F6">
              <w:t>Second Panel on Cost-Effectiveness in Health and Medicine</w:t>
            </w:r>
          </w:p>
        </w:tc>
        <w:tc>
          <w:tcPr>
            <w:tcW w:w="1848" w:type="dxa"/>
            <w:hideMark/>
          </w:tcPr>
          <w:p w14:paraId="1B18F7D4" w14:textId="77777777" w:rsidR="00655C1F" w:rsidRPr="004213F6" w:rsidRDefault="00655C1F" w:rsidP="00CF5B24">
            <w:r w:rsidRPr="004213F6">
              <w:t xml:space="preserve">Recommendations for </w:t>
            </w:r>
            <w:proofErr w:type="spellStart"/>
            <w:r w:rsidRPr="004213F6">
              <w:t>Conduct,Methodological</w:t>
            </w:r>
            <w:proofErr w:type="spellEnd"/>
            <w:r w:rsidRPr="004213F6">
              <w:t xml:space="preserve"> Practices, and Reporting of Cost-effectiveness Analyses Second Panel on Cost-Effectiveness in Health and Medicine</w:t>
            </w:r>
          </w:p>
        </w:tc>
        <w:tc>
          <w:tcPr>
            <w:tcW w:w="555" w:type="dxa"/>
            <w:hideMark/>
          </w:tcPr>
          <w:p w14:paraId="27E82E07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13A7AE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B89471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C78CAB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104CEE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0815AC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D83E08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74A68C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CA24ED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9B68E6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B82D80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5A60B4A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E0BD6B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3738491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55832A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239BCE7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B4D767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5C7748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5FCE0DB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EF15243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7E328E3A" w14:textId="77777777" w:rsidTr="00CF5B24">
        <w:trPr>
          <w:trHeight w:val="1785"/>
        </w:trPr>
        <w:tc>
          <w:tcPr>
            <w:tcW w:w="910" w:type="dxa"/>
            <w:hideMark/>
          </w:tcPr>
          <w:p w14:paraId="6036734B" w14:textId="77777777" w:rsidR="00655C1F" w:rsidRPr="004213F6" w:rsidRDefault="00655C1F" w:rsidP="00CF5B24">
            <w:r w:rsidRPr="004213F6">
              <w:t>Singapore</w:t>
            </w:r>
          </w:p>
        </w:tc>
        <w:tc>
          <w:tcPr>
            <w:tcW w:w="1430" w:type="dxa"/>
            <w:hideMark/>
          </w:tcPr>
          <w:p w14:paraId="23F1F889" w14:textId="77777777" w:rsidR="00655C1F" w:rsidRPr="004213F6" w:rsidRDefault="00655C1F" w:rsidP="00CF5B24">
            <w:r w:rsidRPr="004213F6">
              <w:t>Agency for Care Effectiveness</w:t>
            </w:r>
          </w:p>
        </w:tc>
        <w:tc>
          <w:tcPr>
            <w:tcW w:w="1848" w:type="dxa"/>
            <w:hideMark/>
          </w:tcPr>
          <w:p w14:paraId="14D87604" w14:textId="77777777" w:rsidR="00655C1F" w:rsidRPr="004213F6" w:rsidRDefault="00655C1F" w:rsidP="00CF5B24">
            <w:r w:rsidRPr="004213F6">
              <w:t>Drug evaluation methods and process guide</w:t>
            </w:r>
          </w:p>
        </w:tc>
        <w:tc>
          <w:tcPr>
            <w:tcW w:w="555" w:type="dxa"/>
            <w:hideMark/>
          </w:tcPr>
          <w:p w14:paraId="4F342D8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FC4599C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AAE71E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154F95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3EE8EE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1EDA11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448DEE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A9BC93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5584160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74E07D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78EF81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2D0DE1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1E5716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A3D1E3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5BDFA7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43F15E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337207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4E488B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E5E6D8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79D076D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5BE28EE3" w14:textId="77777777" w:rsidTr="00CF5B24">
        <w:trPr>
          <w:trHeight w:val="3825"/>
        </w:trPr>
        <w:tc>
          <w:tcPr>
            <w:tcW w:w="910" w:type="dxa"/>
            <w:hideMark/>
          </w:tcPr>
          <w:p w14:paraId="748738A9" w14:textId="77777777" w:rsidR="00655C1F" w:rsidRPr="004213F6" w:rsidRDefault="00655C1F" w:rsidP="00CF5B24">
            <w:r w:rsidRPr="004213F6">
              <w:t>Slovak Republic</w:t>
            </w:r>
          </w:p>
        </w:tc>
        <w:tc>
          <w:tcPr>
            <w:tcW w:w="1430" w:type="dxa"/>
            <w:hideMark/>
          </w:tcPr>
          <w:p w14:paraId="02959353" w14:textId="77777777" w:rsidR="00655C1F" w:rsidRPr="004213F6" w:rsidRDefault="00655C1F" w:rsidP="00CF5B24">
            <w:r w:rsidRPr="004213F6">
              <w:t>Ministry of Health of the Slovak Republic</w:t>
            </w:r>
          </w:p>
        </w:tc>
        <w:tc>
          <w:tcPr>
            <w:tcW w:w="1848" w:type="dxa"/>
            <w:hideMark/>
          </w:tcPr>
          <w:p w14:paraId="3F41883B" w14:textId="77777777" w:rsidR="00655C1F" w:rsidRPr="004213F6" w:rsidRDefault="00655C1F" w:rsidP="00CF5B24">
            <w:r w:rsidRPr="004213F6">
              <w:t>Decree of the Ministry of Health of the Slovak Republic on the details of pharmaco-economic analysis of the drug</w:t>
            </w:r>
          </w:p>
        </w:tc>
        <w:tc>
          <w:tcPr>
            <w:tcW w:w="555" w:type="dxa"/>
            <w:hideMark/>
          </w:tcPr>
          <w:p w14:paraId="5014184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DF51CCA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2F5E2A8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A9353C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101594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BCBA34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E44DA5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27981A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A6F4D5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AF6D78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AB61B9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74E7F9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981EC7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8589F6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AE882B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4EBA53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F2CDBD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6FA597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D46F0F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596F931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054A1E3B" w14:textId="77777777" w:rsidTr="00CF5B24">
        <w:trPr>
          <w:trHeight w:val="1530"/>
        </w:trPr>
        <w:tc>
          <w:tcPr>
            <w:tcW w:w="910" w:type="dxa"/>
            <w:hideMark/>
          </w:tcPr>
          <w:p w14:paraId="1D907C40" w14:textId="77777777" w:rsidR="00655C1F" w:rsidRPr="004213F6" w:rsidRDefault="00655C1F" w:rsidP="00CF5B24">
            <w:r w:rsidRPr="004213F6">
              <w:t>Slovenia</w:t>
            </w:r>
          </w:p>
        </w:tc>
        <w:tc>
          <w:tcPr>
            <w:tcW w:w="1430" w:type="dxa"/>
            <w:hideMark/>
          </w:tcPr>
          <w:p w14:paraId="4AFB584D" w14:textId="77777777" w:rsidR="00655C1F" w:rsidRPr="004213F6" w:rsidRDefault="00655C1F" w:rsidP="00CF5B24">
            <w:r w:rsidRPr="004213F6">
              <w:t>Institute of Public Health Insurance of Slovenia</w:t>
            </w:r>
          </w:p>
        </w:tc>
        <w:tc>
          <w:tcPr>
            <w:tcW w:w="1848" w:type="dxa"/>
            <w:hideMark/>
          </w:tcPr>
          <w:p w14:paraId="27774C87" w14:textId="77777777" w:rsidR="00655C1F" w:rsidRPr="004213F6" w:rsidRDefault="00655C1F" w:rsidP="00CF5B24">
            <w:r w:rsidRPr="004213F6">
              <w:t>Rules for Classification of Medicinal Products</w:t>
            </w:r>
          </w:p>
        </w:tc>
        <w:tc>
          <w:tcPr>
            <w:tcW w:w="555" w:type="dxa"/>
            <w:hideMark/>
          </w:tcPr>
          <w:p w14:paraId="26BFA69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167D17E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26DC9D4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88B543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42B63A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F9AE03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397D8E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368B74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634B58A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C9524A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0AB418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4FCC5D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03F542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88C1DB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25D664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42A69D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A2C57F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236A0C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4C2BF2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E2CBC8C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13BD02CE" w14:textId="77777777" w:rsidTr="00CF5B24">
        <w:trPr>
          <w:trHeight w:val="8190"/>
        </w:trPr>
        <w:tc>
          <w:tcPr>
            <w:tcW w:w="910" w:type="dxa"/>
            <w:hideMark/>
          </w:tcPr>
          <w:p w14:paraId="077668F9" w14:textId="77777777" w:rsidR="00655C1F" w:rsidRPr="004213F6" w:rsidRDefault="00655C1F" w:rsidP="00CF5B24">
            <w:r w:rsidRPr="004213F6">
              <w:t>South Africa</w:t>
            </w:r>
          </w:p>
        </w:tc>
        <w:tc>
          <w:tcPr>
            <w:tcW w:w="1430" w:type="dxa"/>
            <w:hideMark/>
          </w:tcPr>
          <w:p w14:paraId="64A5BA06" w14:textId="77777777" w:rsidR="00655C1F" w:rsidRPr="004213F6" w:rsidRDefault="00655C1F" w:rsidP="00CF5B24">
            <w:r w:rsidRPr="004213F6">
              <w:t>Department of Health, South Africa</w:t>
            </w:r>
          </w:p>
        </w:tc>
        <w:tc>
          <w:tcPr>
            <w:tcW w:w="1848" w:type="dxa"/>
            <w:hideMark/>
          </w:tcPr>
          <w:p w14:paraId="44DE6068" w14:textId="77777777" w:rsidR="00655C1F" w:rsidRPr="004213F6" w:rsidRDefault="00655C1F" w:rsidP="00CF5B24">
            <w:r w:rsidRPr="004213F6">
              <w:t>MEDICINES AND RELATED SUBSTANCES ACT (101 of 1965) REGULATIONS RELATING TO A TRANSPARENT PRICING SYSTEM FOR MEDICINES AND SCHEDULED SUBSTANCES: PUBLICATION OF THE GUIDELINES FOR PHARMACOECONOMIC SUBMISSIONS</w:t>
            </w:r>
          </w:p>
        </w:tc>
        <w:tc>
          <w:tcPr>
            <w:tcW w:w="555" w:type="dxa"/>
            <w:hideMark/>
          </w:tcPr>
          <w:p w14:paraId="222542A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A7B0EC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2DF3E4A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096CEA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481BDA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056386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6BE2F8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93326F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A69A28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18DBB2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551054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045682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1B8E8A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DC1EB4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36C5E8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F74645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F3A805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25AC44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F27B70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1A4361F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3F2D8FF9" w14:textId="77777777" w:rsidTr="00CF5B24">
        <w:trPr>
          <w:trHeight w:val="2550"/>
        </w:trPr>
        <w:tc>
          <w:tcPr>
            <w:tcW w:w="910" w:type="dxa"/>
            <w:hideMark/>
          </w:tcPr>
          <w:p w14:paraId="55214D83" w14:textId="77777777" w:rsidR="00655C1F" w:rsidRPr="004213F6" w:rsidRDefault="00655C1F" w:rsidP="00CF5B24">
            <w:r w:rsidRPr="004213F6">
              <w:t>South Korea</w:t>
            </w:r>
          </w:p>
        </w:tc>
        <w:tc>
          <w:tcPr>
            <w:tcW w:w="1430" w:type="dxa"/>
            <w:hideMark/>
          </w:tcPr>
          <w:p w14:paraId="79A7742A" w14:textId="77777777" w:rsidR="00655C1F" w:rsidRPr="004213F6" w:rsidRDefault="00655C1F" w:rsidP="00CF5B24">
            <w:r w:rsidRPr="004213F6">
              <w:t>Health Insurance Review &amp; Assessment Service</w:t>
            </w:r>
          </w:p>
        </w:tc>
        <w:tc>
          <w:tcPr>
            <w:tcW w:w="1848" w:type="dxa"/>
            <w:hideMark/>
          </w:tcPr>
          <w:p w14:paraId="2820620D" w14:textId="77777777" w:rsidR="00655C1F" w:rsidRPr="004213F6" w:rsidRDefault="00655C1F" w:rsidP="00CF5B24">
            <w:r w:rsidRPr="004213F6">
              <w:t>Guidelines for economic evaluation of drugs and guidelines for writing</w:t>
            </w:r>
          </w:p>
        </w:tc>
        <w:tc>
          <w:tcPr>
            <w:tcW w:w="555" w:type="dxa"/>
            <w:hideMark/>
          </w:tcPr>
          <w:p w14:paraId="7D5E4AA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2564241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DC984C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6F6F0B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A7DD8C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8F20F8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94A819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A5A45A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42E588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10621F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352813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3F33C517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01CE07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EDD132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234565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CE0667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7C906C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614F42D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CE848E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6427921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2F55B3B2" w14:textId="77777777" w:rsidTr="00CF5B24">
        <w:trPr>
          <w:trHeight w:val="2550"/>
        </w:trPr>
        <w:tc>
          <w:tcPr>
            <w:tcW w:w="910" w:type="dxa"/>
            <w:hideMark/>
          </w:tcPr>
          <w:p w14:paraId="51F92B02" w14:textId="77777777" w:rsidR="00655C1F" w:rsidRPr="004213F6" w:rsidRDefault="00655C1F" w:rsidP="00CF5B24">
            <w:r w:rsidRPr="004213F6">
              <w:t xml:space="preserve">Spain </w:t>
            </w:r>
          </w:p>
        </w:tc>
        <w:tc>
          <w:tcPr>
            <w:tcW w:w="1430" w:type="dxa"/>
            <w:hideMark/>
          </w:tcPr>
          <w:p w14:paraId="5EF3C69D" w14:textId="77777777" w:rsidR="00655C1F" w:rsidRPr="004213F6" w:rsidRDefault="00655C1F" w:rsidP="00CF5B24">
            <w:r w:rsidRPr="004213F6">
              <w:t>Spanish Ministry of Health and Social Policy</w:t>
            </w:r>
          </w:p>
        </w:tc>
        <w:tc>
          <w:tcPr>
            <w:tcW w:w="1848" w:type="dxa"/>
            <w:hideMark/>
          </w:tcPr>
          <w:p w14:paraId="49175B89" w14:textId="77777777" w:rsidR="00655C1F" w:rsidRPr="004213F6" w:rsidRDefault="00655C1F" w:rsidP="00CF5B24">
            <w:r w:rsidRPr="004213F6">
              <w:t>Spanish recommendations on economic evaluation of health technologies</w:t>
            </w:r>
          </w:p>
        </w:tc>
        <w:tc>
          <w:tcPr>
            <w:tcW w:w="555" w:type="dxa"/>
            <w:hideMark/>
          </w:tcPr>
          <w:p w14:paraId="201F833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3F8C24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2941B83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946010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DA1857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889001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AD63E1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817CA5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3BB815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B5DD6D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A08206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4D07DB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D72BA7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567D51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B66FB9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8CDE19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D531CC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188361A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346CE7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E6C646E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2CD329FD" w14:textId="77777777" w:rsidTr="00CF5B24">
        <w:trPr>
          <w:trHeight w:val="4590"/>
        </w:trPr>
        <w:tc>
          <w:tcPr>
            <w:tcW w:w="910" w:type="dxa"/>
            <w:hideMark/>
          </w:tcPr>
          <w:p w14:paraId="05DB7515" w14:textId="77777777" w:rsidR="00655C1F" w:rsidRPr="004213F6" w:rsidRDefault="00655C1F" w:rsidP="00CF5B24">
            <w:r w:rsidRPr="004213F6">
              <w:t>Sweden</w:t>
            </w:r>
          </w:p>
        </w:tc>
        <w:tc>
          <w:tcPr>
            <w:tcW w:w="1430" w:type="dxa"/>
            <w:hideMark/>
          </w:tcPr>
          <w:p w14:paraId="4F2749B2" w14:textId="77777777" w:rsidR="00655C1F" w:rsidRPr="004213F6" w:rsidRDefault="00655C1F" w:rsidP="00CF5B24">
            <w:r w:rsidRPr="004213F6">
              <w:t>The Swedish Dental and Pharmaceutical Benefits Agency</w:t>
            </w:r>
          </w:p>
        </w:tc>
        <w:tc>
          <w:tcPr>
            <w:tcW w:w="1848" w:type="dxa"/>
            <w:hideMark/>
          </w:tcPr>
          <w:p w14:paraId="31430BCE" w14:textId="77777777" w:rsidR="00655C1F" w:rsidRPr="004213F6" w:rsidRDefault="00655C1F" w:rsidP="00CF5B24">
            <w:r w:rsidRPr="004213F6">
              <w:t>Amendment to the Swedish Dental and Pharmaceutical Benefits Agency's general advice (TLVAR 2003: 2) on financial evaluations</w:t>
            </w:r>
          </w:p>
        </w:tc>
        <w:tc>
          <w:tcPr>
            <w:tcW w:w="555" w:type="dxa"/>
            <w:hideMark/>
          </w:tcPr>
          <w:p w14:paraId="7428A50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564F79B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1FD7E0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4D7D75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76DCCF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A5C48A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15C790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39CB2A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D7E7CB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88386B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8D32B3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82D9A9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88FB8B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CAE30F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199C14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297E40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813E5B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5E5F888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20552A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13F84B6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5D363D9B" w14:textId="77777777" w:rsidTr="00CF5B24">
        <w:trPr>
          <w:trHeight w:val="2295"/>
        </w:trPr>
        <w:tc>
          <w:tcPr>
            <w:tcW w:w="910" w:type="dxa"/>
            <w:hideMark/>
          </w:tcPr>
          <w:p w14:paraId="3BFE89BB" w14:textId="77777777" w:rsidR="00655C1F" w:rsidRPr="004213F6" w:rsidRDefault="00655C1F" w:rsidP="00CF5B24">
            <w:r w:rsidRPr="004213F6">
              <w:t>Switzerland</w:t>
            </w:r>
          </w:p>
        </w:tc>
        <w:tc>
          <w:tcPr>
            <w:tcW w:w="1430" w:type="dxa"/>
            <w:hideMark/>
          </w:tcPr>
          <w:p w14:paraId="2EF694F7" w14:textId="77777777" w:rsidR="00655C1F" w:rsidRPr="004213F6" w:rsidRDefault="00655C1F" w:rsidP="00CF5B24">
            <w:r w:rsidRPr="004213F6">
              <w:t>Swiss Confederation Performance and Principles Committee (ELGK)</w:t>
            </w:r>
          </w:p>
        </w:tc>
        <w:tc>
          <w:tcPr>
            <w:tcW w:w="1848" w:type="dxa"/>
            <w:hideMark/>
          </w:tcPr>
          <w:p w14:paraId="44BD8CE4" w14:textId="77777777" w:rsidR="00655C1F" w:rsidRPr="004213F6" w:rsidRDefault="00655C1F" w:rsidP="00CF5B24">
            <w:r w:rsidRPr="004213F6">
              <w:t>Operationalization of the terms effectiveness, expediency and economy</w:t>
            </w:r>
          </w:p>
        </w:tc>
        <w:tc>
          <w:tcPr>
            <w:tcW w:w="555" w:type="dxa"/>
            <w:hideMark/>
          </w:tcPr>
          <w:p w14:paraId="36D2D36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10508A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92AFB7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0FEC30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88D9EF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C1944E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0740D9B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F3AD10B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E7275C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81C300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C6B37E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84BD3E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00D605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C34F8F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740DB8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E3286D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36A98F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0B7A95B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8CF705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9159D09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276C3A65" w14:textId="77777777" w:rsidTr="00CF5B24">
        <w:trPr>
          <w:trHeight w:val="3060"/>
        </w:trPr>
        <w:tc>
          <w:tcPr>
            <w:tcW w:w="910" w:type="dxa"/>
            <w:hideMark/>
          </w:tcPr>
          <w:p w14:paraId="04E64D43" w14:textId="77777777" w:rsidR="00655C1F" w:rsidRPr="004213F6" w:rsidRDefault="00655C1F" w:rsidP="00CF5B24">
            <w:r w:rsidRPr="004213F6">
              <w:t>Taiwan</w:t>
            </w:r>
          </w:p>
        </w:tc>
        <w:tc>
          <w:tcPr>
            <w:tcW w:w="1430" w:type="dxa"/>
            <w:hideMark/>
          </w:tcPr>
          <w:p w14:paraId="122EB0AD" w14:textId="77777777" w:rsidR="00655C1F" w:rsidRPr="004213F6" w:rsidRDefault="00655C1F" w:rsidP="00CF5B24">
            <w:r w:rsidRPr="004213F6">
              <w:t>Taiwan Society for Pharmacoeconomics and Outcomes Research</w:t>
            </w:r>
          </w:p>
        </w:tc>
        <w:tc>
          <w:tcPr>
            <w:tcW w:w="1848" w:type="dxa"/>
            <w:hideMark/>
          </w:tcPr>
          <w:p w14:paraId="243C8C34" w14:textId="77777777" w:rsidR="00655C1F" w:rsidRPr="004213F6" w:rsidRDefault="00655C1F" w:rsidP="00CF5B24">
            <w:r w:rsidRPr="004213F6">
              <w:t>Guidelines of Methodological Standards for Pharmacoeconomic Evaluations in Taiwan</w:t>
            </w:r>
          </w:p>
        </w:tc>
        <w:tc>
          <w:tcPr>
            <w:tcW w:w="555" w:type="dxa"/>
            <w:hideMark/>
          </w:tcPr>
          <w:p w14:paraId="41DB78F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BBB650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7F20AA1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329422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0DC25F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8AA47D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7937A7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FCD3D3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FB3632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FF034D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D27521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884916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0CBB31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1A1CDC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75EFD2B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22319D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7A3F27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799045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4483A12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1E8B4C9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497C9A71" w14:textId="77777777" w:rsidTr="00CF5B24">
        <w:trPr>
          <w:trHeight w:val="2550"/>
        </w:trPr>
        <w:tc>
          <w:tcPr>
            <w:tcW w:w="910" w:type="dxa"/>
            <w:hideMark/>
          </w:tcPr>
          <w:p w14:paraId="7E08F115" w14:textId="77777777" w:rsidR="00655C1F" w:rsidRPr="004213F6" w:rsidRDefault="00655C1F" w:rsidP="00CF5B24">
            <w:r w:rsidRPr="004213F6">
              <w:t>Thailand</w:t>
            </w:r>
          </w:p>
        </w:tc>
        <w:tc>
          <w:tcPr>
            <w:tcW w:w="1430" w:type="dxa"/>
            <w:hideMark/>
          </w:tcPr>
          <w:p w14:paraId="38159BE7" w14:textId="77777777" w:rsidR="00655C1F" w:rsidRPr="004213F6" w:rsidRDefault="00655C1F" w:rsidP="00CF5B24">
            <w:r w:rsidRPr="004213F6">
              <w:t>Subcommittee for Development of the National List of Essential Drugs</w:t>
            </w:r>
          </w:p>
        </w:tc>
        <w:tc>
          <w:tcPr>
            <w:tcW w:w="1848" w:type="dxa"/>
            <w:hideMark/>
          </w:tcPr>
          <w:p w14:paraId="300ACEB3" w14:textId="77777777" w:rsidR="00655C1F" w:rsidRPr="004213F6" w:rsidRDefault="00655C1F" w:rsidP="00CF5B24">
            <w:r w:rsidRPr="004213F6">
              <w:t>Health Technology Assessment Manual for Thailand, Issue 2, 2013</w:t>
            </w:r>
          </w:p>
        </w:tc>
        <w:tc>
          <w:tcPr>
            <w:tcW w:w="555" w:type="dxa"/>
            <w:hideMark/>
          </w:tcPr>
          <w:p w14:paraId="29A8847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40EDAD9B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7929E2E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6F1CE3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58022C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FC2816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3EC5D10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DBAEB47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36E0F30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ED87E0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266CF1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3D249B5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067886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5EE9ED8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F4A40C3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6EA3682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DE0A9C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7EDDA42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17F09311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0346AD8D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69E6F897" w14:textId="77777777" w:rsidTr="00CF5B24">
        <w:trPr>
          <w:trHeight w:val="2295"/>
        </w:trPr>
        <w:tc>
          <w:tcPr>
            <w:tcW w:w="910" w:type="dxa"/>
            <w:hideMark/>
          </w:tcPr>
          <w:p w14:paraId="4C3DBEF0" w14:textId="77777777" w:rsidR="00655C1F" w:rsidRPr="004213F6" w:rsidRDefault="00655C1F" w:rsidP="00CF5B24">
            <w:r w:rsidRPr="004213F6">
              <w:t>Tunisia</w:t>
            </w:r>
          </w:p>
        </w:tc>
        <w:tc>
          <w:tcPr>
            <w:tcW w:w="1430" w:type="dxa"/>
            <w:hideMark/>
          </w:tcPr>
          <w:p w14:paraId="77D2DE84" w14:textId="77777777" w:rsidR="00655C1F" w:rsidRPr="004213F6" w:rsidRDefault="00655C1F" w:rsidP="00CF5B24">
            <w:r w:rsidRPr="004213F6">
              <w:t>National Agency for Health Assessment and Accreditation (INEAS)</w:t>
            </w:r>
          </w:p>
        </w:tc>
        <w:tc>
          <w:tcPr>
            <w:tcW w:w="1848" w:type="dxa"/>
            <w:hideMark/>
          </w:tcPr>
          <w:p w14:paraId="6FAF6C48" w14:textId="5A6368FF" w:rsidR="00655C1F" w:rsidRPr="004213F6" w:rsidRDefault="00655C1F" w:rsidP="00CF5B24">
            <w:r w:rsidRPr="004213F6">
              <w:t>Methodological Choices for Pharmaco-Economic</w:t>
            </w:r>
            <w:r w:rsidR="00504038">
              <w:t xml:space="preserve"> </w:t>
            </w:r>
            <w:r w:rsidRPr="004213F6">
              <w:t xml:space="preserve">Studies </w:t>
            </w:r>
          </w:p>
        </w:tc>
        <w:tc>
          <w:tcPr>
            <w:tcW w:w="555" w:type="dxa"/>
            <w:hideMark/>
          </w:tcPr>
          <w:p w14:paraId="37D9E996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3DE2FAD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47BD80F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C09576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D6BC65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4AA3E37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C5A6ED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45A74A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D395ED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CF83ED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A8F84B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EE231D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69E35F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E89BF3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579837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1B42D1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832972F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37DEB905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6" w:type="dxa"/>
            <w:hideMark/>
          </w:tcPr>
          <w:p w14:paraId="766CD19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7B0EFA9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5573B273" w14:textId="77777777" w:rsidTr="00CF5B24">
        <w:trPr>
          <w:trHeight w:val="3825"/>
        </w:trPr>
        <w:tc>
          <w:tcPr>
            <w:tcW w:w="910" w:type="dxa"/>
            <w:hideMark/>
          </w:tcPr>
          <w:p w14:paraId="5CDB9CA9" w14:textId="77777777" w:rsidR="00655C1F" w:rsidRPr="004213F6" w:rsidRDefault="00655C1F" w:rsidP="00CF5B24">
            <w:r w:rsidRPr="004213F6">
              <w:t>WellPoint</w:t>
            </w:r>
          </w:p>
        </w:tc>
        <w:tc>
          <w:tcPr>
            <w:tcW w:w="1430" w:type="dxa"/>
            <w:hideMark/>
          </w:tcPr>
          <w:p w14:paraId="7015D722" w14:textId="77777777" w:rsidR="00655C1F" w:rsidRPr="004213F6" w:rsidRDefault="00655C1F" w:rsidP="00CF5B24">
            <w:r w:rsidRPr="004213F6">
              <w:t>WellPoint</w:t>
            </w:r>
          </w:p>
        </w:tc>
        <w:tc>
          <w:tcPr>
            <w:tcW w:w="1848" w:type="dxa"/>
            <w:hideMark/>
          </w:tcPr>
          <w:p w14:paraId="10EB2818" w14:textId="32BFE703" w:rsidR="00655C1F" w:rsidRPr="004213F6" w:rsidRDefault="00655C1F" w:rsidP="00CF5B24">
            <w:r w:rsidRPr="004213F6">
              <w:t>The WellPoint Outcomes Based Formulary</w:t>
            </w:r>
            <w:r w:rsidR="00504038">
              <w:t xml:space="preserve"> </w:t>
            </w:r>
            <w:r w:rsidRPr="004213F6">
              <w:t>SM: enhancing the health technology assessment process</w:t>
            </w:r>
          </w:p>
        </w:tc>
        <w:tc>
          <w:tcPr>
            <w:tcW w:w="555" w:type="dxa"/>
            <w:hideMark/>
          </w:tcPr>
          <w:p w14:paraId="286DD43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87253D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507122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B4F709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19EA98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5EDA1F4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0EF612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A6E038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98967D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762A11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6DCAC95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79B149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37142E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B20D9FC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6575D4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0A1761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D3CCE6F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20C8766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574286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43F24CE" w14:textId="77777777" w:rsidR="00655C1F" w:rsidRPr="004213F6" w:rsidRDefault="00655C1F" w:rsidP="00CF5B24">
            <w:r w:rsidRPr="004213F6">
              <w:t>No</w:t>
            </w:r>
          </w:p>
        </w:tc>
      </w:tr>
      <w:tr w:rsidR="00655C1F" w:rsidRPr="004213F6" w14:paraId="2042C958" w14:textId="77777777" w:rsidTr="00CF5B24">
        <w:trPr>
          <w:trHeight w:val="3825"/>
        </w:trPr>
        <w:tc>
          <w:tcPr>
            <w:tcW w:w="910" w:type="dxa"/>
            <w:hideMark/>
          </w:tcPr>
          <w:p w14:paraId="5291C7C8" w14:textId="77777777" w:rsidR="00655C1F" w:rsidRPr="004213F6" w:rsidRDefault="00655C1F" w:rsidP="00CF5B24">
            <w:r w:rsidRPr="004213F6">
              <w:t>Wilkinson et al</w:t>
            </w:r>
          </w:p>
        </w:tc>
        <w:tc>
          <w:tcPr>
            <w:tcW w:w="1430" w:type="dxa"/>
            <w:hideMark/>
          </w:tcPr>
          <w:p w14:paraId="3DAA33F9" w14:textId="77777777" w:rsidR="00655C1F" w:rsidRPr="004213F6" w:rsidRDefault="00655C1F" w:rsidP="00CF5B24">
            <w:r w:rsidRPr="004213F6">
              <w:t>Wilkinson et al</w:t>
            </w:r>
          </w:p>
        </w:tc>
        <w:tc>
          <w:tcPr>
            <w:tcW w:w="1848" w:type="dxa"/>
            <w:hideMark/>
          </w:tcPr>
          <w:p w14:paraId="4598BC03" w14:textId="77777777" w:rsidR="00655C1F" w:rsidRPr="004213F6" w:rsidRDefault="00655C1F" w:rsidP="00CF5B24">
            <w:r w:rsidRPr="004213F6">
              <w:t>The International Decision Support Initiative Reference Case for Economic Evaluation: An Aid to Thought</w:t>
            </w:r>
          </w:p>
        </w:tc>
        <w:tc>
          <w:tcPr>
            <w:tcW w:w="555" w:type="dxa"/>
            <w:hideMark/>
          </w:tcPr>
          <w:p w14:paraId="0F718FC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12A603E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5F0DF15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4AAEF84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2CB347FD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74DD6EC0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DEEC4A4" w14:textId="77777777" w:rsidR="00655C1F" w:rsidRPr="004213F6" w:rsidRDefault="00655C1F" w:rsidP="00CF5B24">
            <w:r w:rsidRPr="004213F6">
              <w:t>Yes</w:t>
            </w:r>
          </w:p>
        </w:tc>
        <w:tc>
          <w:tcPr>
            <w:tcW w:w="555" w:type="dxa"/>
            <w:hideMark/>
          </w:tcPr>
          <w:p w14:paraId="7BFAC262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E001EB7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45A728B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38D21DAB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FC90881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E581F79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65BC19EE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7C3BA96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17DEF4D8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5F63B1E6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5" w:type="dxa"/>
            <w:hideMark/>
          </w:tcPr>
          <w:p w14:paraId="0EAC9D93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0F25BBCA" w14:textId="77777777" w:rsidR="00655C1F" w:rsidRPr="004213F6" w:rsidRDefault="00655C1F" w:rsidP="00CF5B24">
            <w:r w:rsidRPr="004213F6">
              <w:t>No</w:t>
            </w:r>
          </w:p>
        </w:tc>
        <w:tc>
          <w:tcPr>
            <w:tcW w:w="556" w:type="dxa"/>
            <w:hideMark/>
          </w:tcPr>
          <w:p w14:paraId="35A1EE61" w14:textId="77777777" w:rsidR="00655C1F" w:rsidRPr="004213F6" w:rsidRDefault="00655C1F" w:rsidP="00CF5B24">
            <w:r w:rsidRPr="004213F6">
              <w:t>No</w:t>
            </w:r>
          </w:p>
        </w:tc>
      </w:tr>
    </w:tbl>
    <w:p w14:paraId="3D330119" w14:textId="77777777" w:rsidR="00655C1F" w:rsidRPr="00240DD2" w:rsidRDefault="00655C1F" w:rsidP="00655C1F"/>
    <w:p w14:paraId="7F4A7EDA" w14:textId="77777777" w:rsidR="00655C1F" w:rsidRPr="00655C1F" w:rsidRDefault="00655C1F" w:rsidP="00655C1F"/>
    <w:sectPr w:rsidR="00655C1F" w:rsidRPr="00655C1F" w:rsidSect="004213F6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1440" w:right="720" w:bottom="144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0C34B" w14:textId="77777777" w:rsidR="001530A6" w:rsidRDefault="001530A6" w:rsidP="003E59E4">
      <w:r>
        <w:separator/>
      </w:r>
    </w:p>
  </w:endnote>
  <w:endnote w:type="continuationSeparator" w:id="0">
    <w:p w14:paraId="15F28723" w14:textId="77777777" w:rsidR="001530A6" w:rsidRDefault="001530A6" w:rsidP="003E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AEB2" w14:textId="6A563D81" w:rsidR="00F45305" w:rsidRPr="007E7EDE" w:rsidRDefault="00F45305" w:rsidP="00AE41E3">
    <w:pPr>
      <w:spacing w:after="0"/>
      <w:ind w:right="-72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809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3D609" w14:textId="6B048A73" w:rsidR="004213F6" w:rsidRDefault="004213F6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C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ED025" w14:textId="2E89BDD1" w:rsidR="003E59E4" w:rsidRPr="004B4127" w:rsidRDefault="003E59E4" w:rsidP="0003039E">
    <w:pPr>
      <w:tabs>
        <w:tab w:val="left" w:pos="0"/>
      </w:tabs>
      <w:spacing w:before="240"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EFA5C" w14:textId="77777777" w:rsidR="001530A6" w:rsidRDefault="001530A6" w:rsidP="003E59E4">
      <w:r>
        <w:separator/>
      </w:r>
    </w:p>
  </w:footnote>
  <w:footnote w:type="continuationSeparator" w:id="0">
    <w:p w14:paraId="230F1558" w14:textId="77777777" w:rsidR="001530A6" w:rsidRDefault="001530A6" w:rsidP="003E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BAAB1" w14:textId="77777777" w:rsidR="00002293" w:rsidRDefault="00002293" w:rsidP="00002293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F52E" w14:textId="2BD63A9E" w:rsidR="003E59E4" w:rsidRDefault="003E59E4" w:rsidP="003E59E4">
    <w:pPr>
      <w:spacing w:after="1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ABC"/>
    <w:multiLevelType w:val="hybridMultilevel"/>
    <w:tmpl w:val="5D8E6AA4"/>
    <w:lvl w:ilvl="0" w:tplc="6C465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67BF"/>
    <w:multiLevelType w:val="hybridMultilevel"/>
    <w:tmpl w:val="1132EF0C"/>
    <w:lvl w:ilvl="0" w:tplc="25D25A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0184D"/>
    <w:multiLevelType w:val="hybridMultilevel"/>
    <w:tmpl w:val="D5B6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B42"/>
    <w:multiLevelType w:val="hybridMultilevel"/>
    <w:tmpl w:val="9FA64ECC"/>
    <w:lvl w:ilvl="0" w:tplc="4EE4DA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9E7"/>
    <w:multiLevelType w:val="hybridMultilevel"/>
    <w:tmpl w:val="26A25C86"/>
    <w:lvl w:ilvl="0" w:tplc="E2C091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AF7319"/>
    <w:multiLevelType w:val="hybridMultilevel"/>
    <w:tmpl w:val="CE226B0A"/>
    <w:lvl w:ilvl="0" w:tplc="3D683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32F0"/>
    <w:multiLevelType w:val="hybridMultilevel"/>
    <w:tmpl w:val="FC944F24"/>
    <w:lvl w:ilvl="0" w:tplc="7BE202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F552C"/>
    <w:multiLevelType w:val="hybridMultilevel"/>
    <w:tmpl w:val="66EC0D04"/>
    <w:lvl w:ilvl="0" w:tplc="B0E4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D44"/>
    <w:multiLevelType w:val="hybridMultilevel"/>
    <w:tmpl w:val="78AA7EFC"/>
    <w:lvl w:ilvl="0" w:tplc="F77015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71EC1"/>
    <w:multiLevelType w:val="hybridMultilevel"/>
    <w:tmpl w:val="28862458"/>
    <w:lvl w:ilvl="0" w:tplc="90F2269E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3189F"/>
    <w:multiLevelType w:val="hybridMultilevel"/>
    <w:tmpl w:val="A1E44D3A"/>
    <w:lvl w:ilvl="0" w:tplc="06A4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D7CDF"/>
    <w:multiLevelType w:val="hybridMultilevel"/>
    <w:tmpl w:val="8144A8E4"/>
    <w:lvl w:ilvl="0" w:tplc="DAB4CC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E4A04"/>
    <w:multiLevelType w:val="hybridMultilevel"/>
    <w:tmpl w:val="23EC7AEE"/>
    <w:lvl w:ilvl="0" w:tplc="111E15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A75DB"/>
    <w:multiLevelType w:val="hybridMultilevel"/>
    <w:tmpl w:val="389AD532"/>
    <w:lvl w:ilvl="0" w:tplc="8200AF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7"/>
  </w:num>
  <w:num w:numId="11">
    <w:abstractNumId w:val="3"/>
  </w:num>
  <w:num w:numId="12">
    <w:abstractNumId w:val="7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3"/>
  </w:num>
  <w:num w:numId="18">
    <w:abstractNumId w:val="10"/>
  </w:num>
  <w:num w:numId="19">
    <w:abstractNumId w:val="2"/>
  </w:num>
  <w:num w:numId="20">
    <w:abstractNumId w:val="5"/>
  </w:num>
  <w:num w:numId="21">
    <w:abstractNumId w:val="3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F6"/>
    <w:rsid w:val="000010C8"/>
    <w:rsid w:val="00002293"/>
    <w:rsid w:val="0003039E"/>
    <w:rsid w:val="00032459"/>
    <w:rsid w:val="0005031A"/>
    <w:rsid w:val="000907B1"/>
    <w:rsid w:val="000D121C"/>
    <w:rsid w:val="00100878"/>
    <w:rsid w:val="001530A6"/>
    <w:rsid w:val="001558CE"/>
    <w:rsid w:val="00162173"/>
    <w:rsid w:val="001841C4"/>
    <w:rsid w:val="001905B7"/>
    <w:rsid w:val="00193FC7"/>
    <w:rsid w:val="001C45E5"/>
    <w:rsid w:val="001E3FF5"/>
    <w:rsid w:val="001E617D"/>
    <w:rsid w:val="001F18EE"/>
    <w:rsid w:val="002124EB"/>
    <w:rsid w:val="0021329B"/>
    <w:rsid w:val="00222C0A"/>
    <w:rsid w:val="0022359C"/>
    <w:rsid w:val="0022430F"/>
    <w:rsid w:val="00236D33"/>
    <w:rsid w:val="00240DD2"/>
    <w:rsid w:val="002625AE"/>
    <w:rsid w:val="0026414B"/>
    <w:rsid w:val="00267816"/>
    <w:rsid w:val="00273725"/>
    <w:rsid w:val="00287F6D"/>
    <w:rsid w:val="002B0314"/>
    <w:rsid w:val="002B4CF6"/>
    <w:rsid w:val="002C2723"/>
    <w:rsid w:val="002D0232"/>
    <w:rsid w:val="002D0B3D"/>
    <w:rsid w:val="002D752E"/>
    <w:rsid w:val="002E056F"/>
    <w:rsid w:val="002F087E"/>
    <w:rsid w:val="002F2F07"/>
    <w:rsid w:val="003124B9"/>
    <w:rsid w:val="003151B2"/>
    <w:rsid w:val="00342C69"/>
    <w:rsid w:val="00353BAC"/>
    <w:rsid w:val="0036158E"/>
    <w:rsid w:val="00370E41"/>
    <w:rsid w:val="0038172C"/>
    <w:rsid w:val="00381BA7"/>
    <w:rsid w:val="00387C2C"/>
    <w:rsid w:val="00391D35"/>
    <w:rsid w:val="003C1C12"/>
    <w:rsid w:val="003C32C7"/>
    <w:rsid w:val="003C6F32"/>
    <w:rsid w:val="003D4CB9"/>
    <w:rsid w:val="003E59E4"/>
    <w:rsid w:val="0040612A"/>
    <w:rsid w:val="00413A92"/>
    <w:rsid w:val="004213F6"/>
    <w:rsid w:val="00474EF4"/>
    <w:rsid w:val="004877C0"/>
    <w:rsid w:val="0049641E"/>
    <w:rsid w:val="004A02BB"/>
    <w:rsid w:val="004B4127"/>
    <w:rsid w:val="004C5870"/>
    <w:rsid w:val="00504038"/>
    <w:rsid w:val="00505279"/>
    <w:rsid w:val="00526651"/>
    <w:rsid w:val="0053373B"/>
    <w:rsid w:val="005422AF"/>
    <w:rsid w:val="00554187"/>
    <w:rsid w:val="00564834"/>
    <w:rsid w:val="00564B3B"/>
    <w:rsid w:val="00566AF9"/>
    <w:rsid w:val="005722CF"/>
    <w:rsid w:val="00573FA1"/>
    <w:rsid w:val="005772F9"/>
    <w:rsid w:val="005A0F1C"/>
    <w:rsid w:val="005B3858"/>
    <w:rsid w:val="005B45DB"/>
    <w:rsid w:val="005B758C"/>
    <w:rsid w:val="005C1A8D"/>
    <w:rsid w:val="005D105F"/>
    <w:rsid w:val="005D6E01"/>
    <w:rsid w:val="005E2719"/>
    <w:rsid w:val="005E642F"/>
    <w:rsid w:val="005F4FCD"/>
    <w:rsid w:val="005F6F82"/>
    <w:rsid w:val="00610DEB"/>
    <w:rsid w:val="0063122A"/>
    <w:rsid w:val="006455E6"/>
    <w:rsid w:val="0065271E"/>
    <w:rsid w:val="00655C1F"/>
    <w:rsid w:val="00664C58"/>
    <w:rsid w:val="00683015"/>
    <w:rsid w:val="006953FD"/>
    <w:rsid w:val="006A316D"/>
    <w:rsid w:val="006C1865"/>
    <w:rsid w:val="006D0751"/>
    <w:rsid w:val="006D33AE"/>
    <w:rsid w:val="006D45EC"/>
    <w:rsid w:val="006F0D23"/>
    <w:rsid w:val="006F306F"/>
    <w:rsid w:val="007157FF"/>
    <w:rsid w:val="007178E8"/>
    <w:rsid w:val="00742472"/>
    <w:rsid w:val="00744A40"/>
    <w:rsid w:val="0075790C"/>
    <w:rsid w:val="00787D02"/>
    <w:rsid w:val="00790428"/>
    <w:rsid w:val="00790E0C"/>
    <w:rsid w:val="007C030F"/>
    <w:rsid w:val="007C1CA9"/>
    <w:rsid w:val="007C270B"/>
    <w:rsid w:val="007C4A8B"/>
    <w:rsid w:val="007D5AD3"/>
    <w:rsid w:val="007E2FA5"/>
    <w:rsid w:val="00812134"/>
    <w:rsid w:val="00825B21"/>
    <w:rsid w:val="008333B1"/>
    <w:rsid w:val="0083418E"/>
    <w:rsid w:val="0085478D"/>
    <w:rsid w:val="008717E0"/>
    <w:rsid w:val="00877E87"/>
    <w:rsid w:val="00881F83"/>
    <w:rsid w:val="008905FE"/>
    <w:rsid w:val="008911F7"/>
    <w:rsid w:val="00893A5B"/>
    <w:rsid w:val="0089416D"/>
    <w:rsid w:val="00895FBA"/>
    <w:rsid w:val="008D320C"/>
    <w:rsid w:val="008E46CC"/>
    <w:rsid w:val="00910474"/>
    <w:rsid w:val="009117C9"/>
    <w:rsid w:val="00917D7E"/>
    <w:rsid w:val="009253F2"/>
    <w:rsid w:val="00925950"/>
    <w:rsid w:val="00966709"/>
    <w:rsid w:val="00970E9C"/>
    <w:rsid w:val="00983531"/>
    <w:rsid w:val="0099479E"/>
    <w:rsid w:val="009A2533"/>
    <w:rsid w:val="009B241F"/>
    <w:rsid w:val="009C2C34"/>
    <w:rsid w:val="009C2D7F"/>
    <w:rsid w:val="009F3453"/>
    <w:rsid w:val="009F588C"/>
    <w:rsid w:val="00A35A0F"/>
    <w:rsid w:val="00A368A7"/>
    <w:rsid w:val="00A44968"/>
    <w:rsid w:val="00A800B2"/>
    <w:rsid w:val="00A9120F"/>
    <w:rsid w:val="00AA78E8"/>
    <w:rsid w:val="00AB2A94"/>
    <w:rsid w:val="00AC1CEB"/>
    <w:rsid w:val="00AE41E3"/>
    <w:rsid w:val="00B10FB3"/>
    <w:rsid w:val="00B47EFE"/>
    <w:rsid w:val="00B563E5"/>
    <w:rsid w:val="00B6262A"/>
    <w:rsid w:val="00B71138"/>
    <w:rsid w:val="00B7209C"/>
    <w:rsid w:val="00B75B23"/>
    <w:rsid w:val="00BA63CC"/>
    <w:rsid w:val="00BA7A44"/>
    <w:rsid w:val="00BB3690"/>
    <w:rsid w:val="00BC0851"/>
    <w:rsid w:val="00BF3E61"/>
    <w:rsid w:val="00C06DBF"/>
    <w:rsid w:val="00C13139"/>
    <w:rsid w:val="00C16B5C"/>
    <w:rsid w:val="00C421A8"/>
    <w:rsid w:val="00C4422A"/>
    <w:rsid w:val="00C47D39"/>
    <w:rsid w:val="00C52D8A"/>
    <w:rsid w:val="00C839E3"/>
    <w:rsid w:val="00C95B7F"/>
    <w:rsid w:val="00CB1F63"/>
    <w:rsid w:val="00CE1580"/>
    <w:rsid w:val="00CE1B62"/>
    <w:rsid w:val="00D17D24"/>
    <w:rsid w:val="00D21238"/>
    <w:rsid w:val="00D2643A"/>
    <w:rsid w:val="00D3642D"/>
    <w:rsid w:val="00D378F1"/>
    <w:rsid w:val="00D650BB"/>
    <w:rsid w:val="00D779B2"/>
    <w:rsid w:val="00D90757"/>
    <w:rsid w:val="00D9685E"/>
    <w:rsid w:val="00DB23C3"/>
    <w:rsid w:val="00DE4479"/>
    <w:rsid w:val="00E0753A"/>
    <w:rsid w:val="00E1390A"/>
    <w:rsid w:val="00E14557"/>
    <w:rsid w:val="00E234AF"/>
    <w:rsid w:val="00E33D3E"/>
    <w:rsid w:val="00E3476D"/>
    <w:rsid w:val="00E4272E"/>
    <w:rsid w:val="00E80E52"/>
    <w:rsid w:val="00E87479"/>
    <w:rsid w:val="00EA75B4"/>
    <w:rsid w:val="00EB2A38"/>
    <w:rsid w:val="00EB7EFC"/>
    <w:rsid w:val="00ED1AE2"/>
    <w:rsid w:val="00EE425A"/>
    <w:rsid w:val="00EF0A23"/>
    <w:rsid w:val="00EF369D"/>
    <w:rsid w:val="00EF4311"/>
    <w:rsid w:val="00F158A9"/>
    <w:rsid w:val="00F23ED7"/>
    <w:rsid w:val="00F43EC7"/>
    <w:rsid w:val="00F45305"/>
    <w:rsid w:val="00F462D0"/>
    <w:rsid w:val="00F55EBA"/>
    <w:rsid w:val="00F81C7E"/>
    <w:rsid w:val="00F83CF6"/>
    <w:rsid w:val="00F90CDB"/>
    <w:rsid w:val="00F93EAD"/>
    <w:rsid w:val="00FB2003"/>
    <w:rsid w:val="00FC0335"/>
    <w:rsid w:val="00FC32CF"/>
    <w:rsid w:val="00FD2F88"/>
    <w:rsid w:val="00FD3532"/>
    <w:rsid w:val="00FE1155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A64086"/>
  <w15:chartTrackingRefBased/>
  <w15:docId w15:val="{D26CF08A-0CBA-4A43-B407-1127A757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12A"/>
    <w:pPr>
      <w:spacing w:after="240"/>
    </w:pPr>
    <w:rPr>
      <w:sz w:val="24"/>
    </w:rPr>
  </w:style>
  <w:style w:type="paragraph" w:styleId="Heading1">
    <w:name w:val="heading 1"/>
    <w:basedOn w:val="Normal"/>
    <w:next w:val="Heading2"/>
    <w:link w:val="Heading1Char"/>
    <w:autoRedefine/>
    <w:qFormat/>
    <w:rsid w:val="00240DD2"/>
    <w:pPr>
      <w:keepNext/>
      <w:spacing w:before="360"/>
      <w:outlineLvl w:val="0"/>
    </w:pPr>
    <w:rPr>
      <w:rFonts w:asciiTheme="minorHAnsi" w:eastAsia="Times New Roman" w:hAnsiTheme="minorHAnsi"/>
      <w:b/>
      <w:bCs/>
      <w:color w:val="00437A" w:themeColor="background2"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autoRedefine/>
    <w:qFormat/>
    <w:rsid w:val="00240DD2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/>
      <w:bCs/>
      <w:color w:val="00437A" w:themeColor="background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B10FB3"/>
    <w:pPr>
      <w:keepNext/>
      <w:keepLines/>
      <w:spacing w:before="12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qFormat/>
    <w:rsid w:val="006953FD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953FD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00536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3FD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10FB3"/>
    <w:rPr>
      <w:rFonts w:eastAsiaTheme="majorEastAsia" w:cstheme="majorBidi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240DD2"/>
    <w:rPr>
      <w:rFonts w:asciiTheme="minorHAnsi" w:eastAsiaTheme="majorEastAsia" w:hAnsiTheme="minorHAnsi" w:cstheme="majorBidi"/>
      <w:b/>
      <w:bCs/>
      <w:color w:val="00437A" w:themeColor="background2"/>
      <w:sz w:val="28"/>
      <w:szCs w:val="26"/>
    </w:rPr>
  </w:style>
  <w:style w:type="character" w:customStyle="1" w:styleId="Heading1Char">
    <w:name w:val="Heading 1 Char"/>
    <w:basedOn w:val="DefaultParagraphFont"/>
    <w:link w:val="Heading1"/>
    <w:rsid w:val="00240DD2"/>
    <w:rPr>
      <w:rFonts w:asciiTheme="minorHAnsi" w:eastAsia="Times New Roman" w:hAnsiTheme="minorHAnsi"/>
      <w:b/>
      <w:bCs/>
      <w:color w:val="00437A" w:themeColor="background2"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6953FD"/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6953FD"/>
    <w:rPr>
      <w:rFonts w:asciiTheme="majorHAnsi" w:eastAsiaTheme="majorEastAsia" w:hAnsiTheme="majorHAnsi" w:cstheme="majorBidi"/>
      <w:color w:val="00536F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6953FD"/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695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FD"/>
  </w:style>
  <w:style w:type="paragraph" w:styleId="Header">
    <w:name w:val="header"/>
    <w:basedOn w:val="Normal"/>
    <w:link w:val="HeaderChar"/>
    <w:uiPriority w:val="99"/>
    <w:unhideWhenUsed/>
    <w:rsid w:val="00695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FD"/>
  </w:style>
  <w:style w:type="paragraph" w:customStyle="1" w:styleId="LinkTBG">
    <w:name w:val="Link TBG"/>
    <w:basedOn w:val="Normal"/>
    <w:link w:val="LinkTBGChar"/>
    <w:autoRedefine/>
    <w:qFormat/>
    <w:rsid w:val="00B10FB3"/>
    <w:rPr>
      <w:rFonts w:asciiTheme="minorHAnsi" w:hAnsiTheme="minorHAnsi"/>
      <w:color w:val="00437A"/>
      <w:u w:val="single"/>
    </w:rPr>
  </w:style>
  <w:style w:type="character" w:customStyle="1" w:styleId="LinkTBGChar">
    <w:name w:val="Link TBG Char"/>
    <w:basedOn w:val="DefaultParagraphFont"/>
    <w:link w:val="LinkTBG"/>
    <w:rsid w:val="00B10FB3"/>
    <w:rPr>
      <w:rFonts w:asciiTheme="minorHAnsi" w:hAnsiTheme="minorHAnsi"/>
      <w:color w:val="00437A"/>
      <w:sz w:val="24"/>
      <w:u w:val="single"/>
    </w:rPr>
  </w:style>
  <w:style w:type="paragraph" w:customStyle="1" w:styleId="PageNumberTBG">
    <w:name w:val="Page Number TBG"/>
    <w:basedOn w:val="Normal"/>
    <w:link w:val="PageNumberTBGChar"/>
    <w:autoRedefine/>
    <w:qFormat/>
    <w:rsid w:val="006953FD"/>
    <w:rPr>
      <w:rFonts w:asciiTheme="minorHAnsi" w:hAnsiTheme="minorHAnsi"/>
      <w:sz w:val="16"/>
      <w:szCs w:val="16"/>
    </w:rPr>
  </w:style>
  <w:style w:type="character" w:customStyle="1" w:styleId="PageNumberTBGChar">
    <w:name w:val="Page Number TBG Char"/>
    <w:basedOn w:val="DefaultParagraphFont"/>
    <w:link w:val="PageNumberTBG"/>
    <w:rsid w:val="006953FD"/>
    <w:rPr>
      <w:rFonts w:asciiTheme="minorHAnsi" w:hAnsiTheme="minorHAns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7D39"/>
    <w:rPr>
      <w:color w:val="00437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5AD3"/>
    <w:rPr>
      <w:color w:val="00A9E0" w:themeColor="followedHyperlink"/>
      <w:u w:val="single"/>
    </w:rPr>
  </w:style>
  <w:style w:type="paragraph" w:styleId="ListParagraph">
    <w:name w:val="List Paragraph"/>
    <w:basedOn w:val="Normal"/>
    <w:uiPriority w:val="34"/>
    <w:rsid w:val="00C16B5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0E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2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ridgespan Theme 2016">
      <a:dk1>
        <a:sysClr val="windowText" lastClr="000000"/>
      </a:dk1>
      <a:lt1>
        <a:srgbClr val="DDDDDD"/>
      </a:lt1>
      <a:dk2>
        <a:srgbClr val="FFFFFF"/>
      </a:dk2>
      <a:lt2>
        <a:srgbClr val="00437A"/>
      </a:lt2>
      <a:accent1>
        <a:srgbClr val="00A9E0"/>
      </a:accent1>
      <a:accent2>
        <a:srgbClr val="F08613"/>
      </a:accent2>
      <a:accent3>
        <a:srgbClr val="747678"/>
      </a:accent3>
      <a:accent4>
        <a:srgbClr val="008542"/>
      </a:accent4>
      <a:accent5>
        <a:srgbClr val="7AB800"/>
      </a:accent5>
      <a:accent6>
        <a:srgbClr val="C1D82F"/>
      </a:accent6>
      <a:hlink>
        <a:srgbClr val="00A9E0"/>
      </a:hlink>
      <a:folHlink>
        <a:srgbClr val="00A9E0"/>
      </a:folHlink>
    </a:clrScheme>
    <a:fontScheme name="Bridgespa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Breslau, Rachel</dc:creator>
  <cp:keywords/>
  <dc:description/>
  <cp:lastModifiedBy>E406555</cp:lastModifiedBy>
  <cp:revision>3</cp:revision>
  <dcterms:created xsi:type="dcterms:W3CDTF">2023-01-25T16:03:00Z</dcterms:created>
  <dcterms:modified xsi:type="dcterms:W3CDTF">2023-05-09T07:09:00Z</dcterms:modified>
</cp:coreProperties>
</file>