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FAC9" w14:textId="7EA8FF15" w:rsidR="006F2846" w:rsidRPr="004563DE" w:rsidRDefault="006F2846" w:rsidP="000A1E1C">
      <w:pPr>
        <w:rPr>
          <w:rFonts w:ascii="Times New Roman" w:hAnsi="Times New Roman" w:cs="Times New Roman"/>
          <w:b/>
          <w:bCs/>
          <w:sz w:val="24"/>
          <w:szCs w:val="24"/>
          <w:u w:val="single"/>
        </w:rPr>
      </w:pPr>
      <w:r>
        <w:rPr>
          <w:rFonts w:ascii="Times New Roman" w:hAnsi="Times New Roman" w:cs="Times New Roman"/>
          <w:b/>
          <w:bCs/>
          <w:sz w:val="24"/>
          <w:szCs w:val="24"/>
          <w:u w:val="single"/>
        </w:rPr>
        <w:t>Supplementary material</w:t>
      </w:r>
    </w:p>
    <w:tbl>
      <w:tblPr>
        <w:tblStyle w:val="TableGrid"/>
        <w:tblW w:w="16302" w:type="dxa"/>
        <w:tblInd w:w="-1139" w:type="dxa"/>
        <w:tblLook w:val="04A0" w:firstRow="1" w:lastRow="0" w:firstColumn="1" w:lastColumn="0" w:noHBand="0" w:noVBand="1"/>
      </w:tblPr>
      <w:tblGrid>
        <w:gridCol w:w="6379"/>
        <w:gridCol w:w="1134"/>
        <w:gridCol w:w="1418"/>
        <w:gridCol w:w="1134"/>
        <w:gridCol w:w="1417"/>
        <w:gridCol w:w="1985"/>
        <w:gridCol w:w="2835"/>
      </w:tblGrid>
      <w:tr w:rsidR="00EA0F21" w:rsidRPr="00133A19" w14:paraId="579772B4" w14:textId="77777777" w:rsidTr="00EA0F21">
        <w:trPr>
          <w:trHeight w:val="290"/>
        </w:trPr>
        <w:tc>
          <w:tcPr>
            <w:tcW w:w="6379" w:type="dxa"/>
            <w:noWrap/>
            <w:hideMark/>
          </w:tcPr>
          <w:p w14:paraId="038B9A89" w14:textId="77777777" w:rsidR="00EA0F21" w:rsidRPr="004563DE" w:rsidRDefault="00EA0F21" w:rsidP="00EA0F21">
            <w:pPr>
              <w:autoSpaceDE w:val="0"/>
              <w:autoSpaceDN w:val="0"/>
              <w:adjustRightInd w:val="0"/>
              <w:rPr>
                <w:rFonts w:ascii="Times New Roman" w:hAnsi="Times New Roman" w:cs="Times New Roman"/>
                <w:b/>
                <w:bCs/>
                <w:sz w:val="20"/>
                <w:szCs w:val="20"/>
              </w:rPr>
            </w:pPr>
            <w:bookmarkStart w:id="0" w:name="_Hlk114654746"/>
            <w:r w:rsidRPr="004563DE">
              <w:rPr>
                <w:rFonts w:ascii="Times New Roman" w:hAnsi="Times New Roman" w:cs="Times New Roman"/>
                <w:b/>
                <w:bCs/>
                <w:sz w:val="20"/>
                <w:szCs w:val="20"/>
              </w:rPr>
              <w:t>Title</w:t>
            </w:r>
          </w:p>
        </w:tc>
        <w:tc>
          <w:tcPr>
            <w:tcW w:w="1134" w:type="dxa"/>
            <w:noWrap/>
            <w:hideMark/>
          </w:tcPr>
          <w:p w14:paraId="1DB42A83" w14:textId="77777777" w:rsidR="00EA0F21" w:rsidRPr="004563DE" w:rsidRDefault="00EA0F21" w:rsidP="00EA0F21">
            <w:pPr>
              <w:autoSpaceDE w:val="0"/>
              <w:autoSpaceDN w:val="0"/>
              <w:adjustRightInd w:val="0"/>
              <w:jc w:val="center"/>
              <w:rPr>
                <w:rFonts w:ascii="Times New Roman" w:hAnsi="Times New Roman" w:cs="Times New Roman"/>
                <w:b/>
                <w:bCs/>
                <w:sz w:val="20"/>
                <w:szCs w:val="20"/>
              </w:rPr>
            </w:pPr>
            <w:r w:rsidRPr="004563DE">
              <w:rPr>
                <w:rFonts w:ascii="Times New Roman" w:hAnsi="Times New Roman" w:cs="Times New Roman"/>
                <w:b/>
                <w:bCs/>
                <w:sz w:val="20"/>
                <w:szCs w:val="20"/>
              </w:rPr>
              <w:t>Year</w:t>
            </w:r>
          </w:p>
        </w:tc>
        <w:tc>
          <w:tcPr>
            <w:tcW w:w="1418" w:type="dxa"/>
            <w:noWrap/>
            <w:hideMark/>
          </w:tcPr>
          <w:p w14:paraId="23CFB048" w14:textId="77777777" w:rsidR="00EA0F21" w:rsidRPr="004563DE" w:rsidRDefault="00EA0F21" w:rsidP="00EA0F21">
            <w:pPr>
              <w:autoSpaceDE w:val="0"/>
              <w:autoSpaceDN w:val="0"/>
              <w:adjustRightInd w:val="0"/>
              <w:jc w:val="center"/>
              <w:rPr>
                <w:rFonts w:ascii="Times New Roman" w:hAnsi="Times New Roman" w:cs="Times New Roman"/>
                <w:b/>
                <w:bCs/>
                <w:sz w:val="20"/>
                <w:szCs w:val="20"/>
              </w:rPr>
            </w:pPr>
            <w:r w:rsidRPr="004563DE">
              <w:rPr>
                <w:rFonts w:ascii="Times New Roman" w:hAnsi="Times New Roman" w:cs="Times New Roman"/>
                <w:b/>
                <w:bCs/>
                <w:sz w:val="20"/>
                <w:szCs w:val="20"/>
              </w:rPr>
              <w:t>TA</w:t>
            </w:r>
          </w:p>
        </w:tc>
        <w:tc>
          <w:tcPr>
            <w:tcW w:w="1134" w:type="dxa"/>
            <w:noWrap/>
            <w:hideMark/>
          </w:tcPr>
          <w:p w14:paraId="71AA7D54" w14:textId="77777777" w:rsidR="00EA0F21" w:rsidRPr="004563DE" w:rsidRDefault="00EA0F21" w:rsidP="00EA0F21">
            <w:pPr>
              <w:autoSpaceDE w:val="0"/>
              <w:autoSpaceDN w:val="0"/>
              <w:adjustRightInd w:val="0"/>
              <w:jc w:val="center"/>
              <w:rPr>
                <w:rFonts w:ascii="Times New Roman" w:hAnsi="Times New Roman" w:cs="Times New Roman"/>
                <w:b/>
                <w:bCs/>
                <w:sz w:val="20"/>
                <w:szCs w:val="20"/>
              </w:rPr>
            </w:pPr>
            <w:r w:rsidRPr="004563DE">
              <w:rPr>
                <w:rFonts w:ascii="Times New Roman" w:hAnsi="Times New Roman" w:cs="Times New Roman"/>
                <w:b/>
                <w:bCs/>
                <w:sz w:val="20"/>
                <w:szCs w:val="20"/>
              </w:rPr>
              <w:t>Type</w:t>
            </w:r>
          </w:p>
        </w:tc>
        <w:tc>
          <w:tcPr>
            <w:tcW w:w="1417" w:type="dxa"/>
          </w:tcPr>
          <w:p w14:paraId="75FE4235" w14:textId="48AB54AE" w:rsidR="00EA0F21" w:rsidRPr="004563DE" w:rsidRDefault="00EA0F21" w:rsidP="00EA0F21">
            <w:pPr>
              <w:autoSpaceDE w:val="0"/>
              <w:autoSpaceDN w:val="0"/>
              <w:adjustRightInd w:val="0"/>
              <w:jc w:val="center"/>
              <w:rPr>
                <w:rFonts w:ascii="Times New Roman" w:hAnsi="Times New Roman" w:cs="Times New Roman"/>
                <w:b/>
                <w:bCs/>
                <w:sz w:val="20"/>
                <w:szCs w:val="20"/>
              </w:rPr>
            </w:pPr>
            <w:r w:rsidRPr="004563DE">
              <w:rPr>
                <w:rFonts w:ascii="Times New Roman" w:hAnsi="Times New Roman" w:cs="Times New Roman"/>
                <w:b/>
                <w:bCs/>
                <w:sz w:val="20"/>
                <w:szCs w:val="20"/>
              </w:rPr>
              <w:t>ERG</w:t>
            </w:r>
          </w:p>
        </w:tc>
        <w:tc>
          <w:tcPr>
            <w:tcW w:w="1985" w:type="dxa"/>
            <w:noWrap/>
            <w:hideMark/>
          </w:tcPr>
          <w:p w14:paraId="1C12E334" w14:textId="77777777" w:rsidR="00EA0F21" w:rsidRPr="004563DE" w:rsidRDefault="00EA0F21" w:rsidP="00EA0F21">
            <w:pPr>
              <w:autoSpaceDE w:val="0"/>
              <w:autoSpaceDN w:val="0"/>
              <w:adjustRightInd w:val="0"/>
              <w:jc w:val="center"/>
              <w:rPr>
                <w:rFonts w:ascii="Times New Roman" w:hAnsi="Times New Roman" w:cs="Times New Roman"/>
                <w:b/>
                <w:bCs/>
                <w:sz w:val="20"/>
                <w:szCs w:val="20"/>
              </w:rPr>
            </w:pPr>
            <w:r w:rsidRPr="004563DE">
              <w:rPr>
                <w:rFonts w:ascii="Times New Roman" w:hAnsi="Times New Roman" w:cs="Times New Roman"/>
                <w:b/>
                <w:bCs/>
                <w:sz w:val="20"/>
                <w:szCs w:val="20"/>
              </w:rPr>
              <w:t>Pivotal trial</w:t>
            </w:r>
          </w:p>
        </w:tc>
        <w:tc>
          <w:tcPr>
            <w:tcW w:w="2835" w:type="dxa"/>
            <w:noWrap/>
            <w:hideMark/>
          </w:tcPr>
          <w:p w14:paraId="1BA3022F" w14:textId="77777777" w:rsidR="00EA0F21" w:rsidRPr="004563DE" w:rsidRDefault="00EA0F21" w:rsidP="00EA0F21">
            <w:pPr>
              <w:autoSpaceDE w:val="0"/>
              <w:autoSpaceDN w:val="0"/>
              <w:adjustRightInd w:val="0"/>
              <w:jc w:val="center"/>
              <w:rPr>
                <w:rFonts w:ascii="Times New Roman" w:hAnsi="Times New Roman" w:cs="Times New Roman"/>
                <w:b/>
                <w:bCs/>
                <w:sz w:val="20"/>
                <w:szCs w:val="20"/>
              </w:rPr>
            </w:pPr>
            <w:r w:rsidRPr="004563DE">
              <w:rPr>
                <w:rFonts w:ascii="Times New Roman" w:hAnsi="Times New Roman" w:cs="Times New Roman"/>
                <w:b/>
                <w:bCs/>
                <w:sz w:val="20"/>
                <w:szCs w:val="20"/>
              </w:rPr>
              <w:t>PH assumption violation for OS or PFS</w:t>
            </w:r>
          </w:p>
        </w:tc>
      </w:tr>
      <w:tr w:rsidR="00EA0F21" w:rsidRPr="00133A19" w14:paraId="61BB88DE" w14:textId="77777777" w:rsidTr="00EA0F21">
        <w:trPr>
          <w:trHeight w:val="290"/>
        </w:trPr>
        <w:tc>
          <w:tcPr>
            <w:tcW w:w="6379" w:type="dxa"/>
            <w:noWrap/>
            <w:hideMark/>
          </w:tcPr>
          <w:p w14:paraId="681854FB" w14:textId="05821861" w:rsidR="00EA0F21" w:rsidRPr="004563DE" w:rsidRDefault="00EA0F21" w:rsidP="00EA0F21">
            <w:pPr>
              <w:autoSpaceDE w:val="0"/>
              <w:autoSpaceDN w:val="0"/>
              <w:adjustRightInd w:val="0"/>
              <w:rPr>
                <w:rFonts w:ascii="Times New Roman" w:hAnsi="Times New Roman" w:cs="Times New Roman"/>
                <w:sz w:val="20"/>
                <w:szCs w:val="20"/>
              </w:rPr>
            </w:pPr>
            <w:hyperlink r:id="rId7" w:history="1">
              <w:r w:rsidRPr="004563DE">
                <w:rPr>
                  <w:rStyle w:val="Hyperlink"/>
                  <w:rFonts w:ascii="Times New Roman" w:hAnsi="Times New Roman" w:cs="Times New Roman"/>
                  <w:sz w:val="20"/>
                  <w:szCs w:val="20"/>
                </w:rPr>
                <w:t>Olaparib for maintenance treatment of relapsed platinum-sensitive ovarian, fallopian tube or peritoneal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{"citationItems":[{"id":"ITEM-1","itemData":{"URL":"https://www.nice.org.uk/guidance/ta620","author":[{"dropping-particle":"","family":"National Institute for Health and Care Excellence (NICE)","given":"","non-dropping-particle":"","parse-names":false,"suffix":""}],"container-title":"NICE website","id":"ITEM-1","issued":{"date-parts":[["2020"]]},"title":"Olaparib for maintenance treatment of relapsed platinum-sensitive ovarian, fallopian tube or peritoneal cancer. Technology appraisal guidance [TA620]","type":"webpage"},"uris":["http://www.mendeley.com/documents/?uuid=675dc9c9-bc1f-4d5e-9acb-fad9e4fcbe8d"]}],"mendeley":{"formattedCitation":"(2)","plainTextFormattedCitation":"(2)","previouslyFormattedCitation":"(1)"},"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(2)</w:t>
            </w:r>
            <w:r w:rsidRPr="004563DE">
              <w:rPr>
                <w:rFonts w:ascii="Times New Roman" w:hAnsi="Times New Roman" w:cs="Times New Roman"/>
                <w:sz w:val="20"/>
                <w:szCs w:val="20"/>
              </w:rPr>
              <w:fldChar w:fldCharType="end"/>
            </w:r>
          </w:p>
        </w:tc>
        <w:tc>
          <w:tcPr>
            <w:tcW w:w="1134" w:type="dxa"/>
            <w:noWrap/>
            <w:hideMark/>
          </w:tcPr>
          <w:p w14:paraId="0881091D"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59474E8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TA620</w:t>
            </w:r>
          </w:p>
        </w:tc>
        <w:tc>
          <w:tcPr>
            <w:tcW w:w="1134" w:type="dxa"/>
            <w:noWrap/>
            <w:hideMark/>
          </w:tcPr>
          <w:p w14:paraId="1F9CD608"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240D1996" w14:textId="6FDC7279"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BMJ</w:t>
            </w:r>
            <w:r>
              <w:rPr>
                <w:rFonts w:ascii="Times New Roman" w:hAnsi="Times New Roman" w:cs="Times New Roman"/>
                <w:sz w:val="20"/>
                <w:szCs w:val="20"/>
              </w:rPr>
              <w:t>-TAG</w:t>
            </w:r>
          </w:p>
        </w:tc>
        <w:tc>
          <w:tcPr>
            <w:tcW w:w="1985" w:type="dxa"/>
            <w:noWrap/>
            <w:hideMark/>
          </w:tcPr>
          <w:p w14:paraId="487ED1F8"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Study19, SOLO-2</w:t>
            </w:r>
          </w:p>
        </w:tc>
        <w:tc>
          <w:tcPr>
            <w:tcW w:w="2835" w:type="dxa"/>
            <w:noWrap/>
            <w:hideMark/>
          </w:tcPr>
          <w:p w14:paraId="4449E3F8"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4549CD68" w14:textId="77777777" w:rsidTr="00EA0F21">
        <w:trPr>
          <w:trHeight w:val="290"/>
        </w:trPr>
        <w:tc>
          <w:tcPr>
            <w:tcW w:w="6379" w:type="dxa"/>
            <w:noWrap/>
            <w:hideMark/>
          </w:tcPr>
          <w:p w14:paraId="727E9C70" w14:textId="4E193723" w:rsidR="00EA0F21" w:rsidRPr="004563DE" w:rsidRDefault="00EA0F21" w:rsidP="00EA0F21">
            <w:pPr>
              <w:autoSpaceDE w:val="0"/>
              <w:autoSpaceDN w:val="0"/>
              <w:adjustRightInd w:val="0"/>
              <w:rPr>
                <w:rFonts w:ascii="Times New Roman" w:hAnsi="Times New Roman" w:cs="Times New Roman"/>
                <w:sz w:val="20"/>
                <w:szCs w:val="20"/>
              </w:rPr>
            </w:pPr>
            <w:hyperlink r:id="rId8" w:history="1">
              <w:r w:rsidRPr="004563DE">
                <w:rPr>
                  <w:rStyle w:val="Hyperlink"/>
                  <w:rFonts w:ascii="Times New Roman" w:hAnsi="Times New Roman" w:cs="Times New Roman"/>
                  <w:sz w:val="20"/>
                  <w:szCs w:val="20"/>
                </w:rPr>
                <w:t>Palbociclib with fulvestrant for treating hormone receptor-positive, HER2-negative, advanced breast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{"citationItems":[{"id":"ITEM-1","itemData":{"URL":"https://www.nice.org.uk/guidance/ta619","author":[{"dropping-particle":"","family":"National Institute for Health and Care Excellence (NICE)","given":"","non-dropping-particle":"","parse-names":false,"suffix":""}],"container-title":"NICE website","id":"ITEM-1","issued":{"date-parts":[["2020"]]},"title":"Palbociclib with fulvestrant for treating hormone receptor-positive, HER2-negative, advanced breast cancer. Technology appraisal guidance [TA619]","type":"webpage"},"uris":["http://www.mendeley.com/documents/?uuid=697ec874-160a-4405-a02f-c27594de3073"]}],"mendeley":{"formattedCitation":"(6)","plainTextFormattedCitation":"(6)","previouslyFormattedCitation":"(2)"},"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(6)</w:t>
            </w:r>
            <w:r w:rsidRPr="004563DE">
              <w:rPr>
                <w:rFonts w:ascii="Times New Roman" w:hAnsi="Times New Roman" w:cs="Times New Roman"/>
                <w:sz w:val="20"/>
                <w:szCs w:val="20"/>
              </w:rPr>
              <w:fldChar w:fldCharType="end"/>
            </w:r>
          </w:p>
        </w:tc>
        <w:tc>
          <w:tcPr>
            <w:tcW w:w="1134" w:type="dxa"/>
            <w:noWrap/>
            <w:hideMark/>
          </w:tcPr>
          <w:p w14:paraId="7E44753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2350A00F"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TA619</w:t>
            </w:r>
          </w:p>
        </w:tc>
        <w:tc>
          <w:tcPr>
            <w:tcW w:w="1134" w:type="dxa"/>
            <w:noWrap/>
            <w:hideMark/>
          </w:tcPr>
          <w:p w14:paraId="67192F65"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508A5415" w14:textId="77206EEF" w:rsidR="00EA0F21" w:rsidRPr="004563DE" w:rsidRDefault="00EA0F21" w:rsidP="00EA0F21">
            <w:pPr>
              <w:autoSpaceDE w:val="0"/>
              <w:autoSpaceDN w:val="0"/>
              <w:adjustRightInd w:val="0"/>
              <w:jc w:val="center"/>
              <w:rPr>
                <w:rFonts w:ascii="Times New Roman" w:hAnsi="Times New Roman" w:cs="Times New Roman"/>
                <w:sz w:val="20"/>
                <w:szCs w:val="20"/>
              </w:rPr>
            </w:pPr>
            <w:proofErr w:type="spellStart"/>
            <w:r w:rsidRPr="004563DE">
              <w:rPr>
                <w:rFonts w:ascii="Times New Roman" w:hAnsi="Times New Roman" w:cs="Times New Roman"/>
                <w:sz w:val="20"/>
                <w:szCs w:val="20"/>
              </w:rPr>
              <w:t>L</w:t>
            </w:r>
            <w:r>
              <w:rPr>
                <w:rFonts w:ascii="Times New Roman" w:hAnsi="Times New Roman" w:cs="Times New Roman"/>
                <w:sz w:val="20"/>
                <w:szCs w:val="20"/>
              </w:rPr>
              <w:t>RiG</w:t>
            </w:r>
            <w:proofErr w:type="spellEnd"/>
          </w:p>
        </w:tc>
        <w:tc>
          <w:tcPr>
            <w:tcW w:w="1985" w:type="dxa"/>
            <w:noWrap/>
            <w:hideMark/>
          </w:tcPr>
          <w:p w14:paraId="3BD5906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PALOMA3</w:t>
            </w:r>
          </w:p>
        </w:tc>
        <w:tc>
          <w:tcPr>
            <w:tcW w:w="2835" w:type="dxa"/>
            <w:noWrap/>
            <w:hideMark/>
          </w:tcPr>
          <w:p w14:paraId="0B11CF4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38B22BB3" w14:textId="77777777" w:rsidTr="00EA0F21">
        <w:trPr>
          <w:trHeight w:val="290"/>
        </w:trPr>
        <w:tc>
          <w:tcPr>
            <w:tcW w:w="6379" w:type="dxa"/>
            <w:noWrap/>
            <w:hideMark/>
          </w:tcPr>
          <w:p w14:paraId="3B59D6DD" w14:textId="2459B91F" w:rsidR="00EA0F21" w:rsidRPr="004563DE" w:rsidRDefault="00EA0F21" w:rsidP="00EA0F21">
            <w:pPr>
              <w:autoSpaceDE w:val="0"/>
              <w:autoSpaceDN w:val="0"/>
              <w:adjustRightInd w:val="0"/>
              <w:rPr>
                <w:rFonts w:ascii="Times New Roman" w:hAnsi="Times New Roman" w:cs="Times New Roman"/>
                <w:sz w:val="20"/>
                <w:szCs w:val="20"/>
              </w:rPr>
            </w:pPr>
            <w:hyperlink r:id="rId9" w:history="1">
              <w:r w:rsidRPr="004563DE">
                <w:rPr>
                  <w:rStyle w:val="Hyperlink"/>
                  <w:rFonts w:ascii="Times New Roman" w:hAnsi="Times New Roman" w:cs="Times New Roman"/>
                  <w:sz w:val="20"/>
                  <w:szCs w:val="20"/>
                </w:rPr>
                <w:t>Lenalidomide with rituximab for previously treated follicular lymphoma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{"citationItems":[{"id":"ITEM-1","itemData":{"URL":"https://www.nice.org.uk/guidance/ta627","author":[{"dropping-particle":"","family":"National Institute for Health and Care Excellence (NICE)","given":"","non-dropping-particle":"","parse-names":false,"suffix":""}],"container-title":"NICE website","id":"ITEM-1","issued":{"date-parts":[["2020"]]},"title":"Lenalidomide with rituximab for previously treated follicular lymphoma. Technology appraisal guidance [TA627]","type":"webpage"},"uris":["http://www.mendeley.com/documents/?uuid=258e4f70-8b07-4af7-922a-2abfbfa52994"]}],"mendeley":{"formattedCitation":"(7)","plainTextFormattedCitation":"(7)","previouslyFormattedCitation":"(3)"},"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(7)</w:t>
            </w:r>
            <w:r w:rsidRPr="004563DE">
              <w:rPr>
                <w:rFonts w:ascii="Times New Roman" w:hAnsi="Times New Roman" w:cs="Times New Roman"/>
                <w:sz w:val="20"/>
                <w:szCs w:val="20"/>
              </w:rPr>
              <w:fldChar w:fldCharType="end"/>
            </w:r>
          </w:p>
        </w:tc>
        <w:tc>
          <w:tcPr>
            <w:tcW w:w="1134" w:type="dxa"/>
            <w:noWrap/>
            <w:hideMark/>
          </w:tcPr>
          <w:p w14:paraId="0094AC17"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629A8CA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TA627</w:t>
            </w:r>
          </w:p>
        </w:tc>
        <w:tc>
          <w:tcPr>
            <w:tcW w:w="1134" w:type="dxa"/>
            <w:noWrap/>
            <w:hideMark/>
          </w:tcPr>
          <w:p w14:paraId="5E11BEA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5BCF5D14" w14:textId="324CC514"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w:t>
            </w:r>
            <w:r>
              <w:rPr>
                <w:rFonts w:ascii="Times New Roman" w:hAnsi="Times New Roman" w:cs="Times New Roman"/>
                <w:sz w:val="20"/>
                <w:szCs w:val="20"/>
              </w:rPr>
              <w:t>SR</w:t>
            </w:r>
          </w:p>
        </w:tc>
        <w:tc>
          <w:tcPr>
            <w:tcW w:w="1985" w:type="dxa"/>
            <w:noWrap/>
            <w:hideMark/>
          </w:tcPr>
          <w:p w14:paraId="4C8AEF97"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AUGMENT</w:t>
            </w:r>
          </w:p>
        </w:tc>
        <w:tc>
          <w:tcPr>
            <w:tcW w:w="2835" w:type="dxa"/>
            <w:noWrap/>
            <w:hideMark/>
          </w:tcPr>
          <w:p w14:paraId="09165471"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3C30AEBF" w14:textId="77777777" w:rsidTr="00EA0F21">
        <w:trPr>
          <w:trHeight w:val="290"/>
        </w:trPr>
        <w:tc>
          <w:tcPr>
            <w:tcW w:w="6379" w:type="dxa"/>
            <w:noWrap/>
            <w:hideMark/>
          </w:tcPr>
          <w:p w14:paraId="264331CB" w14:textId="719C6E9D" w:rsidR="00EA0F21" w:rsidRPr="004563DE" w:rsidRDefault="00EA0F21" w:rsidP="00EA0F21">
            <w:pPr>
              <w:autoSpaceDE w:val="0"/>
              <w:autoSpaceDN w:val="0"/>
              <w:adjustRightInd w:val="0"/>
              <w:rPr>
                <w:rFonts w:ascii="Times New Roman" w:hAnsi="Times New Roman" w:cs="Times New Roman"/>
                <w:sz w:val="20"/>
                <w:szCs w:val="20"/>
              </w:rPr>
            </w:pPr>
            <w:hyperlink r:id="rId10" w:history="1">
              <w:r w:rsidRPr="004563DE">
                <w:rPr>
                  <w:rStyle w:val="Hyperlink"/>
                  <w:rFonts w:ascii="Times New Roman" w:hAnsi="Times New Roman" w:cs="Times New Roman"/>
                  <w:sz w:val="20"/>
                  <w:szCs w:val="20"/>
                </w:rPr>
                <w:t>Obinutuzumab with bendamustine for treating follicular lymphoma after rituximab</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{"citationItems":[{"id":"ITEM-1","itemData":{"URL":"https://www.nice.org.uk/guidance/ta629","author":[{"dropping-particle":"","family":"National Institute for Health and Care Excellence (NICE)","given":"","non-dropping-particle":"","parse-names":false,"suffix":""}],"container-title":"NICE website","id":"ITEM-1","issued":{"date-parts":[["2020"]]},"title":"Obinutuzumab with bendamustine for treating follicular lymphoma after rituximab. Technology appraisal guidance [TA629]","type":"webpage"},"uris":["http://www.mendeley.com/documents/?uuid=eecd0025-f17b-4995-b0b2-5d83e7c72fbd"]}],"mendeley":{"formattedCitation":"(8)","plainTextFormattedCitation":"(8)","previouslyFormattedCitation":"(4)"},"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(8)</w:t>
            </w:r>
            <w:r w:rsidRPr="004563DE">
              <w:rPr>
                <w:rFonts w:ascii="Times New Roman" w:hAnsi="Times New Roman" w:cs="Times New Roman"/>
                <w:sz w:val="20"/>
                <w:szCs w:val="20"/>
              </w:rPr>
              <w:fldChar w:fldCharType="end"/>
            </w:r>
          </w:p>
        </w:tc>
        <w:tc>
          <w:tcPr>
            <w:tcW w:w="1134" w:type="dxa"/>
            <w:noWrap/>
            <w:hideMark/>
          </w:tcPr>
          <w:p w14:paraId="7ADA0253"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1898123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TA629 (TA472)</w:t>
            </w:r>
          </w:p>
        </w:tc>
        <w:tc>
          <w:tcPr>
            <w:tcW w:w="1134" w:type="dxa"/>
            <w:noWrap/>
            <w:hideMark/>
          </w:tcPr>
          <w:p w14:paraId="1D002073"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CDF</w:t>
            </w:r>
          </w:p>
        </w:tc>
        <w:tc>
          <w:tcPr>
            <w:tcW w:w="1417" w:type="dxa"/>
          </w:tcPr>
          <w:p w14:paraId="5D087A61" w14:textId="46316CA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w:t>
            </w:r>
            <w:r>
              <w:rPr>
                <w:rFonts w:ascii="Times New Roman" w:hAnsi="Times New Roman" w:cs="Times New Roman"/>
                <w:sz w:val="20"/>
                <w:szCs w:val="20"/>
              </w:rPr>
              <w:t>cHARR-TAG</w:t>
            </w:r>
          </w:p>
        </w:tc>
        <w:tc>
          <w:tcPr>
            <w:tcW w:w="1985" w:type="dxa"/>
            <w:noWrap/>
            <w:hideMark/>
          </w:tcPr>
          <w:p w14:paraId="2787AFF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GADOLIN</w:t>
            </w:r>
          </w:p>
        </w:tc>
        <w:tc>
          <w:tcPr>
            <w:tcW w:w="2835" w:type="dxa"/>
            <w:noWrap/>
            <w:hideMark/>
          </w:tcPr>
          <w:p w14:paraId="1B76EB61"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43CCFB09" w14:textId="77777777" w:rsidTr="00EA0F21">
        <w:trPr>
          <w:trHeight w:val="290"/>
        </w:trPr>
        <w:tc>
          <w:tcPr>
            <w:tcW w:w="6379" w:type="dxa"/>
            <w:noWrap/>
            <w:hideMark/>
          </w:tcPr>
          <w:p w14:paraId="32ACAC4E" w14:textId="7A84FAB7" w:rsidR="00EA0F21" w:rsidRPr="004563DE" w:rsidRDefault="00EA0F21" w:rsidP="00EA0F21">
            <w:pPr>
              <w:autoSpaceDE w:val="0"/>
              <w:autoSpaceDN w:val="0"/>
              <w:adjustRightInd w:val="0"/>
              <w:rPr>
                <w:rFonts w:ascii="Times New Roman" w:hAnsi="Times New Roman" w:cs="Times New Roman"/>
                <w:sz w:val="20"/>
                <w:szCs w:val="20"/>
              </w:rPr>
            </w:pPr>
            <w:hyperlink r:id="rId11" w:history="1">
              <w:r w:rsidRPr="004563DE">
                <w:rPr>
                  <w:rStyle w:val="Hyperlink"/>
                  <w:rFonts w:ascii="Times New Roman" w:hAnsi="Times New Roman" w:cs="Times New Roman"/>
                  <w:sz w:val="20"/>
                  <w:szCs w:val="20"/>
                </w:rPr>
                <w:t>Trastuzumab emtansine for adjuvant treatment of HER2-positive early breast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{"citationItems":[{"id":"ITEM-1","itemData":{"URL":"https://www.nice.org.uk/guidance/ta632","author":[{"dropping-particle":"","family":"National Institute for Health and Care Excellence (NICE)","given":"","non-dropping-particle":"","parse-names":false,"suffix":""}],"container-title":"NICE website","id":"ITEM-1","issued":{"date-parts":[["2020"]]},"title":"Trastuzumab emtansine for adjuvant treatment of HER2-positive early breast cancer. Technology appraisal guidance [TA632]","type":"webpage"},"uris":["http://www.mendeley.com/documents/?uuid=783db336-17a2-48de-a080-9a49e83ade51"]}],"mendeley":{"formattedCitation":"(9)","plainTextFormattedCitation":"(9)","previouslyFormattedCitation":"(5)"},"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(9)</w:t>
            </w:r>
            <w:r w:rsidRPr="004563DE">
              <w:rPr>
                <w:rFonts w:ascii="Times New Roman" w:hAnsi="Times New Roman" w:cs="Times New Roman"/>
                <w:sz w:val="20"/>
                <w:szCs w:val="20"/>
              </w:rPr>
              <w:fldChar w:fldCharType="end"/>
            </w:r>
          </w:p>
        </w:tc>
        <w:tc>
          <w:tcPr>
            <w:tcW w:w="1134" w:type="dxa"/>
            <w:noWrap/>
            <w:hideMark/>
          </w:tcPr>
          <w:p w14:paraId="255AFAC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2E53D1A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TA632</w:t>
            </w:r>
          </w:p>
        </w:tc>
        <w:tc>
          <w:tcPr>
            <w:tcW w:w="1134" w:type="dxa"/>
            <w:noWrap/>
            <w:hideMark/>
          </w:tcPr>
          <w:p w14:paraId="609FBFD3"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5D22FBC0" w14:textId="71221B15"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w:t>
            </w:r>
            <w:r>
              <w:rPr>
                <w:rFonts w:ascii="Times New Roman" w:hAnsi="Times New Roman" w:cs="Times New Roman"/>
                <w:sz w:val="20"/>
                <w:szCs w:val="20"/>
              </w:rPr>
              <w:t>SR</w:t>
            </w:r>
          </w:p>
        </w:tc>
        <w:tc>
          <w:tcPr>
            <w:tcW w:w="1985" w:type="dxa"/>
            <w:noWrap/>
            <w:hideMark/>
          </w:tcPr>
          <w:p w14:paraId="63C0945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KATHERINE</w:t>
            </w:r>
          </w:p>
        </w:tc>
        <w:tc>
          <w:tcPr>
            <w:tcW w:w="2835" w:type="dxa"/>
            <w:noWrap/>
            <w:hideMark/>
          </w:tcPr>
          <w:p w14:paraId="6E07FEF5"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3BE7765B" w14:textId="77777777" w:rsidTr="00EA0F21">
        <w:trPr>
          <w:trHeight w:val="290"/>
        </w:trPr>
        <w:tc>
          <w:tcPr>
            <w:tcW w:w="6379" w:type="dxa"/>
            <w:noWrap/>
            <w:hideMark/>
          </w:tcPr>
          <w:p w14:paraId="29C74FD4" w14:textId="56173478" w:rsidR="00EA0F21" w:rsidRPr="004563DE" w:rsidRDefault="00EA0F21" w:rsidP="00EA0F21">
            <w:pPr>
              <w:autoSpaceDE w:val="0"/>
              <w:autoSpaceDN w:val="0"/>
              <w:adjustRightInd w:val="0"/>
              <w:rPr>
                <w:rFonts w:ascii="Times New Roman" w:hAnsi="Times New Roman" w:cs="Times New Roman"/>
                <w:sz w:val="20"/>
                <w:szCs w:val="20"/>
              </w:rPr>
            </w:pPr>
            <w:hyperlink r:id="rId12" w:history="1">
              <w:r w:rsidRPr="004563DE">
                <w:rPr>
                  <w:rStyle w:val="Hyperlink"/>
                  <w:rFonts w:ascii="Times New Roman" w:hAnsi="Times New Roman" w:cs="Times New Roman"/>
                  <w:sz w:val="20"/>
                  <w:szCs w:val="20"/>
                </w:rPr>
                <w:t>Atezolizumab with nab-paclitaxel for untreated PD-L1-positive, locally advanced or metastatic, triple-negative breast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{"citationItems":[{"id":"ITEM-1","itemData":{"URL":"https://www.nice.org.uk/guidance/ta639","author":[{"dropping-particle":"","family":"National Institute for Health and Care Excellence (NICE)","given":"","non-dropping-particle":"","parse-names":false,"suffix":""}],"container-title":"NICE website","id":"ITEM-1","issued":{"date-parts":[["2020"]]},"title":"Atezolizumab with nab-paclitaxel for untreated PD-L1-positive, locally advanced or metastatic, triple-negative breast cancer. Technology appraisal guidance [TA639]","type":"webpage"},"uris":["http://www.mendeley.com/documents/?uuid=0829b88b-1db9-49a3-a2f0-6f87648eb411"]}],"mendeley":{"formattedCitation":"(10)","plainTextFormattedCitation":"(10)","previouslyFormattedCitation":"(6)"},"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(10)</w:t>
            </w:r>
            <w:r w:rsidRPr="004563DE">
              <w:rPr>
                <w:rFonts w:ascii="Times New Roman" w:hAnsi="Times New Roman" w:cs="Times New Roman"/>
                <w:sz w:val="20"/>
                <w:szCs w:val="20"/>
              </w:rPr>
              <w:fldChar w:fldCharType="end"/>
            </w:r>
          </w:p>
        </w:tc>
        <w:tc>
          <w:tcPr>
            <w:tcW w:w="1134" w:type="dxa"/>
            <w:noWrap/>
            <w:hideMark/>
          </w:tcPr>
          <w:p w14:paraId="5E4E3D6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7A965388"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TA639</w:t>
            </w:r>
          </w:p>
        </w:tc>
        <w:tc>
          <w:tcPr>
            <w:tcW w:w="1134" w:type="dxa"/>
            <w:noWrap/>
            <w:hideMark/>
          </w:tcPr>
          <w:p w14:paraId="740F94A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5F82A9F3" w14:textId="4475DB5B" w:rsidR="00EA0F21" w:rsidRPr="004563DE" w:rsidRDefault="00EA0F21" w:rsidP="00EA0F21">
            <w:pPr>
              <w:autoSpaceDE w:val="0"/>
              <w:autoSpaceDN w:val="0"/>
              <w:adjustRightInd w:val="0"/>
              <w:jc w:val="center"/>
              <w:rPr>
                <w:rFonts w:ascii="Times New Roman" w:hAnsi="Times New Roman" w:cs="Times New Roman"/>
                <w:sz w:val="20"/>
                <w:szCs w:val="20"/>
              </w:rPr>
            </w:pPr>
            <w:proofErr w:type="spellStart"/>
            <w:r w:rsidRPr="004563DE">
              <w:rPr>
                <w:rFonts w:ascii="Times New Roman" w:hAnsi="Times New Roman" w:cs="Times New Roman"/>
                <w:sz w:val="20"/>
                <w:szCs w:val="20"/>
              </w:rPr>
              <w:t>L</w:t>
            </w:r>
            <w:r>
              <w:rPr>
                <w:rFonts w:ascii="Times New Roman" w:hAnsi="Times New Roman" w:cs="Times New Roman"/>
                <w:sz w:val="20"/>
                <w:szCs w:val="20"/>
              </w:rPr>
              <w:t>RiG</w:t>
            </w:r>
            <w:proofErr w:type="spellEnd"/>
          </w:p>
        </w:tc>
        <w:tc>
          <w:tcPr>
            <w:tcW w:w="1985" w:type="dxa"/>
            <w:noWrap/>
            <w:hideMark/>
          </w:tcPr>
          <w:p w14:paraId="408E93D5"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IMPASSION130</w:t>
            </w:r>
          </w:p>
        </w:tc>
        <w:tc>
          <w:tcPr>
            <w:tcW w:w="2835" w:type="dxa"/>
            <w:noWrap/>
            <w:hideMark/>
          </w:tcPr>
          <w:p w14:paraId="38CA172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22880AA2" w14:textId="77777777" w:rsidTr="00EA0F21">
        <w:trPr>
          <w:trHeight w:val="290"/>
        </w:trPr>
        <w:tc>
          <w:tcPr>
            <w:tcW w:w="6379" w:type="dxa"/>
            <w:noWrap/>
            <w:hideMark/>
          </w:tcPr>
          <w:p w14:paraId="39B46191" w14:textId="03F3E78C" w:rsidR="00EA0F21" w:rsidRPr="004563DE" w:rsidRDefault="00EA0F21" w:rsidP="00EA0F21">
            <w:pPr>
              <w:autoSpaceDE w:val="0"/>
              <w:autoSpaceDN w:val="0"/>
              <w:adjustRightInd w:val="0"/>
              <w:rPr>
                <w:rFonts w:ascii="Times New Roman" w:hAnsi="Times New Roman" w:cs="Times New Roman"/>
                <w:sz w:val="20"/>
                <w:szCs w:val="20"/>
              </w:rPr>
            </w:pPr>
            <w:hyperlink r:id="rId13" w:history="1">
              <w:r w:rsidRPr="004563DE">
                <w:rPr>
                  <w:rStyle w:val="Hyperlink"/>
                  <w:rFonts w:ascii="Times New Roman" w:hAnsi="Times New Roman" w:cs="Times New Roman"/>
                  <w:sz w:val="20"/>
                  <w:szCs w:val="20"/>
                </w:rPr>
                <w:t>Atezolizumab with carboplatin and etoposide for untreated extensive-stage small-cell lung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{"citationItems":[{"id":"ITEM-1","itemData":{"URL":"https://www.nice.org.uk/guidance/ta638","author":[{"dropping-particle":"","family":"National Institute for Health and Care Excellence (NICE)","given":"","non-dropping-particle":"","parse-names":false,"suffix":""}],"container-title":"NICE website","id":"ITEM-1","issued":{"date-parts":[["2020"]]},"title":"Atezolizumab with carboplatin and etoposide for untreated extensive-stage small-cell lung cancer. Technology appraisal guidance [TA638]","type":"webpage"},"uris":["http://www.mendeley.com/documents/?uuid=3ecf4c59-5f83-4683-b92e-428ab7c6ddee"]}],"mendeley":{"formattedCitation":"(11)","plainTextFormattedCitation":"(11)","previouslyFormattedCitation":"(7)"},"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(11)</w:t>
            </w:r>
            <w:r w:rsidRPr="004563DE">
              <w:rPr>
                <w:rFonts w:ascii="Times New Roman" w:hAnsi="Times New Roman" w:cs="Times New Roman"/>
                <w:sz w:val="20"/>
                <w:szCs w:val="20"/>
              </w:rPr>
              <w:fldChar w:fldCharType="end"/>
            </w:r>
          </w:p>
        </w:tc>
        <w:tc>
          <w:tcPr>
            <w:tcW w:w="1134" w:type="dxa"/>
            <w:noWrap/>
            <w:hideMark/>
          </w:tcPr>
          <w:p w14:paraId="580FCFB7"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71A089B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TA638</w:t>
            </w:r>
          </w:p>
        </w:tc>
        <w:tc>
          <w:tcPr>
            <w:tcW w:w="1134" w:type="dxa"/>
            <w:noWrap/>
            <w:hideMark/>
          </w:tcPr>
          <w:p w14:paraId="36D0942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5864CA51" w14:textId="786D0D18"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w:t>
            </w:r>
            <w:r>
              <w:rPr>
                <w:rFonts w:ascii="Times New Roman" w:hAnsi="Times New Roman" w:cs="Times New Roman"/>
                <w:sz w:val="20"/>
                <w:szCs w:val="20"/>
              </w:rPr>
              <w:t>SR</w:t>
            </w:r>
          </w:p>
        </w:tc>
        <w:tc>
          <w:tcPr>
            <w:tcW w:w="1985" w:type="dxa"/>
            <w:noWrap/>
            <w:hideMark/>
          </w:tcPr>
          <w:p w14:paraId="15F9267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IMPOWER133</w:t>
            </w:r>
          </w:p>
        </w:tc>
        <w:tc>
          <w:tcPr>
            <w:tcW w:w="2835" w:type="dxa"/>
            <w:noWrap/>
            <w:hideMark/>
          </w:tcPr>
          <w:p w14:paraId="1246005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7A754EC0" w14:textId="77777777" w:rsidTr="00EA0F21">
        <w:trPr>
          <w:trHeight w:val="290"/>
        </w:trPr>
        <w:tc>
          <w:tcPr>
            <w:tcW w:w="6379" w:type="dxa"/>
            <w:noWrap/>
            <w:hideMark/>
          </w:tcPr>
          <w:p w14:paraId="580CBA73" w14:textId="6FD655AE" w:rsidR="00EA0F21" w:rsidRPr="004563DE" w:rsidRDefault="00EA0F21" w:rsidP="00EA0F21">
            <w:pPr>
              <w:autoSpaceDE w:val="0"/>
              <w:autoSpaceDN w:val="0"/>
              <w:adjustRightInd w:val="0"/>
              <w:rPr>
                <w:rFonts w:ascii="Times New Roman" w:hAnsi="Times New Roman" w:cs="Times New Roman"/>
                <w:sz w:val="20"/>
                <w:szCs w:val="20"/>
              </w:rPr>
            </w:pPr>
            <w:hyperlink r:id="rId14" w:history="1">
              <w:r w:rsidRPr="004563DE">
                <w:rPr>
                  <w:rStyle w:val="Hyperlink"/>
                  <w:rFonts w:ascii="Times New Roman" w:hAnsi="Times New Roman" w:cs="Times New Roman"/>
                  <w:sz w:val="20"/>
                  <w:szCs w:val="20"/>
                </w:rPr>
                <w:t>Gilteritinib for treating relapsed or refractory acute myeloid leukaemia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{"citationItems":[{"id":"ITEM-1","itemData":{"URL":"https://www.nice.org.uk/guidance/ta642","author":[{"dropping-particle":"","family":"National Institute for Health and Care Excellence (NICE)","given":"","non-dropping-particle":"","parse-names":false,"suffix":""}],"container-title":"NICE website","id":"ITEM-1","issued":{"date-parts":[["2020"]]},"title":"Gilteritinib for treating relapsed or refractory acute myeloid leukaemia. Technology appraisal guidance [TA642]","type":"webpage"},"uris":["http://www.mendeley.com/documents/?uuid=be04eea4-c0ab-4da6-a7f8-fd82d20bf10a"]}],"mendeley":{"formattedCitation":"(12)","plainTextFormattedCitation":"(12)","previouslyFormattedCitation":"(8)"},"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(12)</w:t>
            </w:r>
            <w:r w:rsidRPr="004563DE">
              <w:rPr>
                <w:rFonts w:ascii="Times New Roman" w:hAnsi="Times New Roman" w:cs="Times New Roman"/>
                <w:sz w:val="20"/>
                <w:szCs w:val="20"/>
              </w:rPr>
              <w:fldChar w:fldCharType="end"/>
            </w:r>
          </w:p>
        </w:tc>
        <w:tc>
          <w:tcPr>
            <w:tcW w:w="1134" w:type="dxa"/>
            <w:noWrap/>
            <w:hideMark/>
          </w:tcPr>
          <w:p w14:paraId="7B59A03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386396E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TA642</w:t>
            </w:r>
          </w:p>
        </w:tc>
        <w:tc>
          <w:tcPr>
            <w:tcW w:w="1134" w:type="dxa"/>
            <w:noWrap/>
            <w:hideMark/>
          </w:tcPr>
          <w:p w14:paraId="5F9FDAD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32AF3AD4" w14:textId="0A9C4629"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w:t>
            </w:r>
            <w:r>
              <w:rPr>
                <w:rFonts w:ascii="Times New Roman" w:hAnsi="Times New Roman" w:cs="Times New Roman"/>
                <w:sz w:val="20"/>
                <w:szCs w:val="20"/>
              </w:rPr>
              <w:t>c</w:t>
            </w:r>
            <w:r w:rsidRPr="004563DE">
              <w:rPr>
                <w:rFonts w:ascii="Times New Roman" w:hAnsi="Times New Roman" w:cs="Times New Roman"/>
                <w:sz w:val="20"/>
                <w:szCs w:val="20"/>
              </w:rPr>
              <w:t>HARR</w:t>
            </w:r>
            <w:r>
              <w:rPr>
                <w:rFonts w:ascii="Times New Roman" w:hAnsi="Times New Roman" w:cs="Times New Roman"/>
                <w:sz w:val="20"/>
                <w:szCs w:val="20"/>
              </w:rPr>
              <w:t>-TAG</w:t>
            </w:r>
          </w:p>
        </w:tc>
        <w:tc>
          <w:tcPr>
            <w:tcW w:w="1985" w:type="dxa"/>
            <w:noWrap/>
            <w:hideMark/>
          </w:tcPr>
          <w:p w14:paraId="57C9D90D"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ADMIRAL</w:t>
            </w:r>
          </w:p>
        </w:tc>
        <w:tc>
          <w:tcPr>
            <w:tcW w:w="2835" w:type="dxa"/>
            <w:noWrap/>
            <w:hideMark/>
          </w:tcPr>
          <w:p w14:paraId="75989AB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30136400" w14:textId="77777777" w:rsidTr="00EA0F21">
        <w:trPr>
          <w:trHeight w:val="290"/>
        </w:trPr>
        <w:tc>
          <w:tcPr>
            <w:tcW w:w="6379" w:type="dxa"/>
            <w:noWrap/>
            <w:hideMark/>
          </w:tcPr>
          <w:p w14:paraId="015B12F7" w14:textId="420790F9" w:rsidR="00EA0F21" w:rsidRPr="004563DE" w:rsidRDefault="00EA0F21" w:rsidP="00EA0F21">
            <w:pPr>
              <w:autoSpaceDE w:val="0"/>
              <w:autoSpaceDN w:val="0"/>
              <w:adjustRightInd w:val="0"/>
              <w:rPr>
                <w:rFonts w:ascii="Times New Roman" w:hAnsi="Times New Roman" w:cs="Times New Roman"/>
                <w:sz w:val="20"/>
                <w:szCs w:val="20"/>
              </w:rPr>
            </w:pPr>
            <w:hyperlink r:id="rId15" w:history="1">
              <w:r w:rsidRPr="004563DE">
                <w:rPr>
                  <w:rStyle w:val="Hyperlink"/>
                  <w:rFonts w:ascii="Times New Roman" w:hAnsi="Times New Roman" w:cs="Times New Roman"/>
                  <w:sz w:val="20"/>
                  <w:szCs w:val="20"/>
                </w:rPr>
                <w:t>Brentuximab vedotin in combination for untreated systemic anaplastic large cell lymphoma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{"citationItems":[{"id":"ITEM-1","itemData":{"URL":"https://www.nice.org.uk/guidance/ta641","author":[{"dropping-particle":"","family":"National Institute for Health and Care Excellence (NICE)","given":"","non-dropping-particle":"","parse-names":false,"suffix":""}],"container-title":"NICE website","id":"ITEM-1","issued":{"date-parts":[["2020"]]},"title":"Brentuximab vedotin in combination for untreated systemic anaplastic large cell lymphoma. Technology appraisal guidance [TA641]","type":"webpage"},"uris":["http://www.mendeley.com/documents/?uuid=6b84b14b-6b30-4382-a3ab-a60a496b2a10"]}],"mendeley":{"formattedCitation":"(13)","plainTextFormattedCitation":"(13)","previouslyFormattedCitation":"(9)"},"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(13)</w:t>
            </w:r>
            <w:r w:rsidRPr="004563DE">
              <w:rPr>
                <w:rFonts w:ascii="Times New Roman" w:hAnsi="Times New Roman" w:cs="Times New Roman"/>
                <w:sz w:val="20"/>
                <w:szCs w:val="20"/>
              </w:rPr>
              <w:fldChar w:fldCharType="end"/>
            </w:r>
          </w:p>
        </w:tc>
        <w:tc>
          <w:tcPr>
            <w:tcW w:w="1134" w:type="dxa"/>
            <w:noWrap/>
            <w:hideMark/>
          </w:tcPr>
          <w:p w14:paraId="1DF340E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180DE07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TA641</w:t>
            </w:r>
          </w:p>
        </w:tc>
        <w:tc>
          <w:tcPr>
            <w:tcW w:w="1134" w:type="dxa"/>
            <w:noWrap/>
            <w:hideMark/>
          </w:tcPr>
          <w:p w14:paraId="6768446D"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07354AA4" w14:textId="283C50DD"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w:t>
            </w:r>
            <w:r>
              <w:rPr>
                <w:rFonts w:ascii="Times New Roman" w:hAnsi="Times New Roman" w:cs="Times New Roman"/>
                <w:sz w:val="20"/>
                <w:szCs w:val="20"/>
              </w:rPr>
              <w:t>SR</w:t>
            </w:r>
          </w:p>
        </w:tc>
        <w:tc>
          <w:tcPr>
            <w:tcW w:w="1985" w:type="dxa"/>
            <w:noWrap/>
            <w:hideMark/>
          </w:tcPr>
          <w:p w14:paraId="30FDFEA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ECHELON2</w:t>
            </w:r>
          </w:p>
        </w:tc>
        <w:tc>
          <w:tcPr>
            <w:tcW w:w="2835" w:type="dxa"/>
            <w:noWrap/>
            <w:hideMark/>
          </w:tcPr>
          <w:p w14:paraId="1B1FDAA3"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1AEF6811" w14:textId="77777777" w:rsidTr="00EA0F21">
        <w:trPr>
          <w:trHeight w:val="290"/>
        </w:trPr>
        <w:tc>
          <w:tcPr>
            <w:tcW w:w="6379" w:type="dxa"/>
            <w:noWrap/>
            <w:hideMark/>
          </w:tcPr>
          <w:p w14:paraId="72F02418" w14:textId="5F6AB1A2" w:rsidR="00EA0F21" w:rsidRPr="004563DE" w:rsidRDefault="00EA0F21" w:rsidP="00EA0F21">
            <w:pPr>
              <w:autoSpaceDE w:val="0"/>
              <w:autoSpaceDN w:val="0"/>
              <w:adjustRightInd w:val="0"/>
              <w:rPr>
                <w:rFonts w:ascii="Times New Roman" w:hAnsi="Times New Roman" w:cs="Times New Roman"/>
                <w:sz w:val="20"/>
                <w:szCs w:val="20"/>
              </w:rPr>
            </w:pPr>
            <w:hyperlink r:id="rId16" w:history="1">
              <w:r w:rsidRPr="004563DE">
                <w:rPr>
                  <w:rStyle w:val="Hyperlink"/>
                  <w:rFonts w:ascii="Times New Roman" w:hAnsi="Times New Roman" w:cs="Times New Roman"/>
                  <w:sz w:val="20"/>
                  <w:szCs w:val="20"/>
                </w:rPr>
                <w:t>Avelumab with axitinib for untreated advanced renal cell carcinoma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{"citationItems":[{"id":"ITEM-1","itemData":{"URL":"https://www.nice.org.uk/guidance/ta645","author":[{"dropping-particle":"","family":"National Institute for Health and Care Excellence (NICE)","given":"","non-dropping-particle":"","parse-names":false,"suffix":""}],"container-title":"NICE website","id":"ITEM-1","issued":{"date-parts":[["2020"]]},"title":"Avelumab with axitinib for untreated advanced renal cell carcinoma. Technology appraisal guidance [TA645]","type":"webpage"},"uris":["http://www.mendeley.com/documents/?uuid=c1f529cb-7796-4507-a409-0962814f1e21"]}],"mendeley":{"formattedCitation":"(14)","plainTextFormattedCitation":"(14)","previouslyFormattedCitation":"(10)"},"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(14)</w:t>
            </w:r>
            <w:r w:rsidRPr="004563DE">
              <w:rPr>
                <w:rFonts w:ascii="Times New Roman" w:hAnsi="Times New Roman" w:cs="Times New Roman"/>
                <w:sz w:val="20"/>
                <w:szCs w:val="20"/>
              </w:rPr>
              <w:fldChar w:fldCharType="end"/>
            </w:r>
          </w:p>
        </w:tc>
        <w:tc>
          <w:tcPr>
            <w:tcW w:w="1134" w:type="dxa"/>
            <w:noWrap/>
            <w:hideMark/>
          </w:tcPr>
          <w:p w14:paraId="01A5B398"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4CE77FE5"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TA645</w:t>
            </w:r>
          </w:p>
        </w:tc>
        <w:tc>
          <w:tcPr>
            <w:tcW w:w="1134" w:type="dxa"/>
            <w:noWrap/>
            <w:hideMark/>
          </w:tcPr>
          <w:p w14:paraId="68225E7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3918132D" w14:textId="2CF6EA14" w:rsidR="00EA0F21" w:rsidRPr="004563DE" w:rsidRDefault="00EA0F21" w:rsidP="00EA0F21">
            <w:pPr>
              <w:autoSpaceDE w:val="0"/>
              <w:autoSpaceDN w:val="0"/>
              <w:adjustRightInd w:val="0"/>
              <w:jc w:val="center"/>
              <w:rPr>
                <w:rFonts w:ascii="Times New Roman" w:hAnsi="Times New Roman" w:cs="Times New Roman"/>
                <w:sz w:val="20"/>
                <w:szCs w:val="20"/>
              </w:rPr>
            </w:pPr>
            <w:proofErr w:type="spellStart"/>
            <w:r w:rsidRPr="004563DE">
              <w:rPr>
                <w:rFonts w:ascii="Times New Roman" w:hAnsi="Times New Roman" w:cs="Times New Roman"/>
                <w:sz w:val="20"/>
                <w:szCs w:val="20"/>
              </w:rPr>
              <w:t>L</w:t>
            </w:r>
            <w:r>
              <w:rPr>
                <w:rFonts w:ascii="Times New Roman" w:hAnsi="Times New Roman" w:cs="Times New Roman"/>
                <w:sz w:val="20"/>
                <w:szCs w:val="20"/>
              </w:rPr>
              <w:t>RiG</w:t>
            </w:r>
            <w:proofErr w:type="spellEnd"/>
          </w:p>
        </w:tc>
        <w:tc>
          <w:tcPr>
            <w:tcW w:w="1985" w:type="dxa"/>
            <w:noWrap/>
            <w:hideMark/>
          </w:tcPr>
          <w:p w14:paraId="244C1B6D"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JAVELIN RENAL 101</w:t>
            </w:r>
          </w:p>
        </w:tc>
        <w:tc>
          <w:tcPr>
            <w:tcW w:w="2835" w:type="dxa"/>
            <w:noWrap/>
            <w:hideMark/>
          </w:tcPr>
          <w:p w14:paraId="16C4E77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3E011E52" w14:textId="77777777" w:rsidTr="00EA0F21">
        <w:trPr>
          <w:trHeight w:val="290"/>
        </w:trPr>
        <w:tc>
          <w:tcPr>
            <w:tcW w:w="6379" w:type="dxa"/>
            <w:noWrap/>
            <w:hideMark/>
          </w:tcPr>
          <w:p w14:paraId="6D780660" w14:textId="1A938825" w:rsidR="00EA0F21" w:rsidRPr="004563DE" w:rsidRDefault="00EA0F21" w:rsidP="00EA0F21">
            <w:pPr>
              <w:autoSpaceDE w:val="0"/>
              <w:autoSpaceDN w:val="0"/>
              <w:adjustRightInd w:val="0"/>
              <w:rPr>
                <w:rFonts w:ascii="Times New Roman" w:hAnsi="Times New Roman" w:cs="Times New Roman"/>
                <w:sz w:val="20"/>
                <w:szCs w:val="20"/>
              </w:rPr>
            </w:pPr>
            <w:hyperlink r:id="rId17" w:history="1">
              <w:r w:rsidRPr="004563DE">
                <w:rPr>
                  <w:rStyle w:val="Hyperlink"/>
                  <w:rFonts w:ascii="Times New Roman" w:hAnsi="Times New Roman" w:cs="Times New Roman"/>
                  <w:sz w:val="20"/>
                  <w:szCs w:val="20"/>
                </w:rPr>
                <w:t>Polatuzumab vedotin with rituximab and bendamustine for treating relapsed or refractory diffuse large B-cell lymphoma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{"citationItems":[{"id":"ITEM-1","itemData":{"URL":"https://www.nice.org.uk/guidance/ta649","author":[{"dropping-particle":"","family":"National Institute for Health and Care Excellence (NICE)","given":"","non-dropping-particle":"","parse-names":false,"suffix":""}],"container-title":"NICE website","id":"ITEM-1","issued":{"date-parts":[["2020"]]},"title":"Polatuzumab vedotin with rituximab and bendamustine for treating relapsed or refractory diffuse large B-cell lymphoma. Technology appraisal guidance [TA649]","type":"webpage"},"uris":["http://www.mendeley.com/documents/?uuid=43738ff7-63e0-4b9f-9cff-3cab4803412a"]}],"mendeley":{"formattedCitation":"(15)","plainTextFormattedCitation":"(15)","previouslyFormattedCitation":"(11)"},"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(15)</w:t>
            </w:r>
            <w:r w:rsidRPr="004563DE">
              <w:rPr>
                <w:rFonts w:ascii="Times New Roman" w:hAnsi="Times New Roman" w:cs="Times New Roman"/>
                <w:sz w:val="20"/>
                <w:szCs w:val="20"/>
              </w:rPr>
              <w:fldChar w:fldCharType="end"/>
            </w:r>
          </w:p>
        </w:tc>
        <w:tc>
          <w:tcPr>
            <w:tcW w:w="1134" w:type="dxa"/>
            <w:noWrap/>
            <w:hideMark/>
          </w:tcPr>
          <w:p w14:paraId="3099858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0CA4D1EF"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TA649</w:t>
            </w:r>
          </w:p>
        </w:tc>
        <w:tc>
          <w:tcPr>
            <w:tcW w:w="1134" w:type="dxa"/>
            <w:noWrap/>
            <w:hideMark/>
          </w:tcPr>
          <w:p w14:paraId="2A16664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221D35B0" w14:textId="177ED929"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w:t>
            </w:r>
            <w:r>
              <w:rPr>
                <w:rFonts w:ascii="Times New Roman" w:hAnsi="Times New Roman" w:cs="Times New Roman"/>
                <w:sz w:val="20"/>
                <w:szCs w:val="20"/>
              </w:rPr>
              <w:t>SR</w:t>
            </w:r>
          </w:p>
        </w:tc>
        <w:tc>
          <w:tcPr>
            <w:tcW w:w="1985" w:type="dxa"/>
            <w:noWrap/>
            <w:hideMark/>
          </w:tcPr>
          <w:p w14:paraId="2A1D8D68"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GO29365</w:t>
            </w:r>
          </w:p>
        </w:tc>
        <w:tc>
          <w:tcPr>
            <w:tcW w:w="2835" w:type="dxa"/>
            <w:noWrap/>
            <w:hideMark/>
          </w:tcPr>
          <w:p w14:paraId="4AC68C4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4FCBE659" w14:textId="77777777" w:rsidTr="00EA0F21">
        <w:trPr>
          <w:trHeight w:val="290"/>
        </w:trPr>
        <w:tc>
          <w:tcPr>
            <w:tcW w:w="6379" w:type="dxa"/>
            <w:noWrap/>
            <w:hideMark/>
          </w:tcPr>
          <w:p w14:paraId="4BF4FA0B" w14:textId="5195499A" w:rsidR="00EA0F21" w:rsidRPr="004563DE" w:rsidRDefault="00EA0F21" w:rsidP="00EA0F21">
            <w:pPr>
              <w:autoSpaceDE w:val="0"/>
              <w:autoSpaceDN w:val="0"/>
              <w:adjustRightInd w:val="0"/>
              <w:rPr>
                <w:rFonts w:ascii="Times New Roman" w:hAnsi="Times New Roman" w:cs="Times New Roman"/>
                <w:sz w:val="20"/>
                <w:szCs w:val="20"/>
              </w:rPr>
            </w:pPr>
            <w:hyperlink r:id="rId18" w:history="1">
              <w:r w:rsidRPr="004563DE">
                <w:rPr>
                  <w:rStyle w:val="Hyperlink"/>
                  <w:rFonts w:ascii="Times New Roman" w:hAnsi="Times New Roman" w:cs="Times New Roman"/>
                  <w:sz w:val="20"/>
                  <w:szCs w:val="20"/>
                </w:rPr>
                <w:t>Pembrolizumab with axitinib for untreated advanced renal cell carcinoma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{"citationItems":[{"id":"ITEM-1","itemData":{"URL":"https://www.nice.org.uk/guidance/ta650","author":[{"dropping-particle":"","family":"National Institute for Health and Care Excellence (NICE)","given":"","non-dropping-particle":"","parse-names":false,"suffix":""}],"container-title":"NICE website","id":"ITEM-1","issued":{"date-parts":[["2020"]]},"title":"Pembrolizumab with axitinib for untreated advanced renal cell carcinoma. Technology appraisal guidance [TA650]","type":"webpage"},"uris":["http://www.mendeley.com/documents/?uuid=54723538-bad7-4a64-94e2-3a0fd204899e"]}],"mendeley":{"formattedCitation":"(16)","plainTextFormattedCitation":"(16)","previouslyFormattedCitation":"(12)"},"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(16)</w:t>
            </w:r>
            <w:r w:rsidRPr="004563DE">
              <w:rPr>
                <w:rFonts w:ascii="Times New Roman" w:hAnsi="Times New Roman" w:cs="Times New Roman"/>
                <w:sz w:val="20"/>
                <w:szCs w:val="20"/>
              </w:rPr>
              <w:fldChar w:fldCharType="end"/>
            </w:r>
          </w:p>
        </w:tc>
        <w:tc>
          <w:tcPr>
            <w:tcW w:w="1134" w:type="dxa"/>
            <w:noWrap/>
            <w:hideMark/>
          </w:tcPr>
          <w:p w14:paraId="1029521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1C3DF007"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TA650</w:t>
            </w:r>
          </w:p>
        </w:tc>
        <w:tc>
          <w:tcPr>
            <w:tcW w:w="1134" w:type="dxa"/>
            <w:noWrap/>
            <w:hideMark/>
          </w:tcPr>
          <w:p w14:paraId="0F2E0993"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2B2FE129" w14:textId="785DAFD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w:t>
            </w:r>
            <w:r>
              <w:rPr>
                <w:rFonts w:ascii="Times New Roman" w:hAnsi="Times New Roman" w:cs="Times New Roman"/>
                <w:sz w:val="20"/>
                <w:szCs w:val="20"/>
              </w:rPr>
              <w:t>HTAC</w:t>
            </w:r>
          </w:p>
        </w:tc>
        <w:tc>
          <w:tcPr>
            <w:tcW w:w="1985" w:type="dxa"/>
            <w:noWrap/>
            <w:hideMark/>
          </w:tcPr>
          <w:p w14:paraId="3B9FBE8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KEYNOTE426</w:t>
            </w:r>
          </w:p>
        </w:tc>
        <w:tc>
          <w:tcPr>
            <w:tcW w:w="2835" w:type="dxa"/>
            <w:noWrap/>
            <w:hideMark/>
          </w:tcPr>
          <w:p w14:paraId="7A5CA8FD"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05D1EC41" w14:textId="77777777" w:rsidTr="00EA0F21">
        <w:trPr>
          <w:trHeight w:val="290"/>
        </w:trPr>
        <w:tc>
          <w:tcPr>
            <w:tcW w:w="6379" w:type="dxa"/>
            <w:noWrap/>
            <w:hideMark/>
          </w:tcPr>
          <w:p w14:paraId="5C50C8A9" w14:textId="41FEBFEB" w:rsidR="00EA0F21" w:rsidRPr="004563DE" w:rsidRDefault="00EA0F21" w:rsidP="00EA0F21">
            <w:pPr>
              <w:autoSpaceDE w:val="0"/>
              <w:autoSpaceDN w:val="0"/>
              <w:adjustRightInd w:val="0"/>
              <w:rPr>
                <w:rFonts w:ascii="Times New Roman" w:hAnsi="Times New Roman" w:cs="Times New Roman"/>
                <w:sz w:val="20"/>
                <w:szCs w:val="20"/>
              </w:rPr>
            </w:pPr>
            <w:hyperlink r:id="rId19" w:history="1">
              <w:r w:rsidRPr="004563DE">
                <w:rPr>
                  <w:rStyle w:val="Hyperlink"/>
                  <w:rFonts w:ascii="Times New Roman" w:hAnsi="Times New Roman" w:cs="Times New Roman"/>
                  <w:sz w:val="20"/>
                  <w:szCs w:val="20"/>
                </w:rPr>
                <w:t>Osimertinib for treating EGFR T790M mutation-positive advanced non-small-cell lung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{"citationItems":[{"id":"ITEM-1","itemData":{"URL":"https://www.nice.org.uk/guidance/ta653","author":[{"dropping-particle":"","family":"National Institute for Health and Care Excellence (NICE)","given":"","non-dropping-particle":"","parse-names":false,"suffix":""}],"container-title":"NICE website","id":"ITEM-1","issued":{"date-parts":[["2020"]]},"title":"Osimertinib for treating EGFR T790M mutation-positive advanced non-small-cell lung cancer. Technology appraisal guidance [TA653]","type":"webpage"},"uris":["http://www.mendeley.com/documents/?uuid=8ba24fe4-ac9e-4773-bb21-ef631e0df19e"]}],"mendeley":{"formattedCitation":"(17)","plainTextFormattedCitation":"(17)","previouslyFormattedCitation":"(13)"},"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(17)</w:t>
            </w:r>
            <w:r w:rsidRPr="004563DE">
              <w:rPr>
                <w:rFonts w:ascii="Times New Roman" w:hAnsi="Times New Roman" w:cs="Times New Roman"/>
                <w:sz w:val="20"/>
                <w:szCs w:val="20"/>
              </w:rPr>
              <w:fldChar w:fldCharType="end"/>
            </w:r>
          </w:p>
        </w:tc>
        <w:tc>
          <w:tcPr>
            <w:tcW w:w="1134" w:type="dxa"/>
            <w:noWrap/>
            <w:hideMark/>
          </w:tcPr>
          <w:p w14:paraId="222EDD8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7AF6421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TA653 (TA416)</w:t>
            </w:r>
          </w:p>
        </w:tc>
        <w:tc>
          <w:tcPr>
            <w:tcW w:w="1134" w:type="dxa"/>
            <w:noWrap/>
            <w:hideMark/>
          </w:tcPr>
          <w:p w14:paraId="54532ED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CDF</w:t>
            </w:r>
          </w:p>
        </w:tc>
        <w:tc>
          <w:tcPr>
            <w:tcW w:w="1417" w:type="dxa"/>
          </w:tcPr>
          <w:p w14:paraId="62B475C3" w14:textId="3D2FC2EB" w:rsidR="00EA0F21" w:rsidRPr="004563DE" w:rsidRDefault="00EA0F21" w:rsidP="00EA0F21">
            <w:pPr>
              <w:autoSpaceDE w:val="0"/>
              <w:autoSpaceDN w:val="0"/>
              <w:adjustRightInd w:val="0"/>
              <w:jc w:val="center"/>
              <w:rPr>
                <w:rFonts w:ascii="Times New Roman" w:hAnsi="Times New Roman" w:cs="Times New Roman"/>
                <w:sz w:val="20"/>
                <w:szCs w:val="20"/>
              </w:rPr>
            </w:pPr>
            <w:proofErr w:type="spellStart"/>
            <w:r>
              <w:rPr>
                <w:rFonts w:ascii="Times New Roman" w:hAnsi="Times New Roman" w:cs="Times New Roman"/>
                <w:sz w:val="20"/>
                <w:szCs w:val="20"/>
              </w:rPr>
              <w:t>LRiG</w:t>
            </w:r>
            <w:proofErr w:type="spellEnd"/>
          </w:p>
        </w:tc>
        <w:tc>
          <w:tcPr>
            <w:tcW w:w="1985" w:type="dxa"/>
            <w:noWrap/>
            <w:hideMark/>
          </w:tcPr>
          <w:p w14:paraId="2598EAA5"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AURA3</w:t>
            </w:r>
          </w:p>
        </w:tc>
        <w:tc>
          <w:tcPr>
            <w:tcW w:w="2835" w:type="dxa"/>
            <w:noWrap/>
            <w:hideMark/>
          </w:tcPr>
          <w:p w14:paraId="766E702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27A7007E" w14:textId="77777777" w:rsidTr="00EA0F21">
        <w:trPr>
          <w:trHeight w:val="290"/>
        </w:trPr>
        <w:tc>
          <w:tcPr>
            <w:tcW w:w="6379" w:type="dxa"/>
            <w:noWrap/>
            <w:hideMark/>
          </w:tcPr>
          <w:p w14:paraId="616129CA" w14:textId="54E9774D" w:rsidR="00EA0F21" w:rsidRPr="004563DE" w:rsidRDefault="00EA0F21" w:rsidP="00EA0F21">
            <w:pPr>
              <w:autoSpaceDE w:val="0"/>
              <w:autoSpaceDN w:val="0"/>
              <w:adjustRightInd w:val="0"/>
              <w:rPr>
                <w:rFonts w:ascii="Times New Roman" w:hAnsi="Times New Roman" w:cs="Times New Roman"/>
                <w:sz w:val="20"/>
                <w:szCs w:val="20"/>
              </w:rPr>
            </w:pPr>
            <w:hyperlink r:id="rId20" w:history="1">
              <w:r w:rsidRPr="004563DE">
                <w:rPr>
                  <w:rStyle w:val="Hyperlink"/>
                  <w:rFonts w:ascii="Times New Roman" w:hAnsi="Times New Roman" w:cs="Times New Roman"/>
                  <w:sz w:val="20"/>
                  <w:szCs w:val="20"/>
                </w:rPr>
                <w:t>Nivolumab for advanced squamous non-small-cell lung cancer after chemotherapy</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{"citationItems":[{"id":"ITEM-1","itemData":{"URL":"https://www.nice.org.uk/guidance/ta655","author":[{"dropping-particle":"","family":"National Institute for Health and Care Excellence (NICE)","given":"","non-dropping-particle":"","parse-names":false,"suffix":""}],"container-title":"NICE website","id":"ITEM-1","issued":{"date-parts":[["2020"]]},"title":"Nivolumab for advanced squamous non-small-cell lung cancer after chemotherapy. Technology appraisal guidance [TA655]","type":"webpage"},"uris":["http://www.mendeley.com/documents/?uuid=2960caf1-bbaf-4866-854f-7ead5a74803c"]}],"mendeley":{"formattedCitation":"(4)","plainTextFormattedCitation":"(4)","previouslyFormattedCitation":"(14)"},"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(4)</w:t>
            </w:r>
            <w:r w:rsidRPr="004563DE">
              <w:rPr>
                <w:rFonts w:ascii="Times New Roman" w:hAnsi="Times New Roman" w:cs="Times New Roman"/>
                <w:sz w:val="20"/>
                <w:szCs w:val="20"/>
              </w:rPr>
              <w:fldChar w:fldCharType="end"/>
            </w:r>
          </w:p>
        </w:tc>
        <w:tc>
          <w:tcPr>
            <w:tcW w:w="1134" w:type="dxa"/>
            <w:noWrap/>
            <w:hideMark/>
          </w:tcPr>
          <w:p w14:paraId="678D22B7"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2C79BBBF"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TA655 (TA483)</w:t>
            </w:r>
          </w:p>
        </w:tc>
        <w:tc>
          <w:tcPr>
            <w:tcW w:w="1134" w:type="dxa"/>
            <w:noWrap/>
            <w:hideMark/>
          </w:tcPr>
          <w:p w14:paraId="55244C2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CDF</w:t>
            </w:r>
          </w:p>
        </w:tc>
        <w:tc>
          <w:tcPr>
            <w:tcW w:w="1417" w:type="dxa"/>
          </w:tcPr>
          <w:p w14:paraId="3EDB787C" w14:textId="6C5575EE" w:rsidR="00EA0F21" w:rsidRPr="004563DE" w:rsidRDefault="00EA0F21" w:rsidP="00EA0F21">
            <w:pPr>
              <w:autoSpaceDE w:val="0"/>
              <w:autoSpaceDN w:val="0"/>
              <w:adjustRightInd w:val="0"/>
              <w:jc w:val="center"/>
              <w:rPr>
                <w:rFonts w:ascii="Times New Roman" w:hAnsi="Times New Roman" w:cs="Times New Roman"/>
                <w:sz w:val="20"/>
                <w:szCs w:val="20"/>
              </w:rPr>
            </w:pPr>
            <w:proofErr w:type="spellStart"/>
            <w:r w:rsidRPr="004563DE">
              <w:rPr>
                <w:rFonts w:ascii="Times New Roman" w:hAnsi="Times New Roman" w:cs="Times New Roman"/>
                <w:sz w:val="20"/>
                <w:szCs w:val="20"/>
              </w:rPr>
              <w:t>L</w:t>
            </w:r>
            <w:r>
              <w:rPr>
                <w:rFonts w:ascii="Times New Roman" w:hAnsi="Times New Roman" w:cs="Times New Roman"/>
                <w:sz w:val="20"/>
                <w:szCs w:val="20"/>
              </w:rPr>
              <w:t>RiG</w:t>
            </w:r>
            <w:proofErr w:type="spellEnd"/>
          </w:p>
        </w:tc>
        <w:tc>
          <w:tcPr>
            <w:tcW w:w="1985" w:type="dxa"/>
            <w:noWrap/>
            <w:hideMark/>
          </w:tcPr>
          <w:p w14:paraId="6C7E176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CHECKMATE 017</w:t>
            </w:r>
          </w:p>
        </w:tc>
        <w:tc>
          <w:tcPr>
            <w:tcW w:w="2835" w:type="dxa"/>
            <w:noWrap/>
            <w:hideMark/>
          </w:tcPr>
          <w:p w14:paraId="3C5518D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63A37270" w14:textId="77777777" w:rsidTr="00EA0F21">
        <w:trPr>
          <w:trHeight w:val="290"/>
        </w:trPr>
        <w:tc>
          <w:tcPr>
            <w:tcW w:w="6379" w:type="dxa"/>
            <w:noWrap/>
            <w:hideMark/>
          </w:tcPr>
          <w:p w14:paraId="4CCABC70" w14:textId="0B34F46B" w:rsidR="00EA0F21" w:rsidRPr="004563DE" w:rsidRDefault="00EA0F21" w:rsidP="00EA0F21">
            <w:pPr>
              <w:autoSpaceDE w:val="0"/>
              <w:autoSpaceDN w:val="0"/>
              <w:adjustRightInd w:val="0"/>
              <w:rPr>
                <w:rFonts w:ascii="Times New Roman" w:hAnsi="Times New Roman" w:cs="Times New Roman"/>
                <w:sz w:val="20"/>
                <w:szCs w:val="20"/>
              </w:rPr>
            </w:pPr>
            <w:hyperlink r:id="rId21" w:history="1">
              <w:r w:rsidRPr="004563DE">
                <w:rPr>
                  <w:rStyle w:val="Hyperlink"/>
                  <w:rFonts w:ascii="Times New Roman" w:hAnsi="Times New Roman" w:cs="Times New Roman"/>
                  <w:sz w:val="20"/>
                  <w:szCs w:val="20"/>
                </w:rPr>
                <w:t>Isatuximab with pomalidomide and dexamethasone for treating relapsed and refractory multiple myeloma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{"citationItems":[{"id":"ITEM-1","itemData":{"URL":"https://www.nice.org.uk/guidance/ta658","author":[{"dropping-particle":"","family":"National Institute for Health and Care Excellence (NICE)","given":"","non-dropping-particle":"","parse-names":false,"suffix":""}],"container-title":"NICE website","id":"ITEM-1","issued":{"date-parts":[["2020"]]},"title":"Isatuximab with pomalidomide and dexamethasone for treating relapsed and refractory multiple myeloma. Technology appraisal guidance [TA658]","type":"webpage"},"uris":["http://www.mendeley.com/documents/?uuid=3a800c3b-051a-45bc-b6f0-1d9853e6781b"]}],"mendeley":{"formattedCitation":"(18)","plainTextFormattedCitation":"(18)","previouslyFormattedCitation":"(15)"},"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(18)</w:t>
            </w:r>
            <w:r w:rsidRPr="004563DE">
              <w:rPr>
                <w:rFonts w:ascii="Times New Roman" w:hAnsi="Times New Roman" w:cs="Times New Roman"/>
                <w:sz w:val="20"/>
                <w:szCs w:val="20"/>
              </w:rPr>
              <w:fldChar w:fldCharType="end"/>
            </w:r>
          </w:p>
        </w:tc>
        <w:tc>
          <w:tcPr>
            <w:tcW w:w="1134" w:type="dxa"/>
            <w:noWrap/>
            <w:hideMark/>
          </w:tcPr>
          <w:p w14:paraId="18ABE64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15AE50F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TA658</w:t>
            </w:r>
          </w:p>
        </w:tc>
        <w:tc>
          <w:tcPr>
            <w:tcW w:w="1134" w:type="dxa"/>
            <w:noWrap/>
            <w:hideMark/>
          </w:tcPr>
          <w:p w14:paraId="5B63FFE5"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091F0C6B" w14:textId="259A0D05"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w:t>
            </w:r>
            <w:r>
              <w:rPr>
                <w:rFonts w:ascii="Times New Roman" w:hAnsi="Times New Roman" w:cs="Times New Roman"/>
                <w:sz w:val="20"/>
                <w:szCs w:val="20"/>
              </w:rPr>
              <w:t>c</w:t>
            </w:r>
            <w:r w:rsidRPr="004563DE">
              <w:rPr>
                <w:rFonts w:ascii="Times New Roman" w:hAnsi="Times New Roman" w:cs="Times New Roman"/>
                <w:sz w:val="20"/>
                <w:szCs w:val="20"/>
              </w:rPr>
              <w:t>HARR</w:t>
            </w:r>
            <w:r>
              <w:rPr>
                <w:rFonts w:ascii="Times New Roman" w:hAnsi="Times New Roman" w:cs="Times New Roman"/>
                <w:sz w:val="20"/>
                <w:szCs w:val="20"/>
              </w:rPr>
              <w:t>-TAG</w:t>
            </w:r>
          </w:p>
        </w:tc>
        <w:tc>
          <w:tcPr>
            <w:tcW w:w="1985" w:type="dxa"/>
            <w:noWrap/>
            <w:hideMark/>
          </w:tcPr>
          <w:p w14:paraId="54EDD15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ICARIA MM</w:t>
            </w:r>
          </w:p>
        </w:tc>
        <w:tc>
          <w:tcPr>
            <w:tcW w:w="2835" w:type="dxa"/>
            <w:noWrap/>
            <w:hideMark/>
          </w:tcPr>
          <w:p w14:paraId="42842C47"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27839A80" w14:textId="77777777" w:rsidTr="00EA0F21">
        <w:trPr>
          <w:trHeight w:val="290"/>
        </w:trPr>
        <w:tc>
          <w:tcPr>
            <w:tcW w:w="6379" w:type="dxa"/>
            <w:noWrap/>
            <w:hideMark/>
          </w:tcPr>
          <w:p w14:paraId="106A19F1" w14:textId="0351E6A1" w:rsidR="00EA0F21" w:rsidRPr="004563DE" w:rsidRDefault="00EA0F21" w:rsidP="00EA0F21">
            <w:pPr>
              <w:autoSpaceDE w:val="0"/>
              <w:autoSpaceDN w:val="0"/>
              <w:adjustRightInd w:val="0"/>
              <w:rPr>
                <w:rFonts w:ascii="Times New Roman" w:hAnsi="Times New Roman" w:cs="Times New Roman"/>
                <w:sz w:val="20"/>
                <w:szCs w:val="20"/>
              </w:rPr>
            </w:pPr>
            <w:hyperlink r:id="rId22" w:history="1">
              <w:r w:rsidRPr="004563DE">
                <w:rPr>
                  <w:rStyle w:val="Hyperlink"/>
                  <w:rFonts w:ascii="Times New Roman" w:hAnsi="Times New Roman" w:cs="Times New Roman"/>
                  <w:sz w:val="20"/>
                  <w:szCs w:val="20"/>
                </w:rPr>
                <w:t>Pembrolizumab for untreated metastatic or unresectable recurrent head and neck squamous cell carcinoma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{"citationItems":[{"id":"ITEM-1","itemData":{"URL":"https://www.nice.org.uk/guidance/ta661","author":[{"dropping-particle":"","family":"National Institute for Health and Care Excellence (NICE)","given":"","non-dropping-particle":"","parse-names":false,"suffix":""}],"container-title":"NICE website","id":"ITEM-1","issued":{"date-parts":[["2020"]]},"title":"Pembrolizumab for untreated metastatic or unresectable recurrent head and neck squamous cell carcinoma. Technology appraisal guidance [TA661]","type":"webpage"},"uris":["http://www.mendeley.com/documents/?uuid=bd346a4e-357d-4281-854e-88aff3cceada"]}],"mendeley":{"formattedCitation":"(19)","plainTextFormattedCitation":"(19)","previouslyFormattedCitation":"(16)"},"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(19)</w:t>
            </w:r>
            <w:r w:rsidRPr="004563DE">
              <w:rPr>
                <w:rFonts w:ascii="Times New Roman" w:hAnsi="Times New Roman" w:cs="Times New Roman"/>
                <w:sz w:val="20"/>
                <w:szCs w:val="20"/>
              </w:rPr>
              <w:fldChar w:fldCharType="end"/>
            </w:r>
          </w:p>
        </w:tc>
        <w:tc>
          <w:tcPr>
            <w:tcW w:w="1134" w:type="dxa"/>
            <w:noWrap/>
            <w:hideMark/>
          </w:tcPr>
          <w:p w14:paraId="5171F191"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1B4D184D"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TA661</w:t>
            </w:r>
          </w:p>
        </w:tc>
        <w:tc>
          <w:tcPr>
            <w:tcW w:w="1134" w:type="dxa"/>
            <w:noWrap/>
            <w:hideMark/>
          </w:tcPr>
          <w:p w14:paraId="77AA0687"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40E5A90F" w14:textId="21F23F7A" w:rsidR="00EA0F21" w:rsidRPr="004563DE" w:rsidRDefault="00EA0F21" w:rsidP="00EA0F21">
            <w:pPr>
              <w:autoSpaceDE w:val="0"/>
              <w:autoSpaceDN w:val="0"/>
              <w:adjustRightInd w:val="0"/>
              <w:jc w:val="center"/>
              <w:rPr>
                <w:rFonts w:ascii="Times New Roman" w:hAnsi="Times New Roman" w:cs="Times New Roman"/>
                <w:sz w:val="20"/>
                <w:szCs w:val="20"/>
              </w:rPr>
            </w:pPr>
            <w:proofErr w:type="spellStart"/>
            <w:r w:rsidRPr="004563DE">
              <w:rPr>
                <w:rFonts w:ascii="Times New Roman" w:hAnsi="Times New Roman" w:cs="Times New Roman"/>
                <w:sz w:val="20"/>
                <w:szCs w:val="20"/>
              </w:rPr>
              <w:t>L</w:t>
            </w:r>
            <w:r>
              <w:rPr>
                <w:rFonts w:ascii="Times New Roman" w:hAnsi="Times New Roman" w:cs="Times New Roman"/>
                <w:sz w:val="20"/>
                <w:szCs w:val="20"/>
              </w:rPr>
              <w:t>RiG</w:t>
            </w:r>
            <w:proofErr w:type="spellEnd"/>
          </w:p>
        </w:tc>
        <w:tc>
          <w:tcPr>
            <w:tcW w:w="1985" w:type="dxa"/>
            <w:noWrap/>
            <w:hideMark/>
          </w:tcPr>
          <w:p w14:paraId="5AFF7A63"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KEYNOTE048</w:t>
            </w:r>
          </w:p>
        </w:tc>
        <w:tc>
          <w:tcPr>
            <w:tcW w:w="2835" w:type="dxa"/>
            <w:noWrap/>
            <w:hideMark/>
          </w:tcPr>
          <w:p w14:paraId="16070CD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4805AB5A" w14:textId="77777777" w:rsidTr="00EA0F21">
        <w:trPr>
          <w:trHeight w:val="290"/>
        </w:trPr>
        <w:tc>
          <w:tcPr>
            <w:tcW w:w="6379" w:type="dxa"/>
            <w:noWrap/>
            <w:hideMark/>
          </w:tcPr>
          <w:p w14:paraId="7ECADB8A" w14:textId="7A20252B" w:rsidR="00EA0F21" w:rsidRPr="004563DE" w:rsidRDefault="00EA0F21" w:rsidP="00EA0F21">
            <w:pPr>
              <w:autoSpaceDE w:val="0"/>
              <w:autoSpaceDN w:val="0"/>
              <w:adjustRightInd w:val="0"/>
              <w:rPr>
                <w:rFonts w:ascii="Times New Roman" w:hAnsi="Times New Roman" w:cs="Times New Roman"/>
                <w:sz w:val="20"/>
                <w:szCs w:val="20"/>
              </w:rPr>
            </w:pPr>
            <w:hyperlink r:id="rId23" w:history="1">
              <w:r w:rsidRPr="004563DE">
                <w:rPr>
                  <w:rStyle w:val="Hyperlink"/>
                  <w:rFonts w:ascii="Times New Roman" w:hAnsi="Times New Roman" w:cs="Times New Roman"/>
                  <w:sz w:val="20"/>
                  <w:szCs w:val="20"/>
                </w:rPr>
                <w:t>Venetoclax with obinutuzumab for untreated chronic lymphocytic leukaemia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{"citationItems":[{"id":"ITEM-1","itemData":{"URL":"https://www.nice.org.uk/guidance/ta663","author":[{"dropping-particle":"","family":"National Institute for Health and Care Excellence (NICE)","given":"","non-dropping-particle":"","parse-names":false,"suffix":""}],"container-title":"NICE website","id":"ITEM-1","issued":{"date-parts":[["2020"]]},"title":"Venetoclax with obinutuzumab for untreated chronic lymphocytic leukaemia. Technology appraisal guidance [TA663]","type":"webpage"},"uris":["http://www.mendeley.com/documents/?uuid=d86e57b1-ac50-4086-af0e-a6d4da747eb1"]}],"mendeley":{"formattedCitation":"(20)","plainTextFormattedCitation":"(20)","previouslyFormattedCitation":"(17)"},"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(20)</w:t>
            </w:r>
            <w:r w:rsidRPr="004563DE">
              <w:rPr>
                <w:rFonts w:ascii="Times New Roman" w:hAnsi="Times New Roman" w:cs="Times New Roman"/>
                <w:sz w:val="20"/>
                <w:szCs w:val="20"/>
              </w:rPr>
              <w:fldChar w:fldCharType="end"/>
            </w:r>
          </w:p>
        </w:tc>
        <w:tc>
          <w:tcPr>
            <w:tcW w:w="1134" w:type="dxa"/>
            <w:noWrap/>
            <w:hideMark/>
          </w:tcPr>
          <w:p w14:paraId="4755426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2CE2553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TA663</w:t>
            </w:r>
          </w:p>
        </w:tc>
        <w:tc>
          <w:tcPr>
            <w:tcW w:w="1134" w:type="dxa"/>
            <w:noWrap/>
            <w:hideMark/>
          </w:tcPr>
          <w:p w14:paraId="01EB33D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438C4F25" w14:textId="6579E9CF"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Warwick</w:t>
            </w:r>
            <w:r>
              <w:rPr>
                <w:rFonts w:ascii="Times New Roman" w:hAnsi="Times New Roman" w:cs="Times New Roman"/>
                <w:sz w:val="20"/>
                <w:szCs w:val="20"/>
              </w:rPr>
              <w:t xml:space="preserve"> Evidence</w:t>
            </w:r>
          </w:p>
        </w:tc>
        <w:tc>
          <w:tcPr>
            <w:tcW w:w="1985" w:type="dxa"/>
            <w:noWrap/>
            <w:hideMark/>
          </w:tcPr>
          <w:p w14:paraId="545E813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CLL14</w:t>
            </w:r>
          </w:p>
        </w:tc>
        <w:tc>
          <w:tcPr>
            <w:tcW w:w="2835" w:type="dxa"/>
            <w:noWrap/>
            <w:hideMark/>
          </w:tcPr>
          <w:p w14:paraId="488F99A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05B0D0EC" w14:textId="77777777" w:rsidTr="00EA0F21">
        <w:trPr>
          <w:trHeight w:val="290"/>
        </w:trPr>
        <w:tc>
          <w:tcPr>
            <w:tcW w:w="6379" w:type="dxa"/>
            <w:noWrap/>
            <w:hideMark/>
          </w:tcPr>
          <w:p w14:paraId="1C8B6AD2" w14:textId="6A3B432C" w:rsidR="00EA0F21" w:rsidRPr="004563DE" w:rsidRDefault="00EA0F21" w:rsidP="00EA0F21">
            <w:pPr>
              <w:autoSpaceDE w:val="0"/>
              <w:autoSpaceDN w:val="0"/>
              <w:adjustRightInd w:val="0"/>
              <w:rPr>
                <w:rFonts w:ascii="Times New Roman" w:hAnsi="Times New Roman" w:cs="Times New Roman"/>
                <w:sz w:val="20"/>
                <w:szCs w:val="20"/>
              </w:rPr>
            </w:pPr>
            <w:hyperlink r:id="rId24" w:history="1">
              <w:r w:rsidRPr="004563DE">
                <w:rPr>
                  <w:rStyle w:val="Hyperlink"/>
                  <w:rFonts w:ascii="Times New Roman" w:hAnsi="Times New Roman" w:cs="Times New Roman"/>
                  <w:sz w:val="20"/>
                  <w:szCs w:val="20"/>
                </w:rPr>
                <w:t>Atezolizumab with bevacizumab for treating advanced or unresectable hepatocellular carcinoma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{"citationItems":[{"id":"ITEM-1","itemData":{"URL":"https://www.nice.org.uk/guidance/ta666","author":[{"dropping-particle":"","family":"National Institute for Health and Care Excellence (NICE)","given":"","non-dropping-particle":"","parse-names":false,"suffix":""}],"container-title":"NICE website","id":"ITEM-1","issued":{"date-parts":[["2020"]]},"title":"Atezolizumab with bevacizumab for treating advanced or unresectable hepatocellular carcinoma. Technology appraisal guidance [TA666]","type":"webpage"},"uris":["http://www.mendeley.com/documents/?uuid=f842473d-b950-4863-bfdc-2bab1f16a5e9"]}],"mendeley":{"formattedCitation":"(21)","plainTextFormattedCitation":"(21)","previouslyFormattedCitation":"(18)"},"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(21)</w:t>
            </w:r>
            <w:r w:rsidRPr="004563DE">
              <w:rPr>
                <w:rFonts w:ascii="Times New Roman" w:hAnsi="Times New Roman" w:cs="Times New Roman"/>
                <w:sz w:val="20"/>
                <w:szCs w:val="20"/>
              </w:rPr>
              <w:fldChar w:fldCharType="end"/>
            </w:r>
          </w:p>
        </w:tc>
        <w:tc>
          <w:tcPr>
            <w:tcW w:w="1134" w:type="dxa"/>
            <w:noWrap/>
            <w:hideMark/>
          </w:tcPr>
          <w:p w14:paraId="2B8DCCF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2020</w:t>
            </w:r>
          </w:p>
        </w:tc>
        <w:tc>
          <w:tcPr>
            <w:tcW w:w="1418" w:type="dxa"/>
            <w:noWrap/>
            <w:hideMark/>
          </w:tcPr>
          <w:p w14:paraId="79FBD41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TA666</w:t>
            </w:r>
          </w:p>
        </w:tc>
        <w:tc>
          <w:tcPr>
            <w:tcW w:w="1134" w:type="dxa"/>
            <w:noWrap/>
            <w:hideMark/>
          </w:tcPr>
          <w:p w14:paraId="4D03C248"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3C978FF3" w14:textId="110B96C6"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w:t>
            </w:r>
            <w:r>
              <w:rPr>
                <w:rFonts w:ascii="Times New Roman" w:hAnsi="Times New Roman" w:cs="Times New Roman"/>
                <w:sz w:val="20"/>
                <w:szCs w:val="20"/>
              </w:rPr>
              <w:t>c</w:t>
            </w:r>
            <w:r w:rsidRPr="004563DE">
              <w:rPr>
                <w:rFonts w:ascii="Times New Roman" w:hAnsi="Times New Roman" w:cs="Times New Roman"/>
                <w:sz w:val="20"/>
                <w:szCs w:val="20"/>
              </w:rPr>
              <w:t>HARR</w:t>
            </w:r>
            <w:r>
              <w:rPr>
                <w:rFonts w:ascii="Times New Roman" w:hAnsi="Times New Roman" w:cs="Times New Roman"/>
                <w:sz w:val="20"/>
                <w:szCs w:val="20"/>
              </w:rPr>
              <w:t>-TAG</w:t>
            </w:r>
          </w:p>
        </w:tc>
        <w:tc>
          <w:tcPr>
            <w:tcW w:w="1985" w:type="dxa"/>
            <w:noWrap/>
            <w:hideMark/>
          </w:tcPr>
          <w:p w14:paraId="6FC9E115"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IMBRAVE</w:t>
            </w:r>
          </w:p>
        </w:tc>
        <w:tc>
          <w:tcPr>
            <w:tcW w:w="2835" w:type="dxa"/>
            <w:noWrap/>
            <w:hideMark/>
          </w:tcPr>
          <w:p w14:paraId="2ECCE66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182A8681" w14:textId="77777777" w:rsidTr="00EA0F21">
        <w:trPr>
          <w:trHeight w:val="290"/>
        </w:trPr>
        <w:tc>
          <w:tcPr>
            <w:tcW w:w="6379" w:type="dxa"/>
            <w:noWrap/>
            <w:hideMark/>
          </w:tcPr>
          <w:p w14:paraId="6B4BA1BB" w14:textId="31AA5232" w:rsidR="00EA0F21" w:rsidRPr="004563DE" w:rsidRDefault="00EA0F21" w:rsidP="00EA0F21">
            <w:pPr>
              <w:autoSpaceDE w:val="0"/>
              <w:autoSpaceDN w:val="0"/>
              <w:adjustRightInd w:val="0"/>
              <w:rPr>
                <w:rFonts w:ascii="Times New Roman" w:hAnsi="Times New Roman" w:cs="Times New Roman"/>
                <w:sz w:val="20"/>
                <w:szCs w:val="20"/>
              </w:rPr>
            </w:pPr>
            <w:hyperlink r:id="rId25" w:history="1">
              <w:r w:rsidRPr="004563DE">
                <w:rPr>
                  <w:rStyle w:val="Hyperlink"/>
                  <w:rFonts w:ascii="Times New Roman" w:hAnsi="Times New Roman" w:cs="Times New Roman"/>
                  <w:sz w:val="20"/>
                  <w:szCs w:val="20"/>
                </w:rPr>
                <w:t>Encorafenib plus cetuximab for previously treated BRAF V600E mutation-positive metastatic colorectal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{"citationItems":[{"id":"ITEM-1","itemData":{"URL":"https://www.nice.org.uk/guidance/ta668","author":[{"dropping-particle":"","family":"National Institute for Health and Care Excellence (NICE)","given":"","non-dropping-particle":"","parse-names":false,"suffix":""}],"container-title":"NICE website","id":"ITEM-1","issued":{"date-parts":[["2021"]]},"title":"Encorafenib plus cetuximab for previously treated BRAF V600E mutation-positive metastatic colorectal cancer. Technology appraisal guidance [TA668]","type":"webpage"},"uris":["http://www.mendeley.com/documents/?uuid=774737a5-192e-4396-9b9d-68b6a129598b"]}],"mendeley":{"formattedCitation":"(1)","plainTextFormattedCitation":"(1)","previouslyFormattedCitation":"(19)"},"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(1)</w:t>
            </w:r>
            <w:r w:rsidRPr="004563DE">
              <w:rPr>
                <w:rFonts w:ascii="Times New Roman" w:hAnsi="Times New Roman" w:cs="Times New Roman"/>
                <w:sz w:val="20"/>
                <w:szCs w:val="20"/>
              </w:rPr>
              <w:fldChar w:fldCharType="end"/>
            </w:r>
          </w:p>
        </w:tc>
        <w:tc>
          <w:tcPr>
            <w:tcW w:w="1134" w:type="dxa"/>
            <w:noWrap/>
            <w:hideMark/>
          </w:tcPr>
          <w:p w14:paraId="4F88856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4371E395"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TA668</w:t>
            </w:r>
          </w:p>
        </w:tc>
        <w:tc>
          <w:tcPr>
            <w:tcW w:w="1134" w:type="dxa"/>
            <w:noWrap/>
            <w:hideMark/>
          </w:tcPr>
          <w:p w14:paraId="0334A2F3"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73485B16" w14:textId="04A3E4FA"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Warwick</w:t>
            </w:r>
            <w:r>
              <w:rPr>
                <w:rFonts w:ascii="Times New Roman" w:hAnsi="Times New Roman" w:cs="Times New Roman"/>
                <w:sz w:val="20"/>
                <w:szCs w:val="20"/>
              </w:rPr>
              <w:t xml:space="preserve"> Evidence</w:t>
            </w:r>
          </w:p>
        </w:tc>
        <w:tc>
          <w:tcPr>
            <w:tcW w:w="1985" w:type="dxa"/>
            <w:noWrap/>
            <w:hideMark/>
          </w:tcPr>
          <w:p w14:paraId="0390008D"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BEACON-CRC</w:t>
            </w:r>
          </w:p>
        </w:tc>
        <w:tc>
          <w:tcPr>
            <w:tcW w:w="2835" w:type="dxa"/>
            <w:noWrap/>
            <w:hideMark/>
          </w:tcPr>
          <w:p w14:paraId="4671D5F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12AEF355" w14:textId="77777777" w:rsidTr="00EA0F21">
        <w:trPr>
          <w:trHeight w:val="290"/>
        </w:trPr>
        <w:tc>
          <w:tcPr>
            <w:tcW w:w="6379" w:type="dxa"/>
            <w:noWrap/>
            <w:hideMark/>
          </w:tcPr>
          <w:p w14:paraId="3276BC8F" w14:textId="227072F0" w:rsidR="00EA0F21" w:rsidRPr="004563DE" w:rsidRDefault="00EA0F21" w:rsidP="00EA0F21">
            <w:pPr>
              <w:autoSpaceDE w:val="0"/>
              <w:autoSpaceDN w:val="0"/>
              <w:adjustRightInd w:val="0"/>
              <w:rPr>
                <w:rFonts w:ascii="Times New Roman" w:hAnsi="Times New Roman" w:cs="Times New Roman"/>
                <w:sz w:val="20"/>
                <w:szCs w:val="20"/>
              </w:rPr>
            </w:pPr>
            <w:hyperlink r:id="rId26" w:history="1">
              <w:r w:rsidRPr="004563DE">
                <w:rPr>
                  <w:rStyle w:val="Hyperlink"/>
                  <w:rFonts w:ascii="Times New Roman" w:hAnsi="Times New Roman" w:cs="Times New Roman"/>
                  <w:sz w:val="20"/>
                  <w:szCs w:val="20"/>
                </w:rPr>
                <w:t>Brigatinib for ALK-positive advanced non-small-cell lung cancer that has not been previously treated with an ALK inhibitor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{"citationItems":[{"id":"ITEM-1","itemData":{"URL":"https://www.nice.org.uk/guidance/ta670","author":[{"dropping-particle":"","family":"National Institute for Health and Care Excellence (NICE)","given":"","non-dropping-particle":"","parse-names":false,"suffix":""}],"container-title":"NICE website","id":"ITEM-1","issued":{"date-parts":[["2021"]]},"title":"Brigatinib for ALK-positive advanced non-small-cell lung cancer that has not been previously treated with an ALK inhibitor Technology appraisal guidance [TA670]","type":"webpage"},"uris":["http://www.mendeley.com/documents/?uuid=7d6d64c7-5ff8-4376-9e7b-8bc1910ab325"]}],"mendeley":{"formattedCitation":"(22)","plainTextFormattedCitation":"(22)","previouslyFormattedCitation":"(20)"},"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(22)</w:t>
            </w:r>
            <w:r w:rsidRPr="004563DE">
              <w:rPr>
                <w:rFonts w:ascii="Times New Roman" w:hAnsi="Times New Roman" w:cs="Times New Roman"/>
                <w:sz w:val="20"/>
                <w:szCs w:val="20"/>
              </w:rPr>
              <w:fldChar w:fldCharType="end"/>
            </w:r>
          </w:p>
        </w:tc>
        <w:tc>
          <w:tcPr>
            <w:tcW w:w="1134" w:type="dxa"/>
            <w:noWrap/>
            <w:hideMark/>
          </w:tcPr>
          <w:p w14:paraId="102C8E8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1865471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TA670</w:t>
            </w:r>
          </w:p>
        </w:tc>
        <w:tc>
          <w:tcPr>
            <w:tcW w:w="1134" w:type="dxa"/>
            <w:noWrap/>
            <w:hideMark/>
          </w:tcPr>
          <w:p w14:paraId="0065C42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2E9426EE" w14:textId="1E940365" w:rsidR="00EA0F21" w:rsidRPr="004563DE" w:rsidRDefault="00EA0F21" w:rsidP="00EA0F21">
            <w:pPr>
              <w:autoSpaceDE w:val="0"/>
              <w:autoSpaceDN w:val="0"/>
              <w:adjustRightInd w:val="0"/>
              <w:jc w:val="center"/>
              <w:rPr>
                <w:rFonts w:ascii="Times New Roman" w:hAnsi="Times New Roman" w:cs="Times New Roman"/>
                <w:sz w:val="20"/>
                <w:szCs w:val="20"/>
              </w:rPr>
            </w:pPr>
            <w:proofErr w:type="spellStart"/>
            <w:r w:rsidRPr="004563DE">
              <w:rPr>
                <w:rFonts w:ascii="Times New Roman" w:hAnsi="Times New Roman" w:cs="Times New Roman"/>
                <w:sz w:val="20"/>
                <w:szCs w:val="20"/>
              </w:rPr>
              <w:t>L</w:t>
            </w:r>
            <w:r>
              <w:rPr>
                <w:rFonts w:ascii="Times New Roman" w:hAnsi="Times New Roman" w:cs="Times New Roman"/>
                <w:sz w:val="20"/>
                <w:szCs w:val="20"/>
              </w:rPr>
              <w:t>RiG</w:t>
            </w:r>
            <w:proofErr w:type="spellEnd"/>
          </w:p>
        </w:tc>
        <w:tc>
          <w:tcPr>
            <w:tcW w:w="1985" w:type="dxa"/>
            <w:noWrap/>
            <w:hideMark/>
          </w:tcPr>
          <w:p w14:paraId="427458C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ALTA-1L</w:t>
            </w:r>
          </w:p>
        </w:tc>
        <w:tc>
          <w:tcPr>
            <w:tcW w:w="2835" w:type="dxa"/>
            <w:noWrap/>
            <w:hideMark/>
          </w:tcPr>
          <w:p w14:paraId="047EE1F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59B49D7D" w14:textId="77777777" w:rsidTr="00EA0F21">
        <w:trPr>
          <w:trHeight w:val="290"/>
        </w:trPr>
        <w:tc>
          <w:tcPr>
            <w:tcW w:w="6379" w:type="dxa"/>
            <w:noWrap/>
            <w:hideMark/>
          </w:tcPr>
          <w:p w14:paraId="5CB9C55D" w14:textId="26176829" w:rsidR="00EA0F21" w:rsidRPr="004563DE" w:rsidRDefault="00EA0F21" w:rsidP="00EA0F21">
            <w:pPr>
              <w:autoSpaceDE w:val="0"/>
              <w:autoSpaceDN w:val="0"/>
              <w:adjustRightInd w:val="0"/>
              <w:rPr>
                <w:rFonts w:ascii="Times New Roman" w:hAnsi="Times New Roman" w:cs="Times New Roman"/>
                <w:sz w:val="20"/>
                <w:szCs w:val="20"/>
              </w:rPr>
            </w:pPr>
            <w:hyperlink r:id="rId27" w:history="1">
              <w:r w:rsidRPr="004563DE">
                <w:rPr>
                  <w:rStyle w:val="Hyperlink"/>
                  <w:rFonts w:ascii="Times New Roman" w:hAnsi="Times New Roman" w:cs="Times New Roman"/>
                  <w:sz w:val="20"/>
                  <w:szCs w:val="20"/>
                </w:rPr>
                <w:t>Niraparib for maintenance treatment of advanced ovarian, fallopian tube and peritoneal cancer after response to first-line platinum-based chemotherapy</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{"citationItems":[{"id":"ITEM-1","itemData":{"URL":"https://www.nice.org.uk/guidance/ta673","author":[{"dropping-particle":"","family":"National Institute for Health and Care Excellence (NICE)","given":"","non-dropping-particle":"","parse-names":false,"suffix":""}],"container-title":"NICE website","id":"ITEM-1","issued":{"date-parts":[["2021"]]},"title":"Niraparib for maintenance treatment of advanced ovarian, fallopian tube and peritoneal cancer after response to first-line platinum-based chemotherapy. Technology appraisal guidance [TA673]","type":"webpage"},"uris":["http://www.mendeley.com/documents/?uuid=447cf6da-1828-478e-9e51-d08165e66dd4"]}],"mendeley":{"formattedCitation":"(23)","plainTextFormattedCitation":"(23)","previouslyFormattedCitation":"(21)"},"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(23)</w:t>
            </w:r>
            <w:r w:rsidRPr="004563DE">
              <w:rPr>
                <w:rFonts w:ascii="Times New Roman" w:hAnsi="Times New Roman" w:cs="Times New Roman"/>
                <w:sz w:val="20"/>
                <w:szCs w:val="20"/>
              </w:rPr>
              <w:fldChar w:fldCharType="end"/>
            </w:r>
          </w:p>
        </w:tc>
        <w:tc>
          <w:tcPr>
            <w:tcW w:w="1134" w:type="dxa"/>
            <w:noWrap/>
            <w:hideMark/>
          </w:tcPr>
          <w:p w14:paraId="5DD5778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61580BE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TA673</w:t>
            </w:r>
          </w:p>
        </w:tc>
        <w:tc>
          <w:tcPr>
            <w:tcW w:w="1134" w:type="dxa"/>
            <w:noWrap/>
            <w:hideMark/>
          </w:tcPr>
          <w:p w14:paraId="09CC7E4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7AB610E5" w14:textId="2F52F27D"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BMJ</w:t>
            </w:r>
            <w:r>
              <w:rPr>
                <w:rFonts w:ascii="Times New Roman" w:hAnsi="Times New Roman" w:cs="Times New Roman"/>
                <w:sz w:val="20"/>
                <w:szCs w:val="20"/>
              </w:rPr>
              <w:t>-TAG</w:t>
            </w:r>
          </w:p>
        </w:tc>
        <w:tc>
          <w:tcPr>
            <w:tcW w:w="1985" w:type="dxa"/>
            <w:noWrap/>
            <w:hideMark/>
          </w:tcPr>
          <w:p w14:paraId="357E67C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PRIMA</w:t>
            </w:r>
          </w:p>
        </w:tc>
        <w:tc>
          <w:tcPr>
            <w:tcW w:w="2835" w:type="dxa"/>
            <w:noWrap/>
            <w:hideMark/>
          </w:tcPr>
          <w:p w14:paraId="4D5F3D0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6878FF99" w14:textId="77777777" w:rsidTr="00EA0F21">
        <w:trPr>
          <w:trHeight w:val="290"/>
        </w:trPr>
        <w:tc>
          <w:tcPr>
            <w:tcW w:w="6379" w:type="dxa"/>
            <w:noWrap/>
            <w:hideMark/>
          </w:tcPr>
          <w:p w14:paraId="010AB8DA" w14:textId="0E4C71E5" w:rsidR="00EA0F21" w:rsidRPr="004563DE" w:rsidRDefault="00EA0F21" w:rsidP="00EA0F21">
            <w:pPr>
              <w:autoSpaceDE w:val="0"/>
              <w:autoSpaceDN w:val="0"/>
              <w:adjustRightInd w:val="0"/>
              <w:rPr>
                <w:rFonts w:ascii="Times New Roman" w:hAnsi="Times New Roman" w:cs="Times New Roman"/>
                <w:sz w:val="20"/>
                <w:szCs w:val="20"/>
              </w:rPr>
            </w:pPr>
            <w:hyperlink r:id="rId28" w:history="1">
              <w:r w:rsidRPr="004563DE">
                <w:rPr>
                  <w:rStyle w:val="Hyperlink"/>
                  <w:rFonts w:ascii="Times New Roman" w:hAnsi="Times New Roman" w:cs="Times New Roman"/>
                  <w:sz w:val="20"/>
                  <w:szCs w:val="20"/>
                </w:rPr>
                <w:t>Lenalidomide maintenance treatment after an autologous stem cell transplant for newly diagnosed multiple myeloma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{"citationItems":[{"id":"ITEM-1","itemData":{"URL":"https://www.nice.org.uk/guidance/ta680","author":[{"dropping-particle":"","family":"National Institute for Health and Care Excellence (NICE)","given":"","non-dropping-particle":"","parse-names":false,"suffix":""}],"container-title":"NICE website","id":"ITEM-1","issued":{"date-parts":[["2021"]]},"title":"Lenalidomide maintenance treatment after an autologous stem cell transplant for newly diagnosed multiple myeloma. Technology appraisal guidance [TA680]","type":"webpage"},"uris":["http://www.mendeley.com/documents/?uuid=f3b0aabe-d03d-422c-a9c0-accdd9e37e7c"]}],"mendeley":{"formattedCitation":"(24)","plainTextFormattedCitation":"(24)","previouslyFormattedCitation":"(22)"},"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(24)</w:t>
            </w:r>
            <w:r w:rsidRPr="004563DE">
              <w:rPr>
                <w:rFonts w:ascii="Times New Roman" w:hAnsi="Times New Roman" w:cs="Times New Roman"/>
                <w:sz w:val="20"/>
                <w:szCs w:val="20"/>
              </w:rPr>
              <w:fldChar w:fldCharType="end"/>
            </w:r>
          </w:p>
        </w:tc>
        <w:tc>
          <w:tcPr>
            <w:tcW w:w="1134" w:type="dxa"/>
            <w:noWrap/>
            <w:hideMark/>
          </w:tcPr>
          <w:p w14:paraId="1362410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3B64E45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TA680</w:t>
            </w:r>
          </w:p>
        </w:tc>
        <w:tc>
          <w:tcPr>
            <w:tcW w:w="1134" w:type="dxa"/>
            <w:noWrap/>
            <w:hideMark/>
          </w:tcPr>
          <w:p w14:paraId="2897965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3040BD9D" w14:textId="1C2D731D"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PENTAG</w:t>
            </w:r>
          </w:p>
        </w:tc>
        <w:tc>
          <w:tcPr>
            <w:tcW w:w="1985" w:type="dxa"/>
            <w:noWrap/>
            <w:hideMark/>
          </w:tcPr>
          <w:p w14:paraId="74F02C31"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MYELOMA XI</w:t>
            </w:r>
          </w:p>
        </w:tc>
        <w:tc>
          <w:tcPr>
            <w:tcW w:w="2835" w:type="dxa"/>
            <w:noWrap/>
            <w:hideMark/>
          </w:tcPr>
          <w:p w14:paraId="3CDC3F6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0B8E9AA2" w14:textId="77777777" w:rsidTr="00EA0F21">
        <w:trPr>
          <w:trHeight w:val="290"/>
        </w:trPr>
        <w:tc>
          <w:tcPr>
            <w:tcW w:w="6379" w:type="dxa"/>
            <w:noWrap/>
            <w:hideMark/>
          </w:tcPr>
          <w:p w14:paraId="04F27EBB" w14:textId="44C03431" w:rsidR="00EA0F21" w:rsidRPr="004563DE" w:rsidRDefault="00EA0F21" w:rsidP="00EA0F21">
            <w:pPr>
              <w:autoSpaceDE w:val="0"/>
              <w:autoSpaceDN w:val="0"/>
              <w:adjustRightInd w:val="0"/>
              <w:rPr>
                <w:rFonts w:ascii="Times New Roman" w:hAnsi="Times New Roman" w:cs="Times New Roman"/>
                <w:sz w:val="20"/>
                <w:szCs w:val="20"/>
              </w:rPr>
            </w:pPr>
            <w:hyperlink r:id="rId29" w:history="1">
              <w:r w:rsidRPr="004563DE">
                <w:rPr>
                  <w:rStyle w:val="Hyperlink"/>
                  <w:rFonts w:ascii="Times New Roman" w:hAnsi="Times New Roman" w:cs="Times New Roman"/>
                  <w:sz w:val="20"/>
                  <w:szCs w:val="20"/>
                </w:rPr>
                <w:t>Pembrolizumab with pemetrexed and platinum chemotherapy for untreated, metastatic, non-squamous non-small-cell lung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{"citationItems":[{"id":"ITEM-1","itemData":{"URL":"https://www.nice.org.uk/guidance/ta683","author":[{"dropping-particle":"","family":"National Institute for Health and Care Excellence (NICE)","given":"","non-dropping-particle":"","parse-names":false,"suffix":""}],"container-title":"NICE website","id":"ITEM-1","issued":{"date-parts":[["2021"]]},"title":"Pembrolizumab with pemetrexed and platinum chemotherapy for untreated, metastatic, non-squamous non-small-cell lung cancer. Technology appraisal guidance [TA683]","type":"webpage"},"uris":["http://www.mendeley.com/documents/?uuid=2b020818-e1f9-47e2-ae62-01d9266bdff4"]}],"mendeley":{"formattedCitation":"(25)","plainTextFormattedCitation":"(25)","previouslyFormattedCitation":"(23)"},"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(25)</w:t>
            </w:r>
            <w:r w:rsidRPr="004563DE">
              <w:rPr>
                <w:rFonts w:ascii="Times New Roman" w:hAnsi="Times New Roman" w:cs="Times New Roman"/>
                <w:sz w:val="20"/>
                <w:szCs w:val="20"/>
              </w:rPr>
              <w:fldChar w:fldCharType="end"/>
            </w:r>
          </w:p>
        </w:tc>
        <w:tc>
          <w:tcPr>
            <w:tcW w:w="1134" w:type="dxa"/>
            <w:noWrap/>
            <w:hideMark/>
          </w:tcPr>
          <w:p w14:paraId="65F47FD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6FD9F00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TA683 (TA557)</w:t>
            </w:r>
          </w:p>
        </w:tc>
        <w:tc>
          <w:tcPr>
            <w:tcW w:w="1134" w:type="dxa"/>
            <w:noWrap/>
            <w:hideMark/>
          </w:tcPr>
          <w:p w14:paraId="16DA96A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CDF</w:t>
            </w:r>
          </w:p>
        </w:tc>
        <w:tc>
          <w:tcPr>
            <w:tcW w:w="1417" w:type="dxa"/>
          </w:tcPr>
          <w:p w14:paraId="0EE8C937" w14:textId="16A5E0E0"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PENTAG</w:t>
            </w:r>
          </w:p>
        </w:tc>
        <w:tc>
          <w:tcPr>
            <w:tcW w:w="1985" w:type="dxa"/>
            <w:noWrap/>
            <w:hideMark/>
          </w:tcPr>
          <w:p w14:paraId="5D9B7E81"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KEYNOTE189</w:t>
            </w:r>
          </w:p>
        </w:tc>
        <w:tc>
          <w:tcPr>
            <w:tcW w:w="2835" w:type="dxa"/>
            <w:noWrap/>
            <w:hideMark/>
          </w:tcPr>
          <w:p w14:paraId="3151008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2521697F" w14:textId="77777777" w:rsidTr="00EA0F21">
        <w:trPr>
          <w:trHeight w:val="290"/>
        </w:trPr>
        <w:tc>
          <w:tcPr>
            <w:tcW w:w="6379" w:type="dxa"/>
            <w:noWrap/>
            <w:hideMark/>
          </w:tcPr>
          <w:p w14:paraId="78CEECEC" w14:textId="09BD6A35" w:rsidR="00EA0F21" w:rsidRPr="004563DE" w:rsidRDefault="00EA0F21" w:rsidP="00EA0F21">
            <w:pPr>
              <w:autoSpaceDE w:val="0"/>
              <w:autoSpaceDN w:val="0"/>
              <w:adjustRightInd w:val="0"/>
              <w:rPr>
                <w:rFonts w:ascii="Times New Roman" w:hAnsi="Times New Roman" w:cs="Times New Roman"/>
                <w:sz w:val="20"/>
                <w:szCs w:val="20"/>
              </w:rPr>
            </w:pPr>
            <w:hyperlink r:id="rId30" w:history="1">
              <w:r w:rsidRPr="004563DE">
                <w:rPr>
                  <w:rStyle w:val="Hyperlink"/>
                  <w:rFonts w:ascii="Times New Roman" w:hAnsi="Times New Roman" w:cs="Times New Roman"/>
                  <w:sz w:val="20"/>
                  <w:szCs w:val="20"/>
                </w:rPr>
                <w:t>Nivolumab for adjuvant treatment of completely resected melanoma with lymph node involvement or metastatic disease</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{"citationItems":[{"id":"ITEM-1","itemData":{"URL":"https://www.nice.org.uk/guidance/ta684","author":[{"dropping-particle":"","family":"National Institute for Health and Care Excellence (NICE)","given":"","non-dropping-particle":"","parse-names":false,"suffix":""}],"container-title":"NICE website","id":"ITEM-1","issued":{"date-parts":[["2021"]]},"title":"Nivolumab for adjuvant treatment of completely resected melanoma with lymph node involvement or metastatic disease Technology appraisal guidance [TA684]","type":"webpage"},"uris":["http://www.mendeley.com/documents/?uuid=59556296-ead6-47a1-a73f-1d69fe12355c"]}],"mendeley":{"formattedCitation":"(26)","plainTextFormattedCitation":"(26)","previouslyFormattedCitation":"(24)"},"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(26)</w:t>
            </w:r>
            <w:r w:rsidRPr="004563DE">
              <w:rPr>
                <w:rFonts w:ascii="Times New Roman" w:hAnsi="Times New Roman" w:cs="Times New Roman"/>
                <w:sz w:val="20"/>
                <w:szCs w:val="20"/>
              </w:rPr>
              <w:fldChar w:fldCharType="end"/>
            </w:r>
          </w:p>
        </w:tc>
        <w:tc>
          <w:tcPr>
            <w:tcW w:w="1134" w:type="dxa"/>
            <w:noWrap/>
            <w:hideMark/>
          </w:tcPr>
          <w:p w14:paraId="35642327"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5DA56E1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TA684 (TA558)</w:t>
            </w:r>
          </w:p>
        </w:tc>
        <w:tc>
          <w:tcPr>
            <w:tcW w:w="1134" w:type="dxa"/>
            <w:noWrap/>
            <w:hideMark/>
          </w:tcPr>
          <w:p w14:paraId="2E7DBA9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CDF</w:t>
            </w:r>
          </w:p>
        </w:tc>
        <w:tc>
          <w:tcPr>
            <w:tcW w:w="1417" w:type="dxa"/>
          </w:tcPr>
          <w:p w14:paraId="15689B27" w14:textId="74B0B3D5"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BMJ</w:t>
            </w:r>
            <w:r>
              <w:rPr>
                <w:rFonts w:ascii="Times New Roman" w:hAnsi="Times New Roman" w:cs="Times New Roman"/>
                <w:sz w:val="20"/>
                <w:szCs w:val="20"/>
              </w:rPr>
              <w:t>-TAG</w:t>
            </w:r>
          </w:p>
        </w:tc>
        <w:tc>
          <w:tcPr>
            <w:tcW w:w="1985" w:type="dxa"/>
            <w:noWrap/>
            <w:hideMark/>
          </w:tcPr>
          <w:p w14:paraId="695D266D"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CHECKMATE 238</w:t>
            </w:r>
          </w:p>
        </w:tc>
        <w:tc>
          <w:tcPr>
            <w:tcW w:w="2835" w:type="dxa"/>
            <w:noWrap/>
            <w:hideMark/>
          </w:tcPr>
          <w:p w14:paraId="35980C6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03575386" w14:textId="77777777" w:rsidTr="00EA0F21">
        <w:trPr>
          <w:trHeight w:val="290"/>
        </w:trPr>
        <w:tc>
          <w:tcPr>
            <w:tcW w:w="6379" w:type="dxa"/>
            <w:noWrap/>
            <w:hideMark/>
          </w:tcPr>
          <w:p w14:paraId="0DD8F3F3" w14:textId="3A4C8E54" w:rsidR="00EA0F21" w:rsidRPr="004563DE" w:rsidRDefault="00EA0F21" w:rsidP="00EA0F21">
            <w:pPr>
              <w:autoSpaceDE w:val="0"/>
              <w:autoSpaceDN w:val="0"/>
              <w:adjustRightInd w:val="0"/>
              <w:rPr>
                <w:rFonts w:ascii="Times New Roman" w:hAnsi="Times New Roman" w:cs="Times New Roman"/>
                <w:sz w:val="20"/>
                <w:szCs w:val="20"/>
              </w:rPr>
            </w:pPr>
            <w:hyperlink r:id="rId31" w:history="1">
              <w:r w:rsidRPr="004563DE">
                <w:rPr>
                  <w:rStyle w:val="Hyperlink"/>
                  <w:rFonts w:ascii="Times New Roman" w:hAnsi="Times New Roman" w:cs="Times New Roman"/>
                  <w:sz w:val="20"/>
                  <w:szCs w:val="20"/>
                </w:rPr>
                <w:t>Ribociclib with fulvestrant for treating hormone receptor-positive, HER2-negative advanced breast cancer after endocrine therapy</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{"citationItems":[{"id":"ITEM-1","itemData":{"URL":"https://www.nice.org.uk/guidance/ta687","author":[{"dropping-particle":"","family":"National Institute for Health and Care Excellence (NICE)","given":"","non-dropping-particle":"","parse-names":false,"suffix":""}],"container-title":"NICE website","id":"ITEM-1","issued":{"date-parts":[["2021"]]},"title":"Ribociclib with fulvestrant for treating hormone receptor-positive, HER2-negative advanced breast cancer after endocrine therapy. Technology appraisal guidance [TA687]","type":"webpage"},"uris":["http://www.mendeley.com/documents/?uuid=d8e665f3-0cc6-4089-9784-11127b0423cb"]}],"mendeley":{"formattedCitation":"(27)","plainTextFormattedCitation":"(27)","previouslyFormattedCitation":"(25)"},"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(27)</w:t>
            </w:r>
            <w:r w:rsidRPr="004563DE">
              <w:rPr>
                <w:rFonts w:ascii="Times New Roman" w:hAnsi="Times New Roman" w:cs="Times New Roman"/>
                <w:sz w:val="20"/>
                <w:szCs w:val="20"/>
              </w:rPr>
              <w:fldChar w:fldCharType="end"/>
            </w:r>
          </w:p>
        </w:tc>
        <w:tc>
          <w:tcPr>
            <w:tcW w:w="1134" w:type="dxa"/>
            <w:noWrap/>
            <w:hideMark/>
          </w:tcPr>
          <w:p w14:paraId="57135757"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1C0A88F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TA687 (TA593)</w:t>
            </w:r>
          </w:p>
        </w:tc>
        <w:tc>
          <w:tcPr>
            <w:tcW w:w="1134" w:type="dxa"/>
            <w:noWrap/>
            <w:hideMark/>
          </w:tcPr>
          <w:p w14:paraId="5B341AF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CDF</w:t>
            </w:r>
          </w:p>
        </w:tc>
        <w:tc>
          <w:tcPr>
            <w:tcW w:w="1417" w:type="dxa"/>
          </w:tcPr>
          <w:p w14:paraId="62B83F38" w14:textId="39EFF701"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BMJ</w:t>
            </w:r>
            <w:r>
              <w:rPr>
                <w:rFonts w:ascii="Times New Roman" w:hAnsi="Times New Roman" w:cs="Times New Roman"/>
                <w:sz w:val="20"/>
                <w:szCs w:val="20"/>
              </w:rPr>
              <w:t>-TAG</w:t>
            </w:r>
          </w:p>
        </w:tc>
        <w:tc>
          <w:tcPr>
            <w:tcW w:w="1985" w:type="dxa"/>
            <w:noWrap/>
            <w:hideMark/>
          </w:tcPr>
          <w:p w14:paraId="72DCA03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MONALEESA 3</w:t>
            </w:r>
          </w:p>
        </w:tc>
        <w:tc>
          <w:tcPr>
            <w:tcW w:w="2835" w:type="dxa"/>
            <w:noWrap/>
            <w:hideMark/>
          </w:tcPr>
          <w:p w14:paraId="14FB2F6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03A6B6C5" w14:textId="77777777" w:rsidTr="00EA0F21">
        <w:trPr>
          <w:trHeight w:val="290"/>
        </w:trPr>
        <w:tc>
          <w:tcPr>
            <w:tcW w:w="6379" w:type="dxa"/>
            <w:noWrap/>
            <w:hideMark/>
          </w:tcPr>
          <w:p w14:paraId="482BF6DF" w14:textId="60FFE66D" w:rsidR="00EA0F21" w:rsidRPr="004563DE" w:rsidRDefault="00EA0F21" w:rsidP="00EA0F21">
            <w:pPr>
              <w:autoSpaceDE w:val="0"/>
              <w:autoSpaceDN w:val="0"/>
              <w:adjustRightInd w:val="0"/>
              <w:rPr>
                <w:rFonts w:ascii="Times New Roman" w:hAnsi="Times New Roman" w:cs="Times New Roman"/>
                <w:sz w:val="20"/>
                <w:szCs w:val="20"/>
              </w:rPr>
            </w:pPr>
            <w:hyperlink r:id="rId32" w:history="1">
              <w:r w:rsidRPr="004563DE">
                <w:rPr>
                  <w:rStyle w:val="Hyperlink"/>
                  <w:rFonts w:ascii="Times New Roman" w:hAnsi="Times New Roman" w:cs="Times New Roman"/>
                  <w:sz w:val="20"/>
                  <w:szCs w:val="20"/>
                </w:rPr>
                <w:t>Acalabrutinib for treating chronic lymphocytic leukaemia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{"citationItems":[{"id":"ITEM-1","itemData":{"URL":"https://www.nice.org.uk/guidance/ta689","author":[{"dropping-particle":"","family":"National Institute for Health and Care Excellence (NICE)","given":"","non-dropping-particle":"","parse-names":false,"suffix":""}],"container-title":"NICE website","id":"ITEM-1","issued":{"date-parts":[["2021"]]},"title":"Acalabrutinib for treating chronic lymphocytic leukaemia. Technology appraisal guidance [TA689]","type":"webpage"},"uris":["http://www.mendeley.com/documents/?uuid=78a5c489-975e-4be8-9a83-3908e3fb9158"]}],"mendeley":{"formattedCitation":"(28)","plainTextFormattedCitation":"(28)","previouslyFormattedCitation":"(26)"},"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(28)</w:t>
            </w:r>
            <w:r w:rsidRPr="004563DE">
              <w:rPr>
                <w:rFonts w:ascii="Times New Roman" w:hAnsi="Times New Roman" w:cs="Times New Roman"/>
                <w:sz w:val="20"/>
                <w:szCs w:val="20"/>
              </w:rPr>
              <w:fldChar w:fldCharType="end"/>
            </w:r>
          </w:p>
        </w:tc>
        <w:tc>
          <w:tcPr>
            <w:tcW w:w="1134" w:type="dxa"/>
            <w:noWrap/>
            <w:hideMark/>
          </w:tcPr>
          <w:p w14:paraId="59AAB5E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0510760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TA689</w:t>
            </w:r>
          </w:p>
        </w:tc>
        <w:tc>
          <w:tcPr>
            <w:tcW w:w="1134" w:type="dxa"/>
            <w:noWrap/>
            <w:hideMark/>
          </w:tcPr>
          <w:p w14:paraId="638C6C4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2773087A" w14:textId="45E3A852"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w:t>
            </w:r>
            <w:r>
              <w:rPr>
                <w:rFonts w:ascii="Times New Roman" w:hAnsi="Times New Roman" w:cs="Times New Roman"/>
                <w:sz w:val="20"/>
                <w:szCs w:val="20"/>
              </w:rPr>
              <w:t>c</w:t>
            </w:r>
            <w:r w:rsidRPr="004563DE">
              <w:rPr>
                <w:rFonts w:ascii="Times New Roman" w:hAnsi="Times New Roman" w:cs="Times New Roman"/>
                <w:sz w:val="20"/>
                <w:szCs w:val="20"/>
              </w:rPr>
              <w:t>HARR</w:t>
            </w:r>
            <w:r>
              <w:rPr>
                <w:rFonts w:ascii="Times New Roman" w:hAnsi="Times New Roman" w:cs="Times New Roman"/>
                <w:sz w:val="20"/>
                <w:szCs w:val="20"/>
              </w:rPr>
              <w:t>-TAG</w:t>
            </w:r>
          </w:p>
        </w:tc>
        <w:tc>
          <w:tcPr>
            <w:tcW w:w="1985" w:type="dxa"/>
            <w:noWrap/>
            <w:hideMark/>
          </w:tcPr>
          <w:p w14:paraId="47FEA86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ELEVATE-TN</w:t>
            </w:r>
          </w:p>
        </w:tc>
        <w:tc>
          <w:tcPr>
            <w:tcW w:w="2835" w:type="dxa"/>
            <w:noWrap/>
            <w:hideMark/>
          </w:tcPr>
          <w:p w14:paraId="0F8F331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0DAB4E51" w14:textId="77777777" w:rsidTr="00EA0F21">
        <w:trPr>
          <w:trHeight w:val="290"/>
        </w:trPr>
        <w:tc>
          <w:tcPr>
            <w:tcW w:w="6379" w:type="dxa"/>
            <w:noWrap/>
            <w:hideMark/>
          </w:tcPr>
          <w:p w14:paraId="2DBE61C2" w14:textId="2443C9F6" w:rsidR="00EA0F21" w:rsidRPr="004563DE" w:rsidRDefault="00EA0F21" w:rsidP="00EA0F21">
            <w:pPr>
              <w:autoSpaceDE w:val="0"/>
              <w:autoSpaceDN w:val="0"/>
              <w:adjustRightInd w:val="0"/>
              <w:rPr>
                <w:rFonts w:ascii="Times New Roman" w:hAnsi="Times New Roman" w:cs="Times New Roman"/>
                <w:sz w:val="20"/>
                <w:szCs w:val="20"/>
              </w:rPr>
            </w:pPr>
            <w:hyperlink r:id="rId33" w:history="1">
              <w:r w:rsidRPr="004563DE">
                <w:rPr>
                  <w:rStyle w:val="Hyperlink"/>
                  <w:rFonts w:ascii="Times New Roman" w:hAnsi="Times New Roman" w:cs="Times New Roman"/>
                  <w:sz w:val="20"/>
                  <w:szCs w:val="20"/>
                </w:rPr>
                <w:t>Carfilzomib with dexamethasone and lenalidomide for previously treated multiple myeloma</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{"citationItems":[{"id":"ITEM-1","itemData":{"URL":"https://www.nice.org.uk/guidance/ta695","author":[{"dropping-particle":"","family":"National Institute for Health and Care Excellence (NICE)","given":"","non-dropping-particle":"","parse-names":false,"suffix":""}],"container-title":"NICE website","id":"ITEM-1","issued":{"date-parts":[["2021"]]},"title":"Carfilzomib with dexamethasone and lenalidomide for previously treated multiple myeloma. Technology appraisal guidance [TA695]","type":"webpage"},"uris":["http://www.mendeley.com/documents/?uuid=8553c2e3-da57-4b33-8e31-6c1ee84f99b6"]}],"mendeley":{"formattedCitation":"(29)","plainTextFormattedCitation":"(29)","previouslyFormattedCitation":"(27)"},"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(29)</w:t>
            </w:r>
            <w:r w:rsidRPr="004563DE">
              <w:rPr>
                <w:rFonts w:ascii="Times New Roman" w:hAnsi="Times New Roman" w:cs="Times New Roman"/>
                <w:sz w:val="20"/>
                <w:szCs w:val="20"/>
              </w:rPr>
              <w:fldChar w:fldCharType="end"/>
            </w:r>
          </w:p>
        </w:tc>
        <w:tc>
          <w:tcPr>
            <w:tcW w:w="1134" w:type="dxa"/>
            <w:noWrap/>
            <w:hideMark/>
          </w:tcPr>
          <w:p w14:paraId="7BB9202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081429E1"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TA695</w:t>
            </w:r>
          </w:p>
        </w:tc>
        <w:tc>
          <w:tcPr>
            <w:tcW w:w="1134" w:type="dxa"/>
            <w:noWrap/>
            <w:hideMark/>
          </w:tcPr>
          <w:p w14:paraId="089753D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6D40F6C5" w14:textId="49BD2C2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BMJ</w:t>
            </w:r>
            <w:r>
              <w:rPr>
                <w:rFonts w:ascii="Times New Roman" w:hAnsi="Times New Roman" w:cs="Times New Roman"/>
                <w:sz w:val="20"/>
                <w:szCs w:val="20"/>
              </w:rPr>
              <w:t>-TAG</w:t>
            </w:r>
          </w:p>
        </w:tc>
        <w:tc>
          <w:tcPr>
            <w:tcW w:w="1985" w:type="dxa"/>
            <w:noWrap/>
            <w:hideMark/>
          </w:tcPr>
          <w:p w14:paraId="6417FDCF"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ASPIRE</w:t>
            </w:r>
          </w:p>
        </w:tc>
        <w:tc>
          <w:tcPr>
            <w:tcW w:w="2835" w:type="dxa"/>
            <w:noWrap/>
            <w:hideMark/>
          </w:tcPr>
          <w:p w14:paraId="0770CE6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514518E0" w14:textId="77777777" w:rsidTr="00EA0F21">
        <w:trPr>
          <w:trHeight w:val="290"/>
        </w:trPr>
        <w:tc>
          <w:tcPr>
            <w:tcW w:w="6379" w:type="dxa"/>
            <w:noWrap/>
            <w:hideMark/>
          </w:tcPr>
          <w:p w14:paraId="7FE8276E" w14:textId="6CE9E9F3" w:rsidR="00EA0F21" w:rsidRPr="004563DE" w:rsidRDefault="00EA0F21" w:rsidP="00EA0F21">
            <w:pPr>
              <w:autoSpaceDE w:val="0"/>
              <w:autoSpaceDN w:val="0"/>
              <w:adjustRightInd w:val="0"/>
              <w:rPr>
                <w:rFonts w:ascii="Times New Roman" w:hAnsi="Times New Roman" w:cs="Times New Roman"/>
                <w:sz w:val="20"/>
                <w:szCs w:val="20"/>
              </w:rPr>
            </w:pPr>
            <w:hyperlink r:id="rId34" w:history="1">
              <w:r w:rsidRPr="004563DE">
                <w:rPr>
                  <w:rStyle w:val="Hyperlink"/>
                  <w:rFonts w:ascii="Times New Roman" w:hAnsi="Times New Roman" w:cs="Times New Roman"/>
                  <w:sz w:val="20"/>
                  <w:szCs w:val="20"/>
                </w:rPr>
                <w:t>Olaparib plus bevacizumab for maintenance treatment of advanced ovarian, fallopian tube or primary peritoneal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{"citationItems":[{"id":"ITEM-1","itemData":{"URL":"https://www.nice.org.uk/guidance/ta693","author":[{"dropping-particle":"","family":"National Institute for Health and Care Excellence (NICE)","given":"","non-dropping-particle":"","parse-names":false,"suffix":""}],"container-title":"NICE website","id":"ITEM-1","issued":{"date-parts":[["2021"]]},"title":"Olaparib plus bevacizumab for maintenance treatment of advanced ovarian, fallopian tube or primary peritoneal cancer. Technology appraisal guidance [TA693]","type":"webpage"},"uris":["http://www.mendeley.com/documents/?uuid=20d9a9ea-a407-4996-abfc-c931e6df17c9"]}],"mendeley":{"formattedCitation":"(30)","plainTextFormattedCitation":"(30)","previouslyFormattedCitation":"(28)"},"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(30)</w:t>
            </w:r>
            <w:r w:rsidRPr="004563DE">
              <w:rPr>
                <w:rFonts w:ascii="Times New Roman" w:hAnsi="Times New Roman" w:cs="Times New Roman"/>
                <w:sz w:val="20"/>
                <w:szCs w:val="20"/>
              </w:rPr>
              <w:fldChar w:fldCharType="end"/>
            </w:r>
          </w:p>
        </w:tc>
        <w:tc>
          <w:tcPr>
            <w:tcW w:w="1134" w:type="dxa"/>
            <w:noWrap/>
            <w:hideMark/>
          </w:tcPr>
          <w:p w14:paraId="083D950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3D8B274D"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TA693</w:t>
            </w:r>
          </w:p>
        </w:tc>
        <w:tc>
          <w:tcPr>
            <w:tcW w:w="1134" w:type="dxa"/>
            <w:noWrap/>
            <w:hideMark/>
          </w:tcPr>
          <w:p w14:paraId="1E6F952F"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0F02DBF4" w14:textId="7953B040"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BMJ</w:t>
            </w:r>
            <w:r>
              <w:rPr>
                <w:rFonts w:ascii="Times New Roman" w:hAnsi="Times New Roman" w:cs="Times New Roman"/>
                <w:sz w:val="20"/>
                <w:szCs w:val="20"/>
              </w:rPr>
              <w:t>-TAG</w:t>
            </w:r>
          </w:p>
        </w:tc>
        <w:tc>
          <w:tcPr>
            <w:tcW w:w="1985" w:type="dxa"/>
            <w:noWrap/>
            <w:hideMark/>
          </w:tcPr>
          <w:p w14:paraId="526C66E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PAOLA-1</w:t>
            </w:r>
          </w:p>
        </w:tc>
        <w:tc>
          <w:tcPr>
            <w:tcW w:w="2835" w:type="dxa"/>
            <w:noWrap/>
            <w:hideMark/>
          </w:tcPr>
          <w:p w14:paraId="23B426E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3A8BA289" w14:textId="77777777" w:rsidTr="00EA0F21">
        <w:trPr>
          <w:trHeight w:val="290"/>
        </w:trPr>
        <w:tc>
          <w:tcPr>
            <w:tcW w:w="6379" w:type="dxa"/>
            <w:noWrap/>
            <w:hideMark/>
          </w:tcPr>
          <w:p w14:paraId="62D8229D" w14:textId="54D6FA56" w:rsidR="00EA0F21" w:rsidRPr="004563DE" w:rsidRDefault="00EA0F21" w:rsidP="00EA0F21">
            <w:pPr>
              <w:autoSpaceDE w:val="0"/>
              <w:autoSpaceDN w:val="0"/>
              <w:adjustRightInd w:val="0"/>
              <w:rPr>
                <w:rFonts w:ascii="Times New Roman" w:hAnsi="Times New Roman" w:cs="Times New Roman"/>
                <w:sz w:val="20"/>
                <w:szCs w:val="20"/>
              </w:rPr>
            </w:pPr>
            <w:hyperlink r:id="rId35" w:history="1">
              <w:r w:rsidRPr="004563DE">
                <w:rPr>
                  <w:rStyle w:val="Hyperlink"/>
                  <w:rFonts w:ascii="Times New Roman" w:hAnsi="Times New Roman" w:cs="Times New Roman"/>
                  <w:sz w:val="20"/>
                  <w:szCs w:val="20"/>
                </w:rPr>
                <w:t>Pembrolizumab for treating locally advanced or metastatic urothelial carcinoma after platinum-containing chemotherapy</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{"citationItems":[{"id":"ITEM-1","itemData":{"URL":"https://www.nice.org.uk/guidance/ta692","author":[{"dropping-particle":"","family":"National Institute for Health and Care Excellence (NICE)","given":"","non-dropping-particle":"","parse-names":false,"suffix":""}],"container-title":"NICE website","id":"ITEM-1","issued":{"date-parts":[["2021"]]},"title":"Pembrolizumab for treating locally advanced or metastatic urothelial carcinoma after platinum-containing chemotherapy. Technology appraisal guidance [TA692]","type":"webpage"},"uris":["http://www.mendeley.com/documents/?uuid=73bdfefe-897d-4614-8f09-e3e5be5c692b"]}],"mendeley":{"formattedCitation":"(31)","plainTextFormattedCitation":"(31)","previouslyFormattedCitation":"(29)"},"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(31)</w:t>
            </w:r>
            <w:r w:rsidRPr="004563DE">
              <w:rPr>
                <w:rFonts w:ascii="Times New Roman" w:hAnsi="Times New Roman" w:cs="Times New Roman"/>
                <w:sz w:val="20"/>
                <w:szCs w:val="20"/>
              </w:rPr>
              <w:fldChar w:fldCharType="end"/>
            </w:r>
          </w:p>
        </w:tc>
        <w:tc>
          <w:tcPr>
            <w:tcW w:w="1134" w:type="dxa"/>
            <w:noWrap/>
            <w:hideMark/>
          </w:tcPr>
          <w:p w14:paraId="18B4C7B1"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6A5D7EE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TA692 (TA519)</w:t>
            </w:r>
          </w:p>
        </w:tc>
        <w:tc>
          <w:tcPr>
            <w:tcW w:w="1134" w:type="dxa"/>
            <w:noWrap/>
            <w:hideMark/>
          </w:tcPr>
          <w:p w14:paraId="1FDB620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CDF</w:t>
            </w:r>
          </w:p>
        </w:tc>
        <w:tc>
          <w:tcPr>
            <w:tcW w:w="1417" w:type="dxa"/>
          </w:tcPr>
          <w:p w14:paraId="14750929" w14:textId="1A9D9085"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Warwick</w:t>
            </w:r>
            <w:r>
              <w:rPr>
                <w:rFonts w:ascii="Times New Roman" w:hAnsi="Times New Roman" w:cs="Times New Roman"/>
                <w:sz w:val="20"/>
                <w:szCs w:val="20"/>
              </w:rPr>
              <w:t xml:space="preserve"> Evidence</w:t>
            </w:r>
          </w:p>
        </w:tc>
        <w:tc>
          <w:tcPr>
            <w:tcW w:w="1985" w:type="dxa"/>
            <w:noWrap/>
            <w:hideMark/>
          </w:tcPr>
          <w:p w14:paraId="3C80DBA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Keynote 045</w:t>
            </w:r>
          </w:p>
        </w:tc>
        <w:tc>
          <w:tcPr>
            <w:tcW w:w="2835" w:type="dxa"/>
            <w:noWrap/>
            <w:hideMark/>
          </w:tcPr>
          <w:p w14:paraId="3678276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4BB50DCF" w14:textId="77777777" w:rsidTr="00EA0F21">
        <w:trPr>
          <w:trHeight w:val="290"/>
        </w:trPr>
        <w:tc>
          <w:tcPr>
            <w:tcW w:w="6379" w:type="dxa"/>
            <w:noWrap/>
            <w:hideMark/>
          </w:tcPr>
          <w:p w14:paraId="19E723A2" w14:textId="26950000" w:rsidR="00EA0F21" w:rsidRPr="004563DE" w:rsidRDefault="00EA0F21" w:rsidP="00EA0F21">
            <w:pPr>
              <w:autoSpaceDE w:val="0"/>
              <w:autoSpaceDN w:val="0"/>
              <w:adjustRightInd w:val="0"/>
              <w:rPr>
                <w:rFonts w:ascii="Times New Roman" w:hAnsi="Times New Roman" w:cs="Times New Roman"/>
                <w:sz w:val="20"/>
                <w:szCs w:val="20"/>
              </w:rPr>
            </w:pPr>
            <w:hyperlink r:id="rId36" w:history="1">
              <w:r w:rsidRPr="004563DE">
                <w:rPr>
                  <w:rStyle w:val="Hyperlink"/>
                  <w:rFonts w:ascii="Times New Roman" w:hAnsi="Times New Roman" w:cs="Times New Roman"/>
                  <w:sz w:val="20"/>
                  <w:szCs w:val="20"/>
                </w:rPr>
                <w:t>Atezolizumab monotherapy for untreated advanced non-small-cell lung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{"citationItems":[{"id":"ITEM-1","itemData":{"URL":"https://www.nice.org.uk/guidance/ta705","author":[{"dropping-particle":"","family":"National Institute for Health and Care Excellence (NICE)","given":"","non-dropping-particle":"","parse-names":false,"suffix":""}],"container-title":"NICE website","id":"ITEM-1","issued":{"date-parts":[["2021"]]},"title":"Atezolizumab monotherapy for untreated advanced non-small-cell lung cancer. Technology appraisal guidance [TA705]","type":"webpage"},"uris":["http://www.mendeley.com/documents/?uuid=cf4acf4e-ad8b-4355-9c0e-f51c4fda4eaf"]}],"mendeley":{"formattedCitation":"(32)","plainTextFormattedCitation":"(32)","previouslyFormattedCitation":"(30)"},"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(32)</w:t>
            </w:r>
            <w:r w:rsidRPr="004563DE">
              <w:rPr>
                <w:rFonts w:ascii="Times New Roman" w:hAnsi="Times New Roman" w:cs="Times New Roman"/>
                <w:sz w:val="20"/>
                <w:szCs w:val="20"/>
              </w:rPr>
              <w:fldChar w:fldCharType="end"/>
            </w:r>
          </w:p>
        </w:tc>
        <w:tc>
          <w:tcPr>
            <w:tcW w:w="1134" w:type="dxa"/>
            <w:noWrap/>
            <w:hideMark/>
          </w:tcPr>
          <w:p w14:paraId="534ECAB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10C4295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TA705</w:t>
            </w:r>
          </w:p>
        </w:tc>
        <w:tc>
          <w:tcPr>
            <w:tcW w:w="1134" w:type="dxa"/>
            <w:noWrap/>
            <w:hideMark/>
          </w:tcPr>
          <w:p w14:paraId="507304C3"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6F01EF59" w14:textId="29BE0F2A" w:rsidR="00EA0F21" w:rsidRPr="004563DE" w:rsidRDefault="00EA0F21" w:rsidP="00EA0F2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HERU/HSRU</w:t>
            </w:r>
          </w:p>
        </w:tc>
        <w:tc>
          <w:tcPr>
            <w:tcW w:w="1985" w:type="dxa"/>
            <w:noWrap/>
            <w:hideMark/>
          </w:tcPr>
          <w:p w14:paraId="4869125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IMPOWER-110</w:t>
            </w:r>
          </w:p>
        </w:tc>
        <w:tc>
          <w:tcPr>
            <w:tcW w:w="2835" w:type="dxa"/>
            <w:noWrap/>
            <w:hideMark/>
          </w:tcPr>
          <w:p w14:paraId="01F2690F"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64CF4C17" w14:textId="77777777" w:rsidTr="00EA0F21">
        <w:trPr>
          <w:trHeight w:val="290"/>
        </w:trPr>
        <w:tc>
          <w:tcPr>
            <w:tcW w:w="6379" w:type="dxa"/>
            <w:noWrap/>
            <w:hideMark/>
          </w:tcPr>
          <w:p w14:paraId="7BDFA23A" w14:textId="1B998453" w:rsidR="00EA0F21" w:rsidRPr="004563DE" w:rsidRDefault="00EA0F21" w:rsidP="00EA0F21">
            <w:pPr>
              <w:autoSpaceDE w:val="0"/>
              <w:autoSpaceDN w:val="0"/>
              <w:adjustRightInd w:val="0"/>
              <w:rPr>
                <w:rFonts w:ascii="Times New Roman" w:hAnsi="Times New Roman" w:cs="Times New Roman"/>
                <w:sz w:val="20"/>
                <w:szCs w:val="20"/>
              </w:rPr>
            </w:pPr>
            <w:hyperlink r:id="rId37" w:history="1">
              <w:r w:rsidRPr="004563DE">
                <w:rPr>
                  <w:rStyle w:val="Hyperlink"/>
                  <w:rFonts w:ascii="Times New Roman" w:hAnsi="Times New Roman" w:cs="Times New Roman"/>
                  <w:sz w:val="20"/>
                  <w:szCs w:val="20"/>
                </w:rPr>
                <w:t>Nivolumab for previously treated unresectable advanced or recurrent oesophageal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{"citationItems":[{"id":"ITEM-1","itemData":{"URL":"https://www.nice.org.uk/guidance/ta707","author":[{"dropping-particle":"","family":"National Institute for Health and Care Excellence (NICE)","given":"","non-dropping-particle":"","parse-names":false,"suffix":""}],"container-title":"NICE website","id":"ITEM-1","issued":{"date-parts":[["2021"]]},"title":"Nivolumab for previously treated unresectable advanced or recurrent oesophageal cancer. Technology appraisal guidance [TA707]","type":"webpage"},"uris":["http://www.mendeley.com/documents/?uuid=3bfaa81e-de4b-44ae-bb7c-178609c692f5"]}],"mendeley":{"formattedCitation":"(33)","plainTextFormattedCitation":"(33)","previouslyFormattedCitation":"(31)"},"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(33)</w:t>
            </w:r>
            <w:r w:rsidRPr="004563DE">
              <w:rPr>
                <w:rFonts w:ascii="Times New Roman" w:hAnsi="Times New Roman" w:cs="Times New Roman"/>
                <w:sz w:val="20"/>
                <w:szCs w:val="20"/>
              </w:rPr>
              <w:fldChar w:fldCharType="end"/>
            </w:r>
          </w:p>
        </w:tc>
        <w:tc>
          <w:tcPr>
            <w:tcW w:w="1134" w:type="dxa"/>
            <w:noWrap/>
            <w:hideMark/>
          </w:tcPr>
          <w:p w14:paraId="4D5F8EB8"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65F3083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TA707</w:t>
            </w:r>
          </w:p>
        </w:tc>
        <w:tc>
          <w:tcPr>
            <w:tcW w:w="1134" w:type="dxa"/>
            <w:noWrap/>
            <w:hideMark/>
          </w:tcPr>
          <w:p w14:paraId="378F7BAD"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42DE84FC" w14:textId="7B5897B8"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PENTAG</w:t>
            </w:r>
          </w:p>
        </w:tc>
        <w:tc>
          <w:tcPr>
            <w:tcW w:w="1985" w:type="dxa"/>
            <w:noWrap/>
            <w:hideMark/>
          </w:tcPr>
          <w:p w14:paraId="0C513007"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ATTRACTION-3</w:t>
            </w:r>
          </w:p>
        </w:tc>
        <w:tc>
          <w:tcPr>
            <w:tcW w:w="2835" w:type="dxa"/>
            <w:noWrap/>
            <w:hideMark/>
          </w:tcPr>
          <w:p w14:paraId="21AC29E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2110C5F3" w14:textId="77777777" w:rsidTr="00EA0F21">
        <w:trPr>
          <w:trHeight w:val="290"/>
        </w:trPr>
        <w:tc>
          <w:tcPr>
            <w:tcW w:w="6379" w:type="dxa"/>
            <w:noWrap/>
            <w:hideMark/>
          </w:tcPr>
          <w:p w14:paraId="7FA706C3" w14:textId="6163A56C" w:rsidR="00EA0F21" w:rsidRPr="004563DE" w:rsidRDefault="00EA0F21" w:rsidP="00EA0F21">
            <w:pPr>
              <w:autoSpaceDE w:val="0"/>
              <w:autoSpaceDN w:val="0"/>
              <w:adjustRightInd w:val="0"/>
              <w:rPr>
                <w:rFonts w:ascii="Times New Roman" w:hAnsi="Times New Roman" w:cs="Times New Roman"/>
                <w:sz w:val="20"/>
                <w:szCs w:val="20"/>
              </w:rPr>
            </w:pPr>
            <w:hyperlink r:id="rId38" w:history="1">
              <w:r w:rsidRPr="004563DE">
                <w:rPr>
                  <w:rStyle w:val="Hyperlink"/>
                  <w:rFonts w:ascii="Times New Roman" w:hAnsi="Times New Roman" w:cs="Times New Roman"/>
                  <w:sz w:val="20"/>
                  <w:szCs w:val="20"/>
                </w:rPr>
                <w:t>Pembrolizumab for untreated metastatic colorectal cancer with high microsatellite instability or mismatch repair deficiency</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{"citationItems":[{"id":"ITEM-1","itemData":{"URL":"https://www.nice.org.uk/guidance/ta709","author":[{"dropping-particle":"","family":"National Institute for Health and Care Excellence (NICE)","given":"","non-dropping-particle":"","parse-names":false,"suffix":""}],"container-title":"NICE website","id":"ITEM-1","issued":{"date-parts":[["2021"]]},"title":"Pembrolizumab for untreated metastatic colorectal cancer with high microsatellite instability or mismatch repair deficiency. Technology appraisal guidance [TA709]","type":"webpage"},"uris":["http://www.mendeley.com/documents/?uuid=28b4b882-dbfb-4ec1-a22c-f043a8d7de67"]}],"mendeley":{"formattedCitation":"(34)","plainTextFormattedCitation":"(34)","previouslyFormattedCitation":"(32)"},"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(34)</w:t>
            </w:r>
            <w:r w:rsidRPr="004563DE">
              <w:rPr>
                <w:rFonts w:ascii="Times New Roman" w:hAnsi="Times New Roman" w:cs="Times New Roman"/>
                <w:sz w:val="20"/>
                <w:szCs w:val="20"/>
              </w:rPr>
              <w:fldChar w:fldCharType="end"/>
            </w:r>
          </w:p>
        </w:tc>
        <w:tc>
          <w:tcPr>
            <w:tcW w:w="1134" w:type="dxa"/>
            <w:noWrap/>
            <w:hideMark/>
          </w:tcPr>
          <w:p w14:paraId="45BB631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40D489A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TA709</w:t>
            </w:r>
          </w:p>
        </w:tc>
        <w:tc>
          <w:tcPr>
            <w:tcW w:w="1134" w:type="dxa"/>
            <w:noWrap/>
            <w:hideMark/>
          </w:tcPr>
          <w:p w14:paraId="34B2670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4152D307" w14:textId="10C1696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BMJ</w:t>
            </w:r>
            <w:r>
              <w:rPr>
                <w:rFonts w:ascii="Times New Roman" w:hAnsi="Times New Roman" w:cs="Times New Roman"/>
                <w:sz w:val="20"/>
                <w:szCs w:val="20"/>
              </w:rPr>
              <w:t>-TAG</w:t>
            </w:r>
          </w:p>
        </w:tc>
        <w:tc>
          <w:tcPr>
            <w:tcW w:w="1985" w:type="dxa"/>
            <w:noWrap/>
            <w:hideMark/>
          </w:tcPr>
          <w:p w14:paraId="0AF4E588"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KEYNOTE-177</w:t>
            </w:r>
          </w:p>
        </w:tc>
        <w:tc>
          <w:tcPr>
            <w:tcW w:w="2835" w:type="dxa"/>
            <w:noWrap/>
            <w:hideMark/>
          </w:tcPr>
          <w:p w14:paraId="701642E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5A7FCA99" w14:textId="77777777" w:rsidTr="00EA0F21">
        <w:trPr>
          <w:trHeight w:val="290"/>
        </w:trPr>
        <w:tc>
          <w:tcPr>
            <w:tcW w:w="6379" w:type="dxa"/>
            <w:noWrap/>
            <w:hideMark/>
          </w:tcPr>
          <w:p w14:paraId="1B86B9D8" w14:textId="7EFEB1AB" w:rsidR="00EA0F21" w:rsidRPr="004563DE" w:rsidRDefault="00EA0F21" w:rsidP="00EA0F21">
            <w:pPr>
              <w:autoSpaceDE w:val="0"/>
              <w:autoSpaceDN w:val="0"/>
              <w:adjustRightInd w:val="0"/>
              <w:rPr>
                <w:rFonts w:ascii="Times New Roman" w:hAnsi="Times New Roman" w:cs="Times New Roman"/>
                <w:sz w:val="20"/>
                <w:szCs w:val="20"/>
              </w:rPr>
            </w:pPr>
            <w:hyperlink r:id="rId39" w:history="1">
              <w:r w:rsidRPr="004563DE">
                <w:rPr>
                  <w:rStyle w:val="Hyperlink"/>
                  <w:rFonts w:ascii="Times New Roman" w:hAnsi="Times New Roman" w:cs="Times New Roman"/>
                  <w:sz w:val="20"/>
                  <w:szCs w:val="20"/>
                </w:rPr>
                <w:t>Nivolumab for advanced non-squamous non-small-cell lung cancer after chemotherapy</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{"citationItems":[{"id":"ITEM-1","itemData":{"URL":"https://www.nice.org.uk/guidance/ta713","author":[{"dropping-particle":"","family":"National Institute for Health and Care Excellence (NICE)","given":"","non-dropping-particle":"","parse-names":false,"suffix":""}],"container-title":"NICE website","id":"ITEM-1","issued":{"date-parts":[["2021"]]},"title":"Nivolumab for advanced non-squamous non-small-cell lung cancer after chemotherapy. Technology appraisal guidance [TA713]","type":"webpage"},"uris":["http://www.mendeley.com/documents/?uuid=129f6e43-4b03-414a-8209-78fd911761ef"]}],"mendeley":{"formattedCitation":"(35)","plainTextFormattedCitation":"(35)","previouslyFormattedCitation":"(33)"},"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(35)</w:t>
            </w:r>
            <w:r w:rsidRPr="004563DE">
              <w:rPr>
                <w:rFonts w:ascii="Times New Roman" w:hAnsi="Times New Roman" w:cs="Times New Roman"/>
                <w:sz w:val="20"/>
                <w:szCs w:val="20"/>
              </w:rPr>
              <w:fldChar w:fldCharType="end"/>
            </w:r>
          </w:p>
        </w:tc>
        <w:tc>
          <w:tcPr>
            <w:tcW w:w="1134" w:type="dxa"/>
            <w:noWrap/>
            <w:hideMark/>
          </w:tcPr>
          <w:p w14:paraId="1A9460A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494C773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TA713 (TA484)</w:t>
            </w:r>
          </w:p>
        </w:tc>
        <w:tc>
          <w:tcPr>
            <w:tcW w:w="1134" w:type="dxa"/>
            <w:noWrap/>
            <w:hideMark/>
          </w:tcPr>
          <w:p w14:paraId="1586CB6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CDF</w:t>
            </w:r>
          </w:p>
        </w:tc>
        <w:tc>
          <w:tcPr>
            <w:tcW w:w="1417" w:type="dxa"/>
          </w:tcPr>
          <w:p w14:paraId="5D73AAC1" w14:textId="66F55C1F" w:rsidR="00EA0F21" w:rsidRPr="004563DE" w:rsidRDefault="00EA0F21" w:rsidP="00EA0F21">
            <w:pPr>
              <w:autoSpaceDE w:val="0"/>
              <w:autoSpaceDN w:val="0"/>
              <w:adjustRightInd w:val="0"/>
              <w:jc w:val="center"/>
              <w:rPr>
                <w:rFonts w:ascii="Times New Roman" w:hAnsi="Times New Roman" w:cs="Times New Roman"/>
                <w:sz w:val="20"/>
                <w:szCs w:val="20"/>
              </w:rPr>
            </w:pPr>
            <w:proofErr w:type="spellStart"/>
            <w:r w:rsidRPr="004563DE">
              <w:rPr>
                <w:rFonts w:ascii="Times New Roman" w:hAnsi="Times New Roman" w:cs="Times New Roman"/>
                <w:sz w:val="20"/>
                <w:szCs w:val="20"/>
              </w:rPr>
              <w:t>L</w:t>
            </w:r>
            <w:r>
              <w:rPr>
                <w:rFonts w:ascii="Times New Roman" w:hAnsi="Times New Roman" w:cs="Times New Roman"/>
                <w:sz w:val="20"/>
                <w:szCs w:val="20"/>
              </w:rPr>
              <w:t>RiG</w:t>
            </w:r>
            <w:proofErr w:type="spellEnd"/>
          </w:p>
        </w:tc>
        <w:tc>
          <w:tcPr>
            <w:tcW w:w="1985" w:type="dxa"/>
            <w:noWrap/>
            <w:hideMark/>
          </w:tcPr>
          <w:p w14:paraId="64AE27D5"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CHECKMATE 057</w:t>
            </w:r>
          </w:p>
        </w:tc>
        <w:tc>
          <w:tcPr>
            <w:tcW w:w="2835" w:type="dxa"/>
            <w:noWrap/>
            <w:hideMark/>
          </w:tcPr>
          <w:p w14:paraId="083B001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5E8CD549" w14:textId="77777777" w:rsidTr="00EA0F21">
        <w:trPr>
          <w:trHeight w:val="290"/>
        </w:trPr>
        <w:tc>
          <w:tcPr>
            <w:tcW w:w="6379" w:type="dxa"/>
            <w:noWrap/>
            <w:hideMark/>
          </w:tcPr>
          <w:p w14:paraId="738C31A9" w14:textId="142CA26C" w:rsidR="00EA0F21" w:rsidRPr="004563DE" w:rsidRDefault="00EA0F21" w:rsidP="00EA0F21">
            <w:pPr>
              <w:autoSpaceDE w:val="0"/>
              <w:autoSpaceDN w:val="0"/>
              <w:adjustRightInd w:val="0"/>
              <w:rPr>
                <w:rFonts w:ascii="Times New Roman" w:hAnsi="Times New Roman" w:cs="Times New Roman"/>
                <w:sz w:val="20"/>
                <w:szCs w:val="20"/>
              </w:rPr>
            </w:pPr>
            <w:hyperlink r:id="rId40" w:history="1">
              <w:r w:rsidRPr="004563DE">
                <w:rPr>
                  <w:rStyle w:val="Hyperlink"/>
                  <w:rFonts w:ascii="Times New Roman" w:hAnsi="Times New Roman" w:cs="Times New Roman"/>
                  <w:sz w:val="20"/>
                  <w:szCs w:val="20"/>
                </w:rPr>
                <w:t>Nivolumab with ipilimumab and chemotherapy for untreated metastatic non-small-cell lung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{"citationItems":[{"id":"ITEM-1","itemData":{"URL":"https://www.nice.org.uk/guidance/ta724","author":[{"dropping-particle":"","family":"National Institute for Health and Care Excellence (NICE)","given":"","non-dropping-particle":"","parse-names":false,"suffix":""}],"container-title":"NICE website","id":"ITEM-1","issued":{"date-parts":[["2021"]]},"title":"Nivolumab with ipilimumab and chemotherapy for untreated metastatic non-small-cell lung cancer Technology appraisal guidance [TA724]","type":"webpage"},"uris":["http://www.mendeley.com/documents/?uuid=8df1455c-eddc-4580-871f-de8ca78496fa"]}],"mendeley":{"formattedCitation":"(36)","plainTextFormattedCitation":"(36)","previouslyFormattedCitation":"(34)"},"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(36)</w:t>
            </w:r>
            <w:r w:rsidRPr="004563DE">
              <w:rPr>
                <w:rFonts w:ascii="Times New Roman" w:hAnsi="Times New Roman" w:cs="Times New Roman"/>
                <w:sz w:val="20"/>
                <w:szCs w:val="20"/>
              </w:rPr>
              <w:fldChar w:fldCharType="end"/>
            </w:r>
          </w:p>
        </w:tc>
        <w:tc>
          <w:tcPr>
            <w:tcW w:w="1134" w:type="dxa"/>
            <w:noWrap/>
            <w:hideMark/>
          </w:tcPr>
          <w:p w14:paraId="645A17A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6F4B4EA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TA724</w:t>
            </w:r>
          </w:p>
        </w:tc>
        <w:tc>
          <w:tcPr>
            <w:tcW w:w="1134" w:type="dxa"/>
            <w:noWrap/>
            <w:hideMark/>
          </w:tcPr>
          <w:p w14:paraId="3714E10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477E26D9" w14:textId="6DDC0AF1" w:rsidR="00EA0F21" w:rsidRPr="004563DE" w:rsidRDefault="00EA0F21" w:rsidP="00EA0F2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CRD/CHE</w:t>
            </w:r>
          </w:p>
        </w:tc>
        <w:tc>
          <w:tcPr>
            <w:tcW w:w="1985" w:type="dxa"/>
            <w:noWrap/>
            <w:hideMark/>
          </w:tcPr>
          <w:p w14:paraId="73E81D7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CHECKMATE 9LA</w:t>
            </w:r>
          </w:p>
        </w:tc>
        <w:tc>
          <w:tcPr>
            <w:tcW w:w="2835" w:type="dxa"/>
            <w:noWrap/>
            <w:hideMark/>
          </w:tcPr>
          <w:p w14:paraId="2ABE3891"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01A37E10" w14:textId="77777777" w:rsidTr="00EA0F21">
        <w:trPr>
          <w:trHeight w:val="290"/>
        </w:trPr>
        <w:tc>
          <w:tcPr>
            <w:tcW w:w="6379" w:type="dxa"/>
            <w:noWrap/>
            <w:hideMark/>
          </w:tcPr>
          <w:p w14:paraId="5BDF3DB7" w14:textId="7A96C6AB" w:rsidR="00EA0F21" w:rsidRPr="004563DE" w:rsidRDefault="00EA0F21" w:rsidP="00EA0F21">
            <w:pPr>
              <w:autoSpaceDE w:val="0"/>
              <w:autoSpaceDN w:val="0"/>
              <w:adjustRightInd w:val="0"/>
              <w:rPr>
                <w:rFonts w:ascii="Times New Roman" w:hAnsi="Times New Roman" w:cs="Times New Roman"/>
                <w:sz w:val="20"/>
                <w:szCs w:val="20"/>
              </w:rPr>
            </w:pPr>
            <w:hyperlink r:id="rId41" w:history="1">
              <w:r w:rsidRPr="004563DE">
                <w:rPr>
                  <w:rStyle w:val="Hyperlink"/>
                  <w:rFonts w:ascii="Times New Roman" w:hAnsi="Times New Roman" w:cs="Times New Roman"/>
                  <w:sz w:val="20"/>
                  <w:szCs w:val="20"/>
                </w:rPr>
                <w:t>Abemaciclib with fulvestrant for treating hormone receptor-positive, HER2-negative advanced breast cancer after endocrine therapy</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{"citationItems":[{"id":"ITEM-1","itemData":{"URL":"https://www.nice.org.uk/guidance/ta725","author":[{"dropping-particle":"","family":"National Institute for Health and Care Excellence (NICE)","given":"","non-dropping-particle":"","parse-names":false,"suffix":""}],"container-title":"NICE website","id":"ITEM-1","issued":{"date-parts":[["2021"]]},"title":"Abemaciclib with fulvestrant for treating hormone receptor-positive, HER2-negative advanced breast cancer after endocrine therapy. Technology appraisal guidance [TA725]","type":"webpage"},"uris":["http://www.mendeley.com/documents/?uuid=125e7e76-cc14-4a20-94f0-7bc98bde830f"]}],"mendeley":{"formattedCitation":"(37)","plainTextFormattedCitation":"(37)","previouslyFormattedCitation":"(35)"},"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(37)</w:t>
            </w:r>
            <w:r w:rsidRPr="004563DE">
              <w:rPr>
                <w:rFonts w:ascii="Times New Roman" w:hAnsi="Times New Roman" w:cs="Times New Roman"/>
                <w:sz w:val="20"/>
                <w:szCs w:val="20"/>
              </w:rPr>
              <w:fldChar w:fldCharType="end"/>
            </w:r>
          </w:p>
        </w:tc>
        <w:tc>
          <w:tcPr>
            <w:tcW w:w="1134" w:type="dxa"/>
            <w:noWrap/>
            <w:hideMark/>
          </w:tcPr>
          <w:p w14:paraId="1E4F7A6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6A17DB5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TA725 (TA579)</w:t>
            </w:r>
          </w:p>
        </w:tc>
        <w:tc>
          <w:tcPr>
            <w:tcW w:w="1134" w:type="dxa"/>
            <w:noWrap/>
            <w:hideMark/>
          </w:tcPr>
          <w:p w14:paraId="3045B613"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CDF</w:t>
            </w:r>
          </w:p>
        </w:tc>
        <w:tc>
          <w:tcPr>
            <w:tcW w:w="1417" w:type="dxa"/>
          </w:tcPr>
          <w:p w14:paraId="527C2D81" w14:textId="2D9CBF28"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BMJ</w:t>
            </w:r>
            <w:r>
              <w:rPr>
                <w:rFonts w:ascii="Times New Roman" w:hAnsi="Times New Roman" w:cs="Times New Roman"/>
                <w:sz w:val="20"/>
                <w:szCs w:val="20"/>
              </w:rPr>
              <w:t>-TAG</w:t>
            </w:r>
          </w:p>
        </w:tc>
        <w:tc>
          <w:tcPr>
            <w:tcW w:w="1985" w:type="dxa"/>
            <w:noWrap/>
            <w:hideMark/>
          </w:tcPr>
          <w:p w14:paraId="6D34B141"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Monarch 2</w:t>
            </w:r>
          </w:p>
        </w:tc>
        <w:tc>
          <w:tcPr>
            <w:tcW w:w="2835" w:type="dxa"/>
            <w:noWrap/>
            <w:hideMark/>
          </w:tcPr>
          <w:p w14:paraId="1980EA2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N</w:t>
            </w:r>
          </w:p>
        </w:tc>
      </w:tr>
      <w:tr w:rsidR="00EA0F21" w:rsidRPr="00133A19" w14:paraId="3FCF7E26" w14:textId="77777777" w:rsidTr="00EA0F21">
        <w:trPr>
          <w:trHeight w:val="290"/>
        </w:trPr>
        <w:tc>
          <w:tcPr>
            <w:tcW w:w="6379" w:type="dxa"/>
            <w:noWrap/>
            <w:hideMark/>
          </w:tcPr>
          <w:p w14:paraId="7827DF83" w14:textId="2394FF9A" w:rsidR="00EA0F21" w:rsidRPr="004563DE" w:rsidRDefault="00EA0F21" w:rsidP="00EA0F21">
            <w:pPr>
              <w:autoSpaceDE w:val="0"/>
              <w:autoSpaceDN w:val="0"/>
              <w:adjustRightInd w:val="0"/>
              <w:rPr>
                <w:rFonts w:ascii="Times New Roman" w:hAnsi="Times New Roman" w:cs="Times New Roman"/>
                <w:sz w:val="20"/>
                <w:szCs w:val="20"/>
              </w:rPr>
            </w:pPr>
            <w:hyperlink r:id="rId42" w:history="1">
              <w:r w:rsidRPr="004563DE">
                <w:rPr>
                  <w:rStyle w:val="Hyperlink"/>
                  <w:rFonts w:ascii="Times New Roman" w:hAnsi="Times New Roman" w:cs="Times New Roman"/>
                  <w:sz w:val="20"/>
                  <w:szCs w:val="20"/>
                </w:rPr>
                <w:t>Pembrolizumab with platinum- and fluoropyrimidine-based chemotherapy for untreated advanced oesophageal and gastro-oesophageal junction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{"citationItems":[{"id":"ITEM-1","itemData":{"URL":"https://www.nice.org.uk/guidance/ta737","author":[{"dropping-particle":"","family":"National Institute for Health and Care Excellence (NICE)","given":"","non-dropping-particle":"","parse-names":false,"suffix":""}],"container-title":"NICE website","id":"ITEM-1","issued":{"date-parts":[["2021"]]},"title":"Pembrolizumab with platinum- and fluoropyrimidine-based chemotherapy for untreated advanced oesophageal and gastro-oesophageal junction cancer. Technology appraisal guidance [TA737]","type":"webpage"},"uris":["http://www.mendeley.com/documents/?uuid=d7301a78-33aa-4cf8-aec2-3cec5245022a"]}],"mendeley":{"formattedCitation":"(38)","plainTextFormattedCitation":"(38)","previouslyFormattedCitation":"(36)"},"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(38)</w:t>
            </w:r>
            <w:r w:rsidRPr="004563DE">
              <w:rPr>
                <w:rFonts w:ascii="Times New Roman" w:hAnsi="Times New Roman" w:cs="Times New Roman"/>
                <w:sz w:val="20"/>
                <w:szCs w:val="20"/>
              </w:rPr>
              <w:fldChar w:fldCharType="end"/>
            </w:r>
          </w:p>
        </w:tc>
        <w:tc>
          <w:tcPr>
            <w:tcW w:w="1134" w:type="dxa"/>
            <w:noWrap/>
            <w:hideMark/>
          </w:tcPr>
          <w:p w14:paraId="2CB68B2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7205C94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TA737</w:t>
            </w:r>
          </w:p>
        </w:tc>
        <w:tc>
          <w:tcPr>
            <w:tcW w:w="1134" w:type="dxa"/>
            <w:noWrap/>
            <w:hideMark/>
          </w:tcPr>
          <w:p w14:paraId="6306E49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40A41338" w14:textId="715E21E4"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PENTAG</w:t>
            </w:r>
          </w:p>
        </w:tc>
        <w:tc>
          <w:tcPr>
            <w:tcW w:w="1985" w:type="dxa"/>
            <w:noWrap/>
            <w:hideMark/>
          </w:tcPr>
          <w:p w14:paraId="48F91C67"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KEYNOTE-590</w:t>
            </w:r>
          </w:p>
        </w:tc>
        <w:tc>
          <w:tcPr>
            <w:tcW w:w="2835" w:type="dxa"/>
            <w:noWrap/>
            <w:hideMark/>
          </w:tcPr>
          <w:p w14:paraId="17C370EA"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6A5B2991" w14:textId="77777777" w:rsidTr="00EA0F21">
        <w:trPr>
          <w:trHeight w:val="290"/>
        </w:trPr>
        <w:tc>
          <w:tcPr>
            <w:tcW w:w="6379" w:type="dxa"/>
            <w:noWrap/>
            <w:hideMark/>
          </w:tcPr>
          <w:p w14:paraId="16275A0A" w14:textId="70A59819" w:rsidR="00EA0F21" w:rsidRPr="004563DE" w:rsidRDefault="00EA0F21" w:rsidP="00EA0F21">
            <w:pPr>
              <w:autoSpaceDE w:val="0"/>
              <w:autoSpaceDN w:val="0"/>
              <w:adjustRightInd w:val="0"/>
              <w:rPr>
                <w:rFonts w:ascii="Times New Roman" w:hAnsi="Times New Roman" w:cs="Times New Roman"/>
                <w:sz w:val="20"/>
                <w:szCs w:val="20"/>
              </w:rPr>
            </w:pPr>
            <w:hyperlink r:id="rId43" w:history="1">
              <w:r w:rsidRPr="004563DE">
                <w:rPr>
                  <w:rStyle w:val="Hyperlink"/>
                  <w:rFonts w:ascii="Times New Roman" w:hAnsi="Times New Roman" w:cs="Times New Roman"/>
                  <w:sz w:val="20"/>
                  <w:szCs w:val="20"/>
                </w:rPr>
                <w:t>Nivolumab for treating recurrent or metastatic squamous cell carcinoma of the head and neck after platinum-based chemotherapy</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{"citationItems":[{"id":"ITEM-1","itemData":{"URL":"https://www.nice.org.uk/guidance/ta736","author":[{"dropping-particle":"","family":"National Institute for Health and Care Excellence (NICE)","given":"","non-dropping-particle":"","parse-names":false,"suffix":""}],"container-title":"NICE website","id":"ITEM-1","issued":{"date-parts":[["2021"]]},"title":"Nivolumab for treating recurrent or metastatic squamous cell carcinoma of the head and neck after platinum-based chemotherapy. Technology appraisal guidance [TA736]","type":"webpage"},"uris":["http://www.mendeley.com/documents/?uuid=e831e57e-57b4-499e-bd42-5ce95bfd1aff"]}],"mendeley":{"formattedCitation":"(39)","plainTextFormattedCitation":"(39)","previouslyFormattedCitation":"(37)"},"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(39)</w:t>
            </w:r>
            <w:r w:rsidRPr="004563DE">
              <w:rPr>
                <w:rFonts w:ascii="Times New Roman" w:hAnsi="Times New Roman" w:cs="Times New Roman"/>
                <w:sz w:val="20"/>
                <w:szCs w:val="20"/>
              </w:rPr>
              <w:fldChar w:fldCharType="end"/>
            </w:r>
          </w:p>
        </w:tc>
        <w:tc>
          <w:tcPr>
            <w:tcW w:w="1134" w:type="dxa"/>
            <w:noWrap/>
            <w:hideMark/>
          </w:tcPr>
          <w:p w14:paraId="7EB5EA2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23E3CC2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TA736 (TA490)</w:t>
            </w:r>
          </w:p>
        </w:tc>
        <w:tc>
          <w:tcPr>
            <w:tcW w:w="1134" w:type="dxa"/>
            <w:noWrap/>
            <w:hideMark/>
          </w:tcPr>
          <w:p w14:paraId="751CD29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CDF</w:t>
            </w:r>
          </w:p>
        </w:tc>
        <w:tc>
          <w:tcPr>
            <w:tcW w:w="1417" w:type="dxa"/>
          </w:tcPr>
          <w:p w14:paraId="26B1720B" w14:textId="43472928"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w:t>
            </w:r>
            <w:r>
              <w:rPr>
                <w:rFonts w:ascii="Times New Roman" w:hAnsi="Times New Roman" w:cs="Times New Roman"/>
                <w:sz w:val="20"/>
                <w:szCs w:val="20"/>
              </w:rPr>
              <w:t>SR</w:t>
            </w:r>
          </w:p>
        </w:tc>
        <w:tc>
          <w:tcPr>
            <w:tcW w:w="1985" w:type="dxa"/>
            <w:noWrap/>
            <w:hideMark/>
          </w:tcPr>
          <w:p w14:paraId="3DE1662C"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CHECKMATE 141</w:t>
            </w:r>
          </w:p>
        </w:tc>
        <w:tc>
          <w:tcPr>
            <w:tcW w:w="2835" w:type="dxa"/>
            <w:noWrap/>
            <w:hideMark/>
          </w:tcPr>
          <w:p w14:paraId="0B1972F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375B4C1F" w14:textId="77777777" w:rsidTr="00EA0F21">
        <w:trPr>
          <w:trHeight w:val="290"/>
        </w:trPr>
        <w:tc>
          <w:tcPr>
            <w:tcW w:w="6379" w:type="dxa"/>
            <w:noWrap/>
            <w:hideMark/>
          </w:tcPr>
          <w:p w14:paraId="46568B59" w14:textId="36A01710" w:rsidR="00EA0F21" w:rsidRPr="004563DE" w:rsidRDefault="00EA0F21" w:rsidP="00EA0F21">
            <w:pPr>
              <w:autoSpaceDE w:val="0"/>
              <w:autoSpaceDN w:val="0"/>
              <w:adjustRightInd w:val="0"/>
              <w:rPr>
                <w:rFonts w:ascii="Times New Roman" w:hAnsi="Times New Roman" w:cs="Times New Roman"/>
                <w:sz w:val="20"/>
                <w:szCs w:val="20"/>
              </w:rPr>
            </w:pPr>
            <w:hyperlink r:id="rId44" w:history="1">
              <w:r w:rsidRPr="004563DE">
                <w:rPr>
                  <w:rStyle w:val="Hyperlink"/>
                  <w:rFonts w:ascii="Times New Roman" w:hAnsi="Times New Roman" w:cs="Times New Roman"/>
                  <w:sz w:val="20"/>
                  <w:szCs w:val="20"/>
                </w:rPr>
                <w:t>Atezolizumab for untreated PD-L1-positive advanced urothelial cancer when cisplatin is unsuitable</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{"citationItems":[{"id":"ITEM-1","itemData":{"URL":"https://www.nice.org.uk/guidance/ta739","author":[{"dropping-particle":"","family":"National Institute for Health and Care Excellence (NICE)","given":"","non-dropping-particle":"","parse-names":false,"suffix":""}],"container-title":"NICE website","id":"ITEM-1","issued":{"date-parts":[["2021"]]},"title":"Atezolizumab for untreated PD-L1-positive advanced urothelial cancer when cisplatin is unsuitable Technology appraisal guidance [TA739]","type":"webpage"},"uris":["http://www.mendeley.com/documents/?uuid=ecc678ff-0c2a-4476-b35e-2f19c0cec9ba"]}],"mendeley":{"formattedCitation":"(40)","plainTextFormattedCitation":"(40)","previouslyFormattedCitation":"(38)"},"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(40)</w:t>
            </w:r>
            <w:r w:rsidRPr="004563DE">
              <w:rPr>
                <w:rFonts w:ascii="Times New Roman" w:hAnsi="Times New Roman" w:cs="Times New Roman"/>
                <w:sz w:val="20"/>
                <w:szCs w:val="20"/>
              </w:rPr>
              <w:fldChar w:fldCharType="end"/>
            </w:r>
          </w:p>
        </w:tc>
        <w:tc>
          <w:tcPr>
            <w:tcW w:w="1134" w:type="dxa"/>
            <w:noWrap/>
            <w:hideMark/>
          </w:tcPr>
          <w:p w14:paraId="012CAFD9"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2A62DB7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TA739 (TA492)</w:t>
            </w:r>
          </w:p>
        </w:tc>
        <w:tc>
          <w:tcPr>
            <w:tcW w:w="1134" w:type="dxa"/>
            <w:noWrap/>
            <w:hideMark/>
          </w:tcPr>
          <w:p w14:paraId="2D8B4B7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CDF</w:t>
            </w:r>
          </w:p>
        </w:tc>
        <w:tc>
          <w:tcPr>
            <w:tcW w:w="1417" w:type="dxa"/>
          </w:tcPr>
          <w:p w14:paraId="035DAFBC" w14:textId="1C02AACA"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w:t>
            </w:r>
            <w:r>
              <w:rPr>
                <w:rFonts w:ascii="Times New Roman" w:hAnsi="Times New Roman" w:cs="Times New Roman"/>
                <w:sz w:val="20"/>
                <w:szCs w:val="20"/>
              </w:rPr>
              <w:t>HTAC</w:t>
            </w:r>
          </w:p>
        </w:tc>
        <w:tc>
          <w:tcPr>
            <w:tcW w:w="1985" w:type="dxa"/>
            <w:noWrap/>
            <w:hideMark/>
          </w:tcPr>
          <w:p w14:paraId="692AD41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IMvigor130</w:t>
            </w:r>
          </w:p>
        </w:tc>
        <w:tc>
          <w:tcPr>
            <w:tcW w:w="2835" w:type="dxa"/>
            <w:noWrap/>
            <w:hideMark/>
          </w:tcPr>
          <w:p w14:paraId="2B17491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7B334BEC" w14:textId="77777777" w:rsidTr="00EA0F21">
        <w:trPr>
          <w:trHeight w:val="290"/>
        </w:trPr>
        <w:tc>
          <w:tcPr>
            <w:tcW w:w="6379" w:type="dxa"/>
            <w:noWrap/>
            <w:hideMark/>
          </w:tcPr>
          <w:p w14:paraId="44842285" w14:textId="688224B2" w:rsidR="00EA0F21" w:rsidRPr="004563DE" w:rsidRDefault="00EA0F21" w:rsidP="00EA0F21">
            <w:pPr>
              <w:autoSpaceDE w:val="0"/>
              <w:autoSpaceDN w:val="0"/>
              <w:adjustRightInd w:val="0"/>
              <w:rPr>
                <w:rFonts w:ascii="Times New Roman" w:hAnsi="Times New Roman" w:cs="Times New Roman"/>
                <w:sz w:val="20"/>
                <w:szCs w:val="20"/>
              </w:rPr>
            </w:pPr>
            <w:hyperlink r:id="rId45" w:history="1">
              <w:r w:rsidRPr="004563DE">
                <w:rPr>
                  <w:rStyle w:val="Hyperlink"/>
                  <w:rFonts w:ascii="Times New Roman" w:hAnsi="Times New Roman" w:cs="Times New Roman"/>
                  <w:sz w:val="20"/>
                  <w:szCs w:val="20"/>
                </w:rPr>
                <w:t>Nivolumab for adjuvant treatment of resected oesophageal or gastro-oesophageal junction cancer</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{"citationItems":[{"id":"ITEM-1","itemData":{"URL":"https://www.nice.org.uk/guidance/ta746","author":[{"dropping-particle":"","family":"National Institute for Health and Care Excellence (NICE)","given":"","non-dropping-particle":"","parse-names":false,"suffix":""}],"container-title":"NICE website","id":"ITEM-1","issued":{"date-parts":[["2021"]]},"title":"Nivolumab for adjuvant treatment of resected oesophageal or gastro-oesophageal junction cancer. Technology appraisal guidance [TA746]","type":"webpage"},"uris":["http://www.mendeley.com/documents/?uuid=dbaf9c8e-5589-4c44-84a7-1b6c48c9c7b0"]}],"mendeley":{"formattedCitation":"(41)","plainTextFormattedCitation":"(41)","previouslyFormattedCitation":"(39)"},"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(41)</w:t>
            </w:r>
            <w:r w:rsidRPr="004563DE">
              <w:rPr>
                <w:rFonts w:ascii="Times New Roman" w:hAnsi="Times New Roman" w:cs="Times New Roman"/>
                <w:sz w:val="20"/>
                <w:szCs w:val="20"/>
              </w:rPr>
              <w:fldChar w:fldCharType="end"/>
            </w:r>
          </w:p>
        </w:tc>
        <w:tc>
          <w:tcPr>
            <w:tcW w:w="1134" w:type="dxa"/>
            <w:noWrap/>
            <w:hideMark/>
          </w:tcPr>
          <w:p w14:paraId="1C2D1951"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0930F978"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TA746</w:t>
            </w:r>
          </w:p>
        </w:tc>
        <w:tc>
          <w:tcPr>
            <w:tcW w:w="1134" w:type="dxa"/>
            <w:noWrap/>
            <w:hideMark/>
          </w:tcPr>
          <w:p w14:paraId="36DF172F"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67D3CAA2" w14:textId="2D5ED742"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w:t>
            </w:r>
            <w:r>
              <w:rPr>
                <w:rFonts w:ascii="Times New Roman" w:hAnsi="Times New Roman" w:cs="Times New Roman"/>
                <w:sz w:val="20"/>
                <w:szCs w:val="20"/>
              </w:rPr>
              <w:t>c</w:t>
            </w:r>
            <w:r w:rsidRPr="004563DE">
              <w:rPr>
                <w:rFonts w:ascii="Times New Roman" w:hAnsi="Times New Roman" w:cs="Times New Roman"/>
                <w:sz w:val="20"/>
                <w:szCs w:val="20"/>
              </w:rPr>
              <w:t>HARR</w:t>
            </w:r>
            <w:r>
              <w:rPr>
                <w:rFonts w:ascii="Times New Roman" w:hAnsi="Times New Roman" w:cs="Times New Roman"/>
                <w:sz w:val="20"/>
                <w:szCs w:val="20"/>
              </w:rPr>
              <w:t>-TAG</w:t>
            </w:r>
          </w:p>
        </w:tc>
        <w:tc>
          <w:tcPr>
            <w:tcW w:w="1985" w:type="dxa"/>
            <w:noWrap/>
            <w:hideMark/>
          </w:tcPr>
          <w:p w14:paraId="54C803D0"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CHECKMATE 577</w:t>
            </w:r>
          </w:p>
        </w:tc>
        <w:tc>
          <w:tcPr>
            <w:tcW w:w="2835" w:type="dxa"/>
            <w:noWrap/>
            <w:hideMark/>
          </w:tcPr>
          <w:p w14:paraId="18471D14"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r w:rsidR="00EA0F21" w:rsidRPr="00133A19" w14:paraId="25F4983A" w14:textId="77777777" w:rsidTr="00EA0F21">
        <w:trPr>
          <w:trHeight w:val="290"/>
        </w:trPr>
        <w:tc>
          <w:tcPr>
            <w:tcW w:w="6379" w:type="dxa"/>
            <w:noWrap/>
            <w:hideMark/>
          </w:tcPr>
          <w:p w14:paraId="79F49DC2" w14:textId="5EC456D9" w:rsidR="00EA0F21" w:rsidRPr="004563DE" w:rsidRDefault="00EA0F21" w:rsidP="00EA0F21">
            <w:pPr>
              <w:autoSpaceDE w:val="0"/>
              <w:autoSpaceDN w:val="0"/>
              <w:adjustRightInd w:val="0"/>
              <w:rPr>
                <w:rFonts w:ascii="Times New Roman" w:hAnsi="Times New Roman" w:cs="Times New Roman"/>
                <w:sz w:val="20"/>
                <w:szCs w:val="20"/>
              </w:rPr>
            </w:pPr>
            <w:hyperlink r:id="rId46" w:history="1">
              <w:r w:rsidRPr="004563DE">
                <w:rPr>
                  <w:rStyle w:val="Hyperlink"/>
                  <w:rFonts w:ascii="Times New Roman" w:hAnsi="Times New Roman" w:cs="Times New Roman"/>
                  <w:sz w:val="20"/>
                  <w:szCs w:val="20"/>
                </w:rPr>
                <w:t>Mogamulizumab for previously treated mycosis fungoides and Sézary syndrome</w:t>
              </w:r>
            </w:hyperlink>
            <w:r w:rsidRPr="004563DE">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{"citationItems":[{"id":"ITEM-1","itemData":{"URL":"https://www.nice.org.uk/guidance/ta754","author":[{"dropping-particle":"","family":"National Institute for Health and Care Excellence (NICE)","given":"","non-dropping-particle":"","parse-names":false,"suffix":""}],"container-title":"NICE website","id":"ITEM-1","issued":{"date-parts":[["2021"]]},"title":"Mogamulizumab for previously treated mycosis fungoides and Sézary syndrome. Technology appraisal guidance [TA754]","type":"webpage"},"uris":["http://www.mendeley.com/documents/?uuid=b6249e3f-ee8d-4a2c-aab8-818f7022c86c"]}],"mendeley":{"formattedCitation":"(42)","plainTextFormattedCitation":"(42)","previouslyFormattedCitation":"(40)"},"properties":{"noteIndex":0},"schema":"https://github.com/citation-style-language/schema/raw/master/csl-citation.json"}</w:instrText>
            </w:r>
            <w:r w:rsidRPr="004563DE">
              <w:rPr>
                <w:rFonts w:ascii="Times New Roman" w:hAnsi="Times New Roman" w:cs="Times New Roman"/>
                <w:sz w:val="20"/>
                <w:szCs w:val="20"/>
              </w:rPr>
              <w:fldChar w:fldCharType="separate"/>
            </w:r>
            <w:r w:rsidRPr="00A81E67">
              <w:rPr>
                <w:rFonts w:ascii="Times New Roman" w:hAnsi="Times New Roman" w:cs="Times New Roman"/>
                <w:noProof/>
                <w:sz w:val="20"/>
                <w:szCs w:val="20"/>
              </w:rPr>
              <w:t>(42)</w:t>
            </w:r>
            <w:r w:rsidRPr="004563DE">
              <w:rPr>
                <w:rFonts w:ascii="Times New Roman" w:hAnsi="Times New Roman" w:cs="Times New Roman"/>
                <w:sz w:val="20"/>
                <w:szCs w:val="20"/>
              </w:rPr>
              <w:fldChar w:fldCharType="end"/>
            </w:r>
          </w:p>
        </w:tc>
        <w:tc>
          <w:tcPr>
            <w:tcW w:w="1134" w:type="dxa"/>
            <w:noWrap/>
            <w:hideMark/>
          </w:tcPr>
          <w:p w14:paraId="38551396"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2021</w:t>
            </w:r>
          </w:p>
        </w:tc>
        <w:tc>
          <w:tcPr>
            <w:tcW w:w="1418" w:type="dxa"/>
            <w:noWrap/>
            <w:hideMark/>
          </w:tcPr>
          <w:p w14:paraId="32DD41ED"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TA754</w:t>
            </w:r>
          </w:p>
        </w:tc>
        <w:tc>
          <w:tcPr>
            <w:tcW w:w="1134" w:type="dxa"/>
            <w:noWrap/>
            <w:hideMark/>
          </w:tcPr>
          <w:p w14:paraId="6D36F22B"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STA</w:t>
            </w:r>
          </w:p>
        </w:tc>
        <w:tc>
          <w:tcPr>
            <w:tcW w:w="1417" w:type="dxa"/>
          </w:tcPr>
          <w:p w14:paraId="15F72220" w14:textId="2A74CA95"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K</w:t>
            </w:r>
            <w:r>
              <w:rPr>
                <w:rFonts w:ascii="Times New Roman" w:hAnsi="Times New Roman" w:cs="Times New Roman"/>
                <w:sz w:val="20"/>
                <w:szCs w:val="20"/>
              </w:rPr>
              <w:t>SR</w:t>
            </w:r>
          </w:p>
        </w:tc>
        <w:tc>
          <w:tcPr>
            <w:tcW w:w="1985" w:type="dxa"/>
            <w:noWrap/>
            <w:hideMark/>
          </w:tcPr>
          <w:p w14:paraId="30245E2E"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MAVORIC</w:t>
            </w:r>
          </w:p>
        </w:tc>
        <w:tc>
          <w:tcPr>
            <w:tcW w:w="2835" w:type="dxa"/>
            <w:noWrap/>
            <w:hideMark/>
          </w:tcPr>
          <w:p w14:paraId="7E3DDA82" w14:textId="77777777" w:rsidR="00EA0F21" w:rsidRPr="004563DE" w:rsidRDefault="00EA0F21" w:rsidP="00EA0F21">
            <w:pPr>
              <w:autoSpaceDE w:val="0"/>
              <w:autoSpaceDN w:val="0"/>
              <w:adjustRightInd w:val="0"/>
              <w:jc w:val="center"/>
              <w:rPr>
                <w:rFonts w:ascii="Times New Roman" w:hAnsi="Times New Roman" w:cs="Times New Roman"/>
                <w:sz w:val="20"/>
                <w:szCs w:val="20"/>
              </w:rPr>
            </w:pPr>
            <w:r w:rsidRPr="004563DE">
              <w:rPr>
                <w:rFonts w:ascii="Times New Roman" w:hAnsi="Times New Roman" w:cs="Times New Roman"/>
                <w:sz w:val="20"/>
                <w:szCs w:val="20"/>
              </w:rPr>
              <w:t>Y</w:t>
            </w:r>
          </w:p>
        </w:tc>
      </w:tr>
    </w:tbl>
    <w:p w14:paraId="3380AB3C" w14:textId="77777777" w:rsidR="006F2846" w:rsidRPr="00133A19" w:rsidRDefault="006F2846" w:rsidP="006F2846">
      <w:pPr>
        <w:autoSpaceDE w:val="0"/>
        <w:autoSpaceDN w:val="0"/>
        <w:adjustRightInd w:val="0"/>
        <w:spacing w:after="0" w:line="480" w:lineRule="auto"/>
        <w:rPr>
          <w:rFonts w:ascii="Times New Roman" w:hAnsi="Times New Roman" w:cs="Times New Roman"/>
          <w:sz w:val="24"/>
          <w:szCs w:val="24"/>
        </w:rPr>
      </w:pPr>
    </w:p>
    <w:p w14:paraId="6A35DF2E" w14:textId="05997879" w:rsidR="006F2846" w:rsidRPr="006E3509" w:rsidRDefault="006E35EB" w:rsidP="006F2846">
      <w:pPr>
        <w:autoSpaceDE w:val="0"/>
        <w:autoSpaceDN w:val="0"/>
        <w:adjustRightInd w:val="0"/>
        <w:spacing w:after="0" w:line="480" w:lineRule="auto"/>
        <w:rPr>
          <w:rFonts w:ascii="Times New Roman" w:hAnsi="Times New Roman" w:cs="Times New Roman"/>
          <w:i/>
          <w:iCs/>
          <w:sz w:val="24"/>
          <w:szCs w:val="24"/>
        </w:rPr>
      </w:pPr>
      <w:r>
        <w:rPr>
          <w:rFonts w:ascii="Times New Roman" w:hAnsi="Times New Roman" w:cs="Times New Roman"/>
          <w:b/>
          <w:bCs/>
          <w:i/>
          <w:iCs/>
          <w:sz w:val="24"/>
          <w:szCs w:val="24"/>
        </w:rPr>
        <w:t xml:space="preserve">Supplementary </w:t>
      </w:r>
      <w:r w:rsidR="006F2846" w:rsidRPr="006E3509">
        <w:rPr>
          <w:rFonts w:ascii="Times New Roman" w:hAnsi="Times New Roman" w:cs="Times New Roman"/>
          <w:b/>
          <w:bCs/>
          <w:i/>
          <w:iCs/>
          <w:sz w:val="24"/>
          <w:szCs w:val="24"/>
        </w:rPr>
        <w:t xml:space="preserve">Table 1: </w:t>
      </w:r>
      <w:r w:rsidR="006F2846" w:rsidRPr="004604E0">
        <w:rPr>
          <w:rFonts w:ascii="Times New Roman" w:hAnsi="Times New Roman" w:cs="Times New Roman"/>
          <w:b/>
          <w:bCs/>
          <w:i/>
          <w:iCs/>
          <w:sz w:val="24"/>
          <w:szCs w:val="24"/>
        </w:rPr>
        <w:t>Technology appraisals included in the review</w:t>
      </w:r>
      <w:r w:rsidR="006F2846" w:rsidRPr="006E3509">
        <w:rPr>
          <w:rFonts w:ascii="Times New Roman" w:hAnsi="Times New Roman" w:cs="Times New Roman"/>
          <w:i/>
          <w:iCs/>
          <w:sz w:val="24"/>
          <w:szCs w:val="24"/>
        </w:rPr>
        <w:t>.</w:t>
      </w:r>
      <w:r w:rsidR="006F2846">
        <w:rPr>
          <w:rFonts w:ascii="Times New Roman" w:hAnsi="Times New Roman" w:cs="Times New Roman"/>
          <w:i/>
          <w:iCs/>
          <w:sz w:val="24"/>
          <w:szCs w:val="24"/>
        </w:rPr>
        <w:t xml:space="preserve"> </w:t>
      </w:r>
      <w:r w:rsidR="000A1E1C">
        <w:rPr>
          <w:rFonts w:ascii="Times New Roman" w:hAnsi="Times New Roman" w:cs="Times New Roman"/>
          <w:i/>
          <w:iCs/>
          <w:sz w:val="24"/>
          <w:szCs w:val="24"/>
        </w:rPr>
        <w:t>References included</w:t>
      </w:r>
      <w:r w:rsidR="004A41BA">
        <w:rPr>
          <w:rFonts w:ascii="Times New Roman" w:hAnsi="Times New Roman" w:cs="Times New Roman"/>
          <w:i/>
          <w:iCs/>
          <w:sz w:val="24"/>
          <w:szCs w:val="24"/>
        </w:rPr>
        <w:t xml:space="preserve"> at end of supplement</w:t>
      </w:r>
      <w:r w:rsidR="000A1E1C">
        <w:rPr>
          <w:rFonts w:ascii="Times New Roman" w:hAnsi="Times New Roman" w:cs="Times New Roman"/>
          <w:i/>
          <w:iCs/>
          <w:sz w:val="24"/>
          <w:szCs w:val="24"/>
        </w:rPr>
        <w:t xml:space="preserve">. </w:t>
      </w:r>
      <w:r w:rsidR="006F2846">
        <w:rPr>
          <w:rFonts w:ascii="Times New Roman" w:hAnsi="Times New Roman" w:cs="Times New Roman"/>
          <w:i/>
          <w:iCs/>
          <w:sz w:val="24"/>
          <w:szCs w:val="24"/>
        </w:rPr>
        <w:t>Note for CDF reviews the original appraisal is included in parenthesis. TA=Technology appraisal; ERG=Evidence Review Group; PH=Proportional Hazard; STA=Single Technology Appraisal; CDF= Cancer Drugs Fund review</w:t>
      </w:r>
      <w:r w:rsidR="00C558C4">
        <w:rPr>
          <w:rFonts w:ascii="Times New Roman" w:hAnsi="Times New Roman" w:cs="Times New Roman"/>
          <w:i/>
          <w:iCs/>
          <w:sz w:val="24"/>
          <w:szCs w:val="24"/>
        </w:rPr>
        <w:t xml:space="preserve">; </w:t>
      </w:r>
      <w:r w:rsidR="00C558C4">
        <w:rPr>
          <w:rFonts w:ascii="Times New Roman" w:hAnsi="Times New Roman" w:cs="Times New Roman"/>
          <w:i/>
          <w:iCs/>
          <w:sz w:val="24"/>
          <w:szCs w:val="24"/>
        </w:rPr>
        <w:t xml:space="preserve">PENTAG=Peninsula Technology Assessment Group (University of Exeter); ScHARR-TAG=School of Health and Related Research Technology Assessment Group (University of Sheffield); BMJ-TAG=British Medical Journal Technology Assessment Group; </w:t>
      </w:r>
      <w:proofErr w:type="spellStart"/>
      <w:r w:rsidR="00C558C4">
        <w:rPr>
          <w:rFonts w:ascii="Times New Roman" w:hAnsi="Times New Roman" w:cs="Times New Roman"/>
          <w:i/>
          <w:iCs/>
          <w:sz w:val="24"/>
          <w:szCs w:val="24"/>
        </w:rPr>
        <w:t>LRiG</w:t>
      </w:r>
      <w:proofErr w:type="spellEnd"/>
      <w:r w:rsidR="00C558C4">
        <w:rPr>
          <w:rFonts w:ascii="Times New Roman" w:hAnsi="Times New Roman" w:cs="Times New Roman"/>
          <w:i/>
          <w:iCs/>
          <w:sz w:val="24"/>
          <w:szCs w:val="24"/>
        </w:rPr>
        <w:t>=Liverpool Reviews and Implementation Group (University of Liverpool); SHTAC=Southampton Health Technology Assessment Centre (University of Southampton); KSR=Kleijnen Systematic Reviews; HERU/</w:t>
      </w:r>
      <w:r w:rsidR="00C558C4" w:rsidRPr="00874BCB">
        <w:rPr>
          <w:rFonts w:ascii="Times New Roman" w:hAnsi="Times New Roman" w:cs="Times New Roman"/>
          <w:i/>
          <w:iCs/>
          <w:sz w:val="24"/>
          <w:szCs w:val="24"/>
        </w:rPr>
        <w:t>HSRU=Health Economics Research Unit and Health Services Research Unit</w:t>
      </w:r>
      <w:r w:rsidR="00C558C4">
        <w:rPr>
          <w:rFonts w:ascii="Times New Roman" w:hAnsi="Times New Roman" w:cs="Times New Roman"/>
          <w:i/>
          <w:iCs/>
          <w:sz w:val="24"/>
          <w:szCs w:val="24"/>
        </w:rPr>
        <w:t xml:space="preserve"> (</w:t>
      </w:r>
      <w:r w:rsidR="00C558C4" w:rsidRPr="00874BCB">
        <w:rPr>
          <w:rFonts w:ascii="Times New Roman" w:hAnsi="Times New Roman" w:cs="Times New Roman"/>
          <w:i/>
          <w:iCs/>
          <w:sz w:val="24"/>
          <w:szCs w:val="24"/>
        </w:rPr>
        <w:t>University of Aberdeen</w:t>
      </w:r>
      <w:r w:rsidR="00C558C4">
        <w:rPr>
          <w:rFonts w:ascii="Times New Roman" w:hAnsi="Times New Roman" w:cs="Times New Roman"/>
          <w:i/>
          <w:iCs/>
          <w:sz w:val="24"/>
          <w:szCs w:val="24"/>
        </w:rPr>
        <w:t>); CRD/CHE</w:t>
      </w:r>
      <w:r w:rsidR="00C558C4" w:rsidRPr="00874BCB">
        <w:rPr>
          <w:rFonts w:ascii="Times New Roman" w:hAnsi="Times New Roman" w:cs="Times New Roman"/>
          <w:i/>
          <w:iCs/>
          <w:sz w:val="24"/>
          <w:szCs w:val="24"/>
        </w:rPr>
        <w:t>= Centre for Reviews and Dissemination (CRD) and Centre for Health Economics (CHE)</w:t>
      </w:r>
      <w:r w:rsidR="00C558C4">
        <w:rPr>
          <w:rFonts w:ascii="Times New Roman" w:hAnsi="Times New Roman" w:cs="Times New Roman"/>
          <w:i/>
          <w:iCs/>
          <w:sz w:val="24"/>
          <w:szCs w:val="24"/>
        </w:rPr>
        <w:t xml:space="preserve"> (</w:t>
      </w:r>
      <w:r w:rsidR="00C558C4" w:rsidRPr="00874BCB">
        <w:rPr>
          <w:rFonts w:ascii="Times New Roman" w:hAnsi="Times New Roman" w:cs="Times New Roman"/>
          <w:i/>
          <w:iCs/>
          <w:sz w:val="24"/>
          <w:szCs w:val="24"/>
        </w:rPr>
        <w:t>University of York</w:t>
      </w:r>
      <w:r w:rsidR="00C558C4">
        <w:rPr>
          <w:rFonts w:ascii="Times New Roman" w:hAnsi="Times New Roman" w:cs="Times New Roman"/>
          <w:i/>
          <w:iCs/>
          <w:sz w:val="24"/>
          <w:szCs w:val="24"/>
        </w:rPr>
        <w:t>)</w:t>
      </w:r>
    </w:p>
    <w:bookmarkEnd w:id="0"/>
    <w:p w14:paraId="2FBFE55E" w14:textId="77777777" w:rsidR="006F2846" w:rsidRPr="00133A19" w:rsidRDefault="006F2846" w:rsidP="006F2846">
      <w:pPr>
        <w:autoSpaceDE w:val="0"/>
        <w:autoSpaceDN w:val="0"/>
        <w:adjustRightInd w:val="0"/>
        <w:spacing w:after="0" w:line="480" w:lineRule="auto"/>
        <w:rPr>
          <w:rFonts w:ascii="Times New Roman" w:hAnsi="Times New Roman" w:cs="Times New Roman"/>
          <w:sz w:val="24"/>
          <w:szCs w:val="24"/>
        </w:rPr>
      </w:pPr>
    </w:p>
    <w:p w14:paraId="6FCF1213" w14:textId="77777777" w:rsidR="006F2846" w:rsidRPr="00133A19" w:rsidRDefault="006F2846" w:rsidP="006F2846">
      <w:pPr>
        <w:autoSpaceDE w:val="0"/>
        <w:autoSpaceDN w:val="0"/>
        <w:adjustRightInd w:val="0"/>
        <w:spacing w:after="0" w:line="480" w:lineRule="auto"/>
        <w:rPr>
          <w:rFonts w:ascii="Times New Roman" w:hAnsi="Times New Roman" w:cs="Times New Roman"/>
          <w:sz w:val="24"/>
          <w:szCs w:val="24"/>
        </w:rPr>
      </w:pPr>
    </w:p>
    <w:p w14:paraId="4BCFF094" w14:textId="034D4BFD" w:rsidR="00352ADC" w:rsidRDefault="00352ADC" w:rsidP="006F2846">
      <w:pPr>
        <w:spacing w:line="480" w:lineRule="auto"/>
        <w:rPr>
          <w:rFonts w:ascii="Times New Roman" w:hAnsi="Times New Roman" w:cs="Times New Roman"/>
          <w:sz w:val="24"/>
          <w:szCs w:val="24"/>
        </w:rPr>
      </w:pPr>
    </w:p>
    <w:p w14:paraId="7E1799C9" w14:textId="74E65678" w:rsidR="00352ADC" w:rsidRPr="00133A19" w:rsidRDefault="00352ADC" w:rsidP="006F2846">
      <w:pPr>
        <w:spacing w:line="480" w:lineRule="auto"/>
        <w:rPr>
          <w:rFonts w:ascii="Times New Roman" w:hAnsi="Times New Roman" w:cs="Times New Roman"/>
          <w:sz w:val="24"/>
          <w:szCs w:val="24"/>
        </w:rPr>
        <w:sectPr w:rsidR="00352ADC" w:rsidRPr="00133A19" w:rsidSect="00A00683">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4673"/>
        <w:gridCol w:w="4343"/>
      </w:tblGrid>
      <w:tr w:rsidR="006F2846" w:rsidRPr="00133A19" w14:paraId="25C2028E" w14:textId="77777777" w:rsidTr="00FE1953">
        <w:tc>
          <w:tcPr>
            <w:tcW w:w="4673" w:type="dxa"/>
            <w:shd w:val="clear" w:color="auto" w:fill="FFFFFF" w:themeFill="background1"/>
          </w:tcPr>
          <w:p w14:paraId="6A73A3BC" w14:textId="77777777" w:rsidR="006F2846" w:rsidRPr="004563DE" w:rsidRDefault="006F2846" w:rsidP="00FE1953">
            <w:pPr>
              <w:spacing w:line="480" w:lineRule="auto"/>
              <w:rPr>
                <w:rFonts w:ascii="Times New Roman" w:hAnsi="Times New Roman" w:cs="Times New Roman"/>
                <w:b/>
                <w:bCs/>
                <w:sz w:val="20"/>
                <w:szCs w:val="20"/>
              </w:rPr>
            </w:pPr>
            <w:r w:rsidRPr="004563DE">
              <w:rPr>
                <w:rFonts w:ascii="Times New Roman" w:hAnsi="Times New Roman" w:cs="Times New Roman"/>
                <w:b/>
                <w:bCs/>
                <w:sz w:val="20"/>
                <w:szCs w:val="20"/>
              </w:rPr>
              <w:lastRenderedPageBreak/>
              <w:t>Criterion</w:t>
            </w:r>
          </w:p>
        </w:tc>
        <w:tc>
          <w:tcPr>
            <w:tcW w:w="4343" w:type="dxa"/>
            <w:shd w:val="clear" w:color="auto" w:fill="FFFFFF" w:themeFill="background1"/>
          </w:tcPr>
          <w:p w14:paraId="715D5CE7" w14:textId="77777777" w:rsidR="006F2846" w:rsidRPr="004563DE" w:rsidRDefault="006F2846" w:rsidP="00FE1953">
            <w:pPr>
              <w:spacing w:line="480" w:lineRule="auto"/>
              <w:rPr>
                <w:rFonts w:ascii="Times New Roman" w:hAnsi="Times New Roman" w:cs="Times New Roman"/>
                <w:b/>
                <w:bCs/>
                <w:sz w:val="20"/>
                <w:szCs w:val="20"/>
              </w:rPr>
            </w:pPr>
            <w:r w:rsidRPr="004563DE">
              <w:rPr>
                <w:rFonts w:ascii="Times New Roman" w:hAnsi="Times New Roman" w:cs="Times New Roman"/>
                <w:b/>
                <w:bCs/>
                <w:sz w:val="20"/>
                <w:szCs w:val="20"/>
              </w:rPr>
              <w:t>Response</w:t>
            </w:r>
          </w:p>
        </w:tc>
      </w:tr>
      <w:tr w:rsidR="006F2846" w:rsidRPr="00133A19" w14:paraId="63065AFF" w14:textId="77777777" w:rsidTr="00FE1953">
        <w:tc>
          <w:tcPr>
            <w:tcW w:w="9016" w:type="dxa"/>
            <w:gridSpan w:val="2"/>
            <w:shd w:val="clear" w:color="auto" w:fill="D0CECE" w:themeFill="background2" w:themeFillShade="E6"/>
          </w:tcPr>
          <w:p w14:paraId="1EE8C626" w14:textId="77777777" w:rsidR="006F2846" w:rsidRPr="004563DE" w:rsidRDefault="006F2846" w:rsidP="00FE1953">
            <w:pPr>
              <w:spacing w:line="480" w:lineRule="auto"/>
              <w:rPr>
                <w:rFonts w:ascii="Times New Roman" w:hAnsi="Times New Roman" w:cs="Times New Roman"/>
                <w:i/>
                <w:iCs/>
                <w:sz w:val="20"/>
                <w:szCs w:val="20"/>
              </w:rPr>
            </w:pPr>
            <w:r w:rsidRPr="004563DE">
              <w:rPr>
                <w:rFonts w:ascii="Times New Roman" w:hAnsi="Times New Roman" w:cs="Times New Roman"/>
                <w:i/>
                <w:iCs/>
                <w:sz w:val="20"/>
                <w:szCs w:val="20"/>
              </w:rPr>
              <w:t>Regarding PH testing:</w:t>
            </w:r>
          </w:p>
        </w:tc>
      </w:tr>
      <w:tr w:rsidR="006F2846" w:rsidRPr="00133A19" w14:paraId="3374DA06" w14:textId="77777777" w:rsidTr="00FE1953">
        <w:tc>
          <w:tcPr>
            <w:tcW w:w="4673" w:type="dxa"/>
          </w:tcPr>
          <w:p w14:paraId="05DDD583"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PH testing method used</w:t>
            </w:r>
          </w:p>
        </w:tc>
        <w:tc>
          <w:tcPr>
            <w:tcW w:w="4343" w:type="dxa"/>
          </w:tcPr>
          <w:p w14:paraId="2A54B325"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Log</w:t>
            </w:r>
            <w:r>
              <w:rPr>
                <w:rFonts w:ascii="Times New Roman" w:hAnsi="Times New Roman" w:cs="Times New Roman"/>
                <w:sz w:val="20"/>
                <w:szCs w:val="20"/>
              </w:rPr>
              <w:t>-</w:t>
            </w:r>
            <w:r w:rsidRPr="004563DE">
              <w:rPr>
                <w:rFonts w:ascii="Times New Roman" w:hAnsi="Times New Roman" w:cs="Times New Roman"/>
                <w:sz w:val="20"/>
                <w:szCs w:val="20"/>
              </w:rPr>
              <w:t>cumulative hazard plot</w:t>
            </w:r>
          </w:p>
          <w:p w14:paraId="0E6960E5"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Schoenfeld residual</w:t>
            </w:r>
          </w:p>
          <w:p w14:paraId="7BB6EB7B"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Other</w:t>
            </w:r>
          </w:p>
        </w:tc>
      </w:tr>
      <w:tr w:rsidR="006F2846" w:rsidRPr="00133A19" w14:paraId="72F8C3C5" w14:textId="77777777" w:rsidTr="00FE1953">
        <w:tc>
          <w:tcPr>
            <w:tcW w:w="4673" w:type="dxa"/>
          </w:tcPr>
          <w:p w14:paraId="24DCFA43"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 xml:space="preserve">Company and ERG agree on PH testing method? </w:t>
            </w:r>
          </w:p>
        </w:tc>
        <w:tc>
          <w:tcPr>
            <w:tcW w:w="4343" w:type="dxa"/>
          </w:tcPr>
          <w:p w14:paraId="4C79AD43"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Yes/No</w:t>
            </w:r>
          </w:p>
        </w:tc>
      </w:tr>
      <w:tr w:rsidR="006F2846" w:rsidRPr="00133A19" w14:paraId="20002F16" w14:textId="77777777" w:rsidTr="00FE1953">
        <w:tc>
          <w:tcPr>
            <w:tcW w:w="4673" w:type="dxa"/>
          </w:tcPr>
          <w:p w14:paraId="4C7B5400"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Company and ERG agree on PH testing outcome?</w:t>
            </w:r>
          </w:p>
        </w:tc>
        <w:tc>
          <w:tcPr>
            <w:tcW w:w="4343" w:type="dxa"/>
          </w:tcPr>
          <w:p w14:paraId="32527285"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Yes/No</w:t>
            </w:r>
          </w:p>
        </w:tc>
      </w:tr>
      <w:tr w:rsidR="006F2846" w:rsidRPr="00133A19" w14:paraId="4D1C9E11" w14:textId="77777777" w:rsidTr="00FE1953">
        <w:tc>
          <w:tcPr>
            <w:tcW w:w="4673" w:type="dxa"/>
          </w:tcPr>
          <w:p w14:paraId="421B1F81"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Presence of NPH for OS</w:t>
            </w:r>
          </w:p>
        </w:tc>
        <w:tc>
          <w:tcPr>
            <w:tcW w:w="4343" w:type="dxa"/>
          </w:tcPr>
          <w:p w14:paraId="259480C4"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Yes/No</w:t>
            </w:r>
          </w:p>
        </w:tc>
      </w:tr>
      <w:tr w:rsidR="006F2846" w:rsidRPr="00133A19" w14:paraId="2D0DA7D2" w14:textId="77777777" w:rsidTr="00FE1953">
        <w:tc>
          <w:tcPr>
            <w:tcW w:w="4673" w:type="dxa"/>
          </w:tcPr>
          <w:p w14:paraId="5DE8DB39"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Presence of NPH for PFS</w:t>
            </w:r>
          </w:p>
        </w:tc>
        <w:tc>
          <w:tcPr>
            <w:tcW w:w="4343" w:type="dxa"/>
          </w:tcPr>
          <w:p w14:paraId="492F0CDF"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Yes/No</w:t>
            </w:r>
          </w:p>
        </w:tc>
      </w:tr>
      <w:tr w:rsidR="006F2846" w:rsidRPr="00133A19" w14:paraId="198341DF" w14:textId="77777777" w:rsidTr="00FE1953">
        <w:tc>
          <w:tcPr>
            <w:tcW w:w="9016" w:type="dxa"/>
            <w:gridSpan w:val="2"/>
            <w:shd w:val="clear" w:color="auto" w:fill="D0CECE" w:themeFill="background2" w:themeFillShade="E6"/>
          </w:tcPr>
          <w:p w14:paraId="7FEBF0D6" w14:textId="77777777" w:rsidR="006F2846" w:rsidRPr="004563DE" w:rsidRDefault="006F2846" w:rsidP="00FE1953">
            <w:pPr>
              <w:spacing w:line="480" w:lineRule="auto"/>
              <w:rPr>
                <w:rFonts w:ascii="Times New Roman" w:hAnsi="Times New Roman" w:cs="Times New Roman"/>
                <w:i/>
                <w:iCs/>
                <w:sz w:val="20"/>
                <w:szCs w:val="20"/>
              </w:rPr>
            </w:pPr>
            <w:r w:rsidRPr="004563DE">
              <w:rPr>
                <w:rFonts w:ascii="Times New Roman" w:hAnsi="Times New Roman" w:cs="Times New Roman"/>
                <w:i/>
                <w:iCs/>
                <w:sz w:val="20"/>
                <w:szCs w:val="20"/>
              </w:rPr>
              <w:t>When PH assumption violated:</w:t>
            </w:r>
          </w:p>
        </w:tc>
      </w:tr>
      <w:tr w:rsidR="006F2846" w:rsidRPr="00133A19" w14:paraId="721FE1BD" w14:textId="77777777" w:rsidTr="00FE1953">
        <w:tc>
          <w:tcPr>
            <w:tcW w:w="4673" w:type="dxa"/>
          </w:tcPr>
          <w:p w14:paraId="5B82D2DD"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Outcome measures reported in company submission/ERG report</w:t>
            </w:r>
          </w:p>
        </w:tc>
        <w:tc>
          <w:tcPr>
            <w:tcW w:w="4343" w:type="dxa"/>
          </w:tcPr>
          <w:p w14:paraId="44E053BB"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Hazard ratio</w:t>
            </w:r>
          </w:p>
          <w:p w14:paraId="6CF918E7"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Log</w:t>
            </w:r>
            <w:r>
              <w:rPr>
                <w:rFonts w:ascii="Times New Roman" w:hAnsi="Times New Roman" w:cs="Times New Roman"/>
                <w:sz w:val="20"/>
                <w:szCs w:val="20"/>
              </w:rPr>
              <w:t>-</w:t>
            </w:r>
            <w:r w:rsidRPr="004563DE">
              <w:rPr>
                <w:rFonts w:ascii="Times New Roman" w:hAnsi="Times New Roman" w:cs="Times New Roman"/>
                <w:sz w:val="20"/>
                <w:szCs w:val="20"/>
              </w:rPr>
              <w:t>rank</w:t>
            </w:r>
          </w:p>
          <w:p w14:paraId="2B3D4C4E"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Median</w:t>
            </w:r>
          </w:p>
          <w:p w14:paraId="69A525DF"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Landmark/percentile</w:t>
            </w:r>
          </w:p>
          <w:p w14:paraId="7FAADE89"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RMST</w:t>
            </w:r>
          </w:p>
          <w:p w14:paraId="592817A4"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Other</w:t>
            </w:r>
          </w:p>
        </w:tc>
      </w:tr>
      <w:tr w:rsidR="006F2846" w:rsidRPr="00133A19" w14:paraId="7452A239" w14:textId="77777777" w:rsidTr="00FE1953">
        <w:tc>
          <w:tcPr>
            <w:tcW w:w="4673" w:type="dxa"/>
          </w:tcPr>
          <w:p w14:paraId="4C2416D5"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Use of HR critiqued in company submission</w:t>
            </w:r>
          </w:p>
        </w:tc>
        <w:tc>
          <w:tcPr>
            <w:tcW w:w="4343" w:type="dxa"/>
          </w:tcPr>
          <w:p w14:paraId="1F8CB6EF"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Yes/No</w:t>
            </w:r>
          </w:p>
        </w:tc>
      </w:tr>
      <w:tr w:rsidR="006F2846" w:rsidRPr="00133A19" w14:paraId="08C41EC7" w14:textId="77777777" w:rsidTr="00FE1953">
        <w:tc>
          <w:tcPr>
            <w:tcW w:w="4673" w:type="dxa"/>
          </w:tcPr>
          <w:p w14:paraId="212655C7"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Use of HR critiqued in ERG report</w:t>
            </w:r>
          </w:p>
        </w:tc>
        <w:tc>
          <w:tcPr>
            <w:tcW w:w="4343" w:type="dxa"/>
          </w:tcPr>
          <w:p w14:paraId="56B56A84"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Yes/No</w:t>
            </w:r>
          </w:p>
        </w:tc>
      </w:tr>
      <w:tr w:rsidR="006F2846" w:rsidRPr="00133A19" w14:paraId="655088FA" w14:textId="77777777" w:rsidTr="00FE1953">
        <w:tc>
          <w:tcPr>
            <w:tcW w:w="4673" w:type="dxa"/>
          </w:tcPr>
          <w:p w14:paraId="66DD5D15"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NPH discussed in FAD</w:t>
            </w:r>
          </w:p>
        </w:tc>
        <w:tc>
          <w:tcPr>
            <w:tcW w:w="4343" w:type="dxa"/>
          </w:tcPr>
          <w:p w14:paraId="5548CF96"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Yes/No</w:t>
            </w:r>
          </w:p>
        </w:tc>
      </w:tr>
      <w:tr w:rsidR="006F2846" w:rsidRPr="00133A19" w14:paraId="14AA072D" w14:textId="77777777" w:rsidTr="00FE1953">
        <w:tc>
          <w:tcPr>
            <w:tcW w:w="4673" w:type="dxa"/>
          </w:tcPr>
          <w:p w14:paraId="5DA3D6B4"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Outcome measures reported to support clinical effectiveness conclusions in committee discussion (FAD)</w:t>
            </w:r>
          </w:p>
        </w:tc>
        <w:tc>
          <w:tcPr>
            <w:tcW w:w="4343" w:type="dxa"/>
          </w:tcPr>
          <w:p w14:paraId="7170A934"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Hazard ratio</w:t>
            </w:r>
          </w:p>
          <w:p w14:paraId="0A182CBA"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Log</w:t>
            </w:r>
            <w:r>
              <w:rPr>
                <w:rFonts w:ascii="Times New Roman" w:hAnsi="Times New Roman" w:cs="Times New Roman"/>
                <w:sz w:val="20"/>
                <w:szCs w:val="20"/>
              </w:rPr>
              <w:t>-</w:t>
            </w:r>
            <w:r w:rsidRPr="004563DE">
              <w:rPr>
                <w:rFonts w:ascii="Times New Roman" w:hAnsi="Times New Roman" w:cs="Times New Roman"/>
                <w:sz w:val="20"/>
                <w:szCs w:val="20"/>
              </w:rPr>
              <w:t>rank</w:t>
            </w:r>
          </w:p>
          <w:p w14:paraId="5C78805C"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Median</w:t>
            </w:r>
          </w:p>
          <w:p w14:paraId="15E12A62"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Landmark/percentile</w:t>
            </w:r>
          </w:p>
          <w:p w14:paraId="7A23A6B9"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RMST</w:t>
            </w:r>
          </w:p>
          <w:p w14:paraId="44BFFF18" w14:textId="77777777" w:rsidR="006F2846" w:rsidRPr="004563DE" w:rsidRDefault="006F2846" w:rsidP="00FE1953">
            <w:pPr>
              <w:spacing w:line="480" w:lineRule="auto"/>
              <w:rPr>
                <w:rFonts w:ascii="Times New Roman" w:hAnsi="Times New Roman" w:cs="Times New Roman"/>
                <w:sz w:val="20"/>
                <w:szCs w:val="20"/>
              </w:rPr>
            </w:pPr>
            <w:r w:rsidRPr="004563DE">
              <w:rPr>
                <w:rFonts w:ascii="Times New Roman" w:hAnsi="Times New Roman" w:cs="Times New Roman"/>
                <w:sz w:val="20"/>
                <w:szCs w:val="20"/>
              </w:rPr>
              <w:t>Other</w:t>
            </w:r>
          </w:p>
        </w:tc>
      </w:tr>
    </w:tbl>
    <w:p w14:paraId="4D2BA225" w14:textId="0010CC1B" w:rsidR="006F2846" w:rsidRPr="005539E6" w:rsidRDefault="006E35EB" w:rsidP="006F2846">
      <w:pPr>
        <w:shd w:val="clear" w:color="auto" w:fill="FFFFFF" w:themeFill="background1"/>
        <w:spacing w:line="480" w:lineRule="auto"/>
        <w:rPr>
          <w:rFonts w:ascii="Times New Roman" w:hAnsi="Times New Roman" w:cs="Times New Roman"/>
          <w:i/>
          <w:iCs/>
          <w:sz w:val="24"/>
          <w:szCs w:val="24"/>
        </w:rPr>
      </w:pPr>
      <w:r w:rsidRPr="005539E6">
        <w:rPr>
          <w:rFonts w:ascii="Times New Roman" w:hAnsi="Times New Roman" w:cs="Times New Roman"/>
          <w:b/>
          <w:bCs/>
          <w:i/>
          <w:iCs/>
          <w:sz w:val="24"/>
          <w:szCs w:val="24"/>
        </w:rPr>
        <w:t xml:space="preserve">Supplementary </w:t>
      </w:r>
      <w:r w:rsidR="006F2846" w:rsidRPr="005539E6">
        <w:rPr>
          <w:rFonts w:ascii="Times New Roman" w:hAnsi="Times New Roman" w:cs="Times New Roman"/>
          <w:b/>
          <w:bCs/>
          <w:i/>
          <w:iCs/>
          <w:sz w:val="24"/>
          <w:szCs w:val="24"/>
        </w:rPr>
        <w:t>Table 2: Data collection form</w:t>
      </w:r>
      <w:r w:rsidR="006F2846" w:rsidRPr="005539E6">
        <w:rPr>
          <w:rFonts w:ascii="Times New Roman" w:hAnsi="Times New Roman" w:cs="Times New Roman"/>
          <w:i/>
          <w:iCs/>
          <w:sz w:val="24"/>
          <w:szCs w:val="24"/>
        </w:rPr>
        <w:t xml:space="preserve">. Generated inductively after initial review of the documents for each appraisal. </w:t>
      </w:r>
    </w:p>
    <w:p w14:paraId="72E97584" w14:textId="77777777" w:rsidR="003F12DB" w:rsidRDefault="003F12DB" w:rsidP="006F2846">
      <w:pPr>
        <w:shd w:val="clear" w:color="auto" w:fill="FFFFFF" w:themeFill="background1"/>
        <w:spacing w:line="480" w:lineRule="auto"/>
        <w:rPr>
          <w:rFonts w:ascii="Times New Roman" w:hAnsi="Times New Roman" w:cs="Times New Roman"/>
          <w:sz w:val="24"/>
          <w:szCs w:val="24"/>
        </w:rPr>
      </w:pPr>
    </w:p>
    <w:p w14:paraId="4E111EE9" w14:textId="01DBBF18" w:rsidR="000A1E1C" w:rsidRDefault="000A1E1C" w:rsidP="006F2846">
      <w:pPr>
        <w:shd w:val="clear" w:color="auto" w:fill="FFFFFF" w:themeFill="background1"/>
        <w:spacing w:line="480" w:lineRule="auto"/>
        <w:rPr>
          <w:rFonts w:ascii="Times New Roman" w:hAnsi="Times New Roman" w:cs="Times New Roman"/>
          <w:sz w:val="24"/>
          <w:szCs w:val="24"/>
        </w:rPr>
      </w:pPr>
    </w:p>
    <w:p w14:paraId="663EA527" w14:textId="6E85E7FA" w:rsidR="000A1E1C" w:rsidRDefault="008F0F9C" w:rsidP="006F2846">
      <w:pPr>
        <w:shd w:val="clear" w:color="auto" w:fill="FFFFFF" w:themeFill="background1"/>
        <w:spacing w:line="48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0288" behindDoc="0" locked="0" layoutInCell="1" allowOverlap="1" wp14:anchorId="61D57629" wp14:editId="3FDF2471">
                <wp:simplePos x="0" y="0"/>
                <wp:positionH relativeFrom="column">
                  <wp:posOffset>-149225</wp:posOffset>
                </wp:positionH>
                <wp:positionV relativeFrom="paragraph">
                  <wp:posOffset>-306705</wp:posOffset>
                </wp:positionV>
                <wp:extent cx="6097270" cy="6090285"/>
                <wp:effectExtent l="12700" t="7620" r="508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6090285"/>
                        </a:xfrm>
                        <a:prstGeom prst="rect">
                          <a:avLst/>
                        </a:prstGeom>
                        <a:solidFill>
                          <a:srgbClr val="FFFFFF"/>
                        </a:solidFill>
                        <a:ln w="9525">
                          <a:solidFill>
                            <a:srgbClr val="000000"/>
                          </a:solidFill>
                          <a:miter lim="800000"/>
                          <a:headEnd/>
                          <a:tailEnd/>
                        </a:ln>
                      </wps:spPr>
                      <wps:txbx>
                        <w:txbxContent>
                          <w:p w14:paraId="1D32D9E5"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“The assumption of proportional hazards (PHs) has been shown not to hold for several outcomes…therefore the HR, CI and associated p-value for these analyses are at best challenging to interpret, potentially misleading and should be interpreted with caution” TA620</w:t>
                            </w:r>
                          </w:p>
                          <w:p w14:paraId="42DDE8BA"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“It is unlikely that the proportional hazards (PH) assumption holds for the PFS analyses. Therefore, all HRs for PFS presented from the PALOMA-3 trial have no meaningful interpretation without the assumption of PH” TA619</w:t>
                            </w:r>
                          </w:p>
                          <w:p w14:paraId="56360CCC"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“The ERG is disappointed that the company has presented hazard ratio results for PFS data when the assumption of proportional hazards has been violated and has not provided any rationale to explain why alternative approaches were not considered” TA483/TA655</w:t>
                            </w:r>
                          </w:p>
                          <w:p w14:paraId="7295D728"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“The company does not present an analysis of whether the hazard ratio, which assumes proportionality of the hazard rates between the two trial arms, is a suitable outcome when reporting results of PFS. In the cost‐effectiveness section, the company concludes that proportionality is not held and this would suggest that the estimate of the hazard ratio is not an accurate representation of the benefit” TA663</w:t>
                            </w:r>
                          </w:p>
                          <w:p w14:paraId="796C0CB1"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“The assumption of proportional hazard was not appropriate, suggesting that the hazard ratios may be unreliable” TA668</w:t>
                            </w:r>
                          </w:p>
                          <w:p w14:paraId="412FE98C"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“The company concludes that the relative hazards are likely to vary over time and the assumption of proportional hazards is unlikely to hold…the ERG therefore emphasizes that the HR with accompanying 95% confidence interval (CI) is difficult to interpret and potentially misleading” TA673</w:t>
                            </w:r>
                          </w:p>
                          <w:p w14:paraId="661F7474"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“Hazard ratios may not appropriately summarise relative treatment effects given that the two treatment curves crossed, suggesting a violation of the proportional hazards assumption” TA707</w:t>
                            </w:r>
                          </w:p>
                          <w:p w14:paraId="5FC362C0"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 xml:space="preserve">“The assumption of PH is violated for both OS and PFS data for </w:t>
                            </w:r>
                            <w:proofErr w:type="spellStart"/>
                            <w:r w:rsidRPr="004563DE">
                              <w:rPr>
                                <w:rFonts w:ascii="Times New Roman" w:hAnsi="Times New Roman" w:cs="Times New Roman"/>
                                <w:i/>
                                <w:iCs/>
                                <w:sz w:val="24"/>
                                <w:szCs w:val="24"/>
                              </w:rPr>
                              <w:t>CheckMate</w:t>
                            </w:r>
                            <w:proofErr w:type="spellEnd"/>
                            <w:r w:rsidRPr="004563DE">
                              <w:rPr>
                                <w:rFonts w:ascii="Times New Roman" w:hAnsi="Times New Roman" w:cs="Times New Roman"/>
                                <w:i/>
                                <w:iCs/>
                                <w:sz w:val="24"/>
                                <w:szCs w:val="24"/>
                              </w:rPr>
                              <w:t xml:space="preserve"> 057. Consequently, it is inappropriate to summarise these data by using HRs and 95% confidence intervals (CI) estimated by a Cox PH model. For this reason, the ERG considers that HRs ought to be interpreted with caution” TA484/TA713</w:t>
                            </w:r>
                          </w:p>
                          <w:p w14:paraId="65B04D12" w14:textId="77777777" w:rsidR="000A1E1C" w:rsidRDefault="000A1E1C" w:rsidP="000A1E1C"/>
                          <w:p w14:paraId="378985E7" w14:textId="77777777" w:rsidR="000A1E1C" w:rsidRDefault="000A1E1C" w:rsidP="000A1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57629" id="_x0000_t202" coordsize="21600,21600" o:spt="202" path="m,l,21600r21600,l21600,xe">
                <v:stroke joinstyle="miter"/>
                <v:path gradientshapeok="t" o:connecttype="rect"/>
              </v:shapetype>
              <v:shape id="Text Box 2" o:spid="_x0000_s1026" type="#_x0000_t202" style="position:absolute;margin-left:-11.75pt;margin-top:-24.15pt;width:480.1pt;height:47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">
                <v:textbox>
                  <w:txbxContent>
                    <w:p w14:paraId="1D32D9E5"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“The assumption of proportional hazards (PHs) has been shown not to hold for several outcomes…therefore the HR, CI and associated p-value for these analyses are at best challenging to interpret, potentially misleading and should be interpreted with caution” TA620</w:t>
                      </w:r>
                    </w:p>
                    <w:p w14:paraId="42DDE8BA"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“It is unlikely that the proportional hazards (PH) assumption holds for the PFS analyses. Therefore, all HRs for PFS presented from the PALOMA-3 trial have no meaningful interpretation without the assumption of PH” TA619</w:t>
                      </w:r>
                    </w:p>
                    <w:p w14:paraId="56360CCC"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“The ERG is disappointed that the company has presented hazard ratio results for PFS data when the assumption of proportional hazards has been violated and has not provided any rationale to explain why alternative approaches were not considered” TA483/TA655</w:t>
                      </w:r>
                    </w:p>
                    <w:p w14:paraId="7295D728"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“The company does not present an analysis of whether the hazard ratio, which assumes proportionality of the hazard rates between the two trial arms, is a suitable outcome when reporting results of PFS. In the cost‐effectiveness section, the company concludes that proportionality is not held and this would suggest that the estimate of the hazard ratio is not an accurate representation of the benefit” TA663</w:t>
                      </w:r>
                    </w:p>
                    <w:p w14:paraId="796C0CB1"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“The assumption of proportional hazard was not appropriate, suggesting that the hazard ratios may be unreliable” TA668</w:t>
                      </w:r>
                    </w:p>
                    <w:p w14:paraId="412FE98C"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“The company concludes that the relative hazards are likely to vary over time and the assumption of proportional hazards is unlikely to hold…the ERG therefore emphasizes that the HR with accompanying 95% confidence interval (CI) is difficult to interpret and potentially misleading” TA673</w:t>
                      </w:r>
                    </w:p>
                    <w:p w14:paraId="661F7474"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“Hazard ratios may not appropriately summarise relative treatment effects given that the two treatment curves crossed, suggesting a violation of the proportional hazards assumption” TA707</w:t>
                      </w:r>
                    </w:p>
                    <w:p w14:paraId="5FC362C0" w14:textId="77777777" w:rsidR="000A1E1C" w:rsidRPr="004563DE" w:rsidRDefault="000A1E1C" w:rsidP="000A1E1C">
                      <w:pPr>
                        <w:rPr>
                          <w:rFonts w:ascii="Times New Roman" w:hAnsi="Times New Roman" w:cs="Times New Roman"/>
                          <w:i/>
                          <w:iCs/>
                          <w:sz w:val="24"/>
                          <w:szCs w:val="24"/>
                        </w:rPr>
                      </w:pPr>
                      <w:r w:rsidRPr="004563DE">
                        <w:rPr>
                          <w:rFonts w:ascii="Times New Roman" w:hAnsi="Times New Roman" w:cs="Times New Roman"/>
                          <w:i/>
                          <w:iCs/>
                          <w:sz w:val="24"/>
                          <w:szCs w:val="24"/>
                        </w:rPr>
                        <w:t>“The assumption of PH is violated for both OS and PFS data for CheckMate 057. Consequently, it is inappropriate to summarise these data by using HRs and 95% confidence intervals (CI) estimated by a Cox PH model. For this reason, the ERG considers that HRs ought to be interpreted with caution” TA484/TA713</w:t>
                      </w:r>
                    </w:p>
                    <w:p w14:paraId="65B04D12" w14:textId="77777777" w:rsidR="000A1E1C" w:rsidRDefault="000A1E1C" w:rsidP="000A1E1C"/>
                    <w:p w14:paraId="378985E7" w14:textId="77777777" w:rsidR="000A1E1C" w:rsidRDefault="000A1E1C" w:rsidP="000A1E1C"/>
                  </w:txbxContent>
                </v:textbox>
              </v:shape>
            </w:pict>
          </mc:Fallback>
        </mc:AlternateContent>
      </w:r>
    </w:p>
    <w:p w14:paraId="730E7C2D" w14:textId="0DBED006" w:rsidR="000A1E1C" w:rsidRDefault="000A1E1C" w:rsidP="006F2846">
      <w:pPr>
        <w:shd w:val="clear" w:color="auto" w:fill="FFFFFF" w:themeFill="background1"/>
        <w:spacing w:line="480" w:lineRule="auto"/>
        <w:rPr>
          <w:rFonts w:ascii="Times New Roman" w:hAnsi="Times New Roman" w:cs="Times New Roman"/>
          <w:sz w:val="24"/>
          <w:szCs w:val="24"/>
        </w:rPr>
      </w:pPr>
    </w:p>
    <w:p w14:paraId="6C3F2B74" w14:textId="4E72E099" w:rsidR="000A1E1C" w:rsidRDefault="000A1E1C" w:rsidP="006F2846">
      <w:pPr>
        <w:shd w:val="clear" w:color="auto" w:fill="FFFFFF" w:themeFill="background1"/>
        <w:spacing w:line="480" w:lineRule="auto"/>
        <w:rPr>
          <w:rFonts w:ascii="Times New Roman" w:hAnsi="Times New Roman" w:cs="Times New Roman"/>
          <w:sz w:val="24"/>
          <w:szCs w:val="24"/>
        </w:rPr>
      </w:pPr>
    </w:p>
    <w:p w14:paraId="281F374F" w14:textId="5099907D" w:rsidR="000A1E1C" w:rsidRDefault="000A1E1C" w:rsidP="006F2846">
      <w:pPr>
        <w:shd w:val="clear" w:color="auto" w:fill="FFFFFF" w:themeFill="background1"/>
        <w:spacing w:line="480" w:lineRule="auto"/>
        <w:rPr>
          <w:rFonts w:ascii="Times New Roman" w:hAnsi="Times New Roman" w:cs="Times New Roman"/>
          <w:sz w:val="24"/>
          <w:szCs w:val="24"/>
        </w:rPr>
      </w:pPr>
    </w:p>
    <w:p w14:paraId="2E48ED7E" w14:textId="3ECBCBB2" w:rsidR="000A1E1C" w:rsidRDefault="000A1E1C" w:rsidP="006F2846">
      <w:pPr>
        <w:shd w:val="clear" w:color="auto" w:fill="FFFFFF" w:themeFill="background1"/>
        <w:spacing w:line="480" w:lineRule="auto"/>
        <w:rPr>
          <w:rFonts w:ascii="Times New Roman" w:hAnsi="Times New Roman" w:cs="Times New Roman"/>
          <w:sz w:val="24"/>
          <w:szCs w:val="24"/>
        </w:rPr>
      </w:pPr>
    </w:p>
    <w:p w14:paraId="2B524C19" w14:textId="0F3E2C28" w:rsidR="000A1E1C" w:rsidRDefault="000A1E1C" w:rsidP="006F2846">
      <w:pPr>
        <w:shd w:val="clear" w:color="auto" w:fill="FFFFFF" w:themeFill="background1"/>
        <w:spacing w:line="480" w:lineRule="auto"/>
        <w:rPr>
          <w:rFonts w:ascii="Times New Roman" w:hAnsi="Times New Roman" w:cs="Times New Roman"/>
          <w:sz w:val="24"/>
          <w:szCs w:val="24"/>
        </w:rPr>
      </w:pPr>
    </w:p>
    <w:p w14:paraId="5F30C289" w14:textId="6CA3F0F6" w:rsidR="000A1E1C" w:rsidRDefault="000A1E1C" w:rsidP="006F2846">
      <w:pPr>
        <w:shd w:val="clear" w:color="auto" w:fill="FFFFFF" w:themeFill="background1"/>
        <w:spacing w:line="480" w:lineRule="auto"/>
        <w:rPr>
          <w:rFonts w:ascii="Times New Roman" w:hAnsi="Times New Roman" w:cs="Times New Roman"/>
          <w:sz w:val="24"/>
          <w:szCs w:val="24"/>
        </w:rPr>
      </w:pPr>
    </w:p>
    <w:p w14:paraId="685FFC7C" w14:textId="45660946" w:rsidR="000A1E1C" w:rsidRDefault="000A1E1C" w:rsidP="006F2846">
      <w:pPr>
        <w:shd w:val="clear" w:color="auto" w:fill="FFFFFF" w:themeFill="background1"/>
        <w:spacing w:line="480" w:lineRule="auto"/>
        <w:rPr>
          <w:rFonts w:ascii="Times New Roman" w:hAnsi="Times New Roman" w:cs="Times New Roman"/>
          <w:sz w:val="24"/>
          <w:szCs w:val="24"/>
        </w:rPr>
      </w:pPr>
    </w:p>
    <w:p w14:paraId="767E8F4E" w14:textId="704C8B1C" w:rsidR="000A1E1C" w:rsidRDefault="000A1E1C" w:rsidP="006F2846">
      <w:pPr>
        <w:shd w:val="clear" w:color="auto" w:fill="FFFFFF" w:themeFill="background1"/>
        <w:spacing w:line="480" w:lineRule="auto"/>
        <w:rPr>
          <w:rFonts w:ascii="Times New Roman" w:hAnsi="Times New Roman" w:cs="Times New Roman"/>
          <w:sz w:val="24"/>
          <w:szCs w:val="24"/>
        </w:rPr>
      </w:pPr>
    </w:p>
    <w:p w14:paraId="4381A10A" w14:textId="5F0BDDD0" w:rsidR="000A1E1C" w:rsidRDefault="000A1E1C" w:rsidP="006F2846">
      <w:pPr>
        <w:shd w:val="clear" w:color="auto" w:fill="FFFFFF" w:themeFill="background1"/>
        <w:spacing w:line="480" w:lineRule="auto"/>
        <w:rPr>
          <w:rFonts w:ascii="Times New Roman" w:hAnsi="Times New Roman" w:cs="Times New Roman"/>
          <w:sz w:val="24"/>
          <w:szCs w:val="24"/>
        </w:rPr>
      </w:pPr>
    </w:p>
    <w:p w14:paraId="654964F4" w14:textId="4BB2D02A" w:rsidR="000A1E1C" w:rsidRDefault="000A1E1C" w:rsidP="006F2846">
      <w:pPr>
        <w:shd w:val="clear" w:color="auto" w:fill="FFFFFF" w:themeFill="background1"/>
        <w:spacing w:line="480" w:lineRule="auto"/>
        <w:rPr>
          <w:rFonts w:ascii="Times New Roman" w:hAnsi="Times New Roman" w:cs="Times New Roman"/>
          <w:sz w:val="24"/>
          <w:szCs w:val="24"/>
        </w:rPr>
      </w:pPr>
    </w:p>
    <w:p w14:paraId="25E8A7D6" w14:textId="697B88A4" w:rsidR="000A1E1C" w:rsidRDefault="000A1E1C" w:rsidP="006F2846">
      <w:pPr>
        <w:shd w:val="clear" w:color="auto" w:fill="FFFFFF" w:themeFill="background1"/>
        <w:spacing w:line="480" w:lineRule="auto"/>
        <w:rPr>
          <w:rFonts w:ascii="Times New Roman" w:hAnsi="Times New Roman" w:cs="Times New Roman"/>
          <w:sz w:val="24"/>
          <w:szCs w:val="24"/>
        </w:rPr>
      </w:pPr>
    </w:p>
    <w:p w14:paraId="4335FBDB" w14:textId="7F9EED17" w:rsidR="000A1E1C" w:rsidRDefault="000A1E1C" w:rsidP="006F2846">
      <w:pPr>
        <w:shd w:val="clear" w:color="auto" w:fill="FFFFFF" w:themeFill="background1"/>
        <w:spacing w:line="480" w:lineRule="auto"/>
        <w:rPr>
          <w:rFonts w:ascii="Times New Roman" w:hAnsi="Times New Roman" w:cs="Times New Roman"/>
          <w:sz w:val="24"/>
          <w:szCs w:val="24"/>
        </w:rPr>
      </w:pPr>
    </w:p>
    <w:p w14:paraId="6ED65998" w14:textId="4A9B1D4B" w:rsidR="003F12DB" w:rsidRPr="006E3509" w:rsidRDefault="006E35EB" w:rsidP="003F12DB">
      <w:pPr>
        <w:spacing w:line="480" w:lineRule="auto"/>
        <w:rPr>
          <w:rFonts w:ascii="Times New Roman" w:hAnsi="Times New Roman" w:cs="Times New Roman"/>
          <w:i/>
          <w:iCs/>
          <w:sz w:val="24"/>
          <w:szCs w:val="24"/>
        </w:rPr>
      </w:pPr>
      <w:r>
        <w:rPr>
          <w:rFonts w:ascii="Times New Roman" w:hAnsi="Times New Roman" w:cs="Times New Roman"/>
          <w:b/>
          <w:bCs/>
          <w:i/>
          <w:iCs/>
          <w:sz w:val="24"/>
          <w:szCs w:val="24"/>
        </w:rPr>
        <w:t xml:space="preserve">Supplementary </w:t>
      </w:r>
      <w:r w:rsidR="003F12DB">
        <w:rPr>
          <w:rFonts w:ascii="Times New Roman" w:hAnsi="Times New Roman" w:cs="Times New Roman"/>
          <w:b/>
          <w:bCs/>
          <w:i/>
          <w:iCs/>
          <w:sz w:val="24"/>
          <w:szCs w:val="24"/>
        </w:rPr>
        <w:t>Box 1</w:t>
      </w:r>
      <w:r w:rsidR="003F12DB" w:rsidRPr="006E3509">
        <w:rPr>
          <w:rFonts w:ascii="Times New Roman" w:hAnsi="Times New Roman" w:cs="Times New Roman"/>
          <w:b/>
          <w:bCs/>
          <w:i/>
          <w:iCs/>
          <w:sz w:val="24"/>
          <w:szCs w:val="24"/>
        </w:rPr>
        <w:t>:</w:t>
      </w:r>
      <w:r w:rsidR="003F12DB" w:rsidRPr="006E3509">
        <w:rPr>
          <w:rFonts w:ascii="Times New Roman" w:hAnsi="Times New Roman" w:cs="Times New Roman"/>
          <w:i/>
          <w:iCs/>
          <w:sz w:val="24"/>
          <w:szCs w:val="24"/>
        </w:rPr>
        <w:t xml:space="preserve"> </w:t>
      </w:r>
      <w:r w:rsidR="003F12DB" w:rsidRPr="00CA7363">
        <w:rPr>
          <w:rFonts w:ascii="Times New Roman" w:hAnsi="Times New Roman" w:cs="Times New Roman"/>
          <w:i/>
          <w:iCs/>
          <w:sz w:val="24"/>
          <w:szCs w:val="24"/>
        </w:rPr>
        <w:t>Examples of ERG comments regarding reporting of hazard ratios in pivotal trials where the proportional hazards assumption is violated</w:t>
      </w:r>
    </w:p>
    <w:p w14:paraId="3AAF36CE" w14:textId="77777777" w:rsidR="003F12DB" w:rsidRDefault="003F12DB" w:rsidP="006F2846">
      <w:pPr>
        <w:shd w:val="clear" w:color="auto" w:fill="FFFFFF" w:themeFill="background1"/>
        <w:spacing w:line="480" w:lineRule="auto"/>
        <w:rPr>
          <w:rFonts w:ascii="Times New Roman" w:hAnsi="Times New Roman" w:cs="Times New Roman"/>
          <w:sz w:val="24"/>
          <w:szCs w:val="24"/>
        </w:rPr>
      </w:pPr>
    </w:p>
    <w:p w14:paraId="5B552C59" w14:textId="6D933011" w:rsidR="000A1E1C" w:rsidRDefault="000A1E1C" w:rsidP="006F2846">
      <w:pPr>
        <w:shd w:val="clear" w:color="auto" w:fill="FFFFFF" w:themeFill="background1"/>
        <w:spacing w:line="480" w:lineRule="auto"/>
        <w:rPr>
          <w:rFonts w:ascii="Times New Roman" w:hAnsi="Times New Roman" w:cs="Times New Roman"/>
          <w:sz w:val="24"/>
          <w:szCs w:val="24"/>
        </w:rPr>
      </w:pPr>
    </w:p>
    <w:p w14:paraId="42A7DEEE" w14:textId="3D2039E3" w:rsidR="000A1E1C" w:rsidRDefault="000A1E1C" w:rsidP="006F2846">
      <w:pPr>
        <w:shd w:val="clear" w:color="auto" w:fill="FFFFFF" w:themeFill="background1"/>
        <w:spacing w:line="480" w:lineRule="auto"/>
        <w:rPr>
          <w:rFonts w:ascii="Times New Roman" w:hAnsi="Times New Roman" w:cs="Times New Roman"/>
          <w:sz w:val="24"/>
          <w:szCs w:val="24"/>
        </w:rPr>
      </w:pPr>
    </w:p>
    <w:p w14:paraId="212DAE1D" w14:textId="3BBF96CB" w:rsidR="006F2846" w:rsidRDefault="006F2846" w:rsidP="006F2846">
      <w:pPr>
        <w:shd w:val="clear" w:color="auto" w:fill="FFFFFF" w:themeFill="background1"/>
        <w:spacing w:line="480" w:lineRule="auto"/>
        <w:rPr>
          <w:rFonts w:ascii="Times New Roman" w:hAnsi="Times New Roman" w:cs="Times New Roman"/>
          <w:sz w:val="24"/>
          <w:szCs w:val="24"/>
        </w:rPr>
      </w:pPr>
    </w:p>
    <w:p w14:paraId="4008CDB3" w14:textId="77777777" w:rsidR="006E35EB" w:rsidRDefault="006E35EB" w:rsidP="006F2846">
      <w:pPr>
        <w:shd w:val="clear" w:color="auto" w:fill="FFFFFF" w:themeFill="background1"/>
        <w:spacing w:line="480" w:lineRule="auto"/>
        <w:rPr>
          <w:rFonts w:ascii="Times New Roman" w:hAnsi="Times New Roman" w:cs="Times New Roman"/>
          <w:sz w:val="24"/>
          <w:szCs w:val="24"/>
        </w:rPr>
      </w:pPr>
    </w:p>
    <w:p w14:paraId="14736F90" w14:textId="55FAEBAC" w:rsidR="006F2846" w:rsidRDefault="006F2846" w:rsidP="006F2846">
      <w:pPr>
        <w:shd w:val="clear" w:color="auto" w:fill="FFFFFF" w:themeFill="background1"/>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Supplementary References</w:t>
      </w:r>
    </w:p>
    <w:p w14:paraId="06DAB02C" w14:textId="73CEE051" w:rsidR="00A81E67" w:rsidRPr="00A81E67" w:rsidRDefault="006F2846"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A81E67" w:rsidRPr="00A81E67">
        <w:rPr>
          <w:rFonts w:ascii="Times New Roman" w:hAnsi="Times New Roman" w:cs="Times New Roman"/>
          <w:noProof/>
          <w:sz w:val="24"/>
          <w:szCs w:val="24"/>
        </w:rPr>
        <w:t xml:space="preserve">1. </w:t>
      </w:r>
      <w:r w:rsidR="00A81E67" w:rsidRPr="00A81E67">
        <w:rPr>
          <w:rFonts w:ascii="Times New Roman" w:hAnsi="Times New Roman" w:cs="Times New Roman"/>
          <w:noProof/>
          <w:sz w:val="24"/>
          <w:szCs w:val="24"/>
        </w:rPr>
        <w:tab/>
        <w:t>National Institute for Health and Care Excellence (NICE). Encorafenib plus cetuximab for previously treated BRAF V600E mutation-positive metastatic colorectal cancer. Technology appraisal guidance [TA668] [Internet]. NICE website. 2021. Available from: https://www.nice.org.uk/guidance/ta668</w:t>
      </w:r>
    </w:p>
    <w:p w14:paraId="0EA538FE"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2. </w:t>
      </w:r>
      <w:r w:rsidRPr="00A81E67">
        <w:rPr>
          <w:rFonts w:ascii="Times New Roman" w:hAnsi="Times New Roman" w:cs="Times New Roman"/>
          <w:noProof/>
          <w:sz w:val="24"/>
          <w:szCs w:val="24"/>
        </w:rPr>
        <w:tab/>
        <w:t>National Institute for Health and Care Excellence (NICE). Olaparib for maintenance treatment of relapsed platinum-sensitive ovarian, fallopian tube or peritoneal cancer. Technology appraisal guidance [TA620] [Internet]. NICE website. 2020. Available from: https://www.nice.org.uk/guidance/ta620</w:t>
      </w:r>
    </w:p>
    <w:p w14:paraId="738813CE"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3. </w:t>
      </w:r>
      <w:r w:rsidRPr="00A81E67">
        <w:rPr>
          <w:rFonts w:ascii="Times New Roman" w:hAnsi="Times New Roman" w:cs="Times New Roman"/>
          <w:noProof/>
          <w:sz w:val="24"/>
          <w:szCs w:val="24"/>
        </w:rPr>
        <w:tab/>
        <w:t xml:space="preserve">Banerjee S, Moore KN, Colombo N, Scambia G, Kim BG, Oaknin A, et al. Maintenance olaparib for patients with newly diagnosed advanced ovarian cancer and a BRCA mutation (SOLO1/GOG 3004): 5-year follow-up of a randomised, double-blind, placebo-controlled, phase 3 trial. Lancet Oncol. 2021;22(12):1721–31. </w:t>
      </w:r>
    </w:p>
    <w:p w14:paraId="466CB421"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4. </w:t>
      </w:r>
      <w:r w:rsidRPr="00A81E67">
        <w:rPr>
          <w:rFonts w:ascii="Times New Roman" w:hAnsi="Times New Roman" w:cs="Times New Roman"/>
          <w:noProof/>
          <w:sz w:val="24"/>
          <w:szCs w:val="24"/>
        </w:rPr>
        <w:tab/>
        <w:t>National Institute for Health and Care Excellence (NICE). Nivolumab for advanced squamous non-small-cell lung cancer after chemotherapy. Technology appraisal guidance [TA655] [Internet]. NICE website. 2020. Available from: https://www.nice.org.uk/guidance/ta655</w:t>
      </w:r>
    </w:p>
    <w:p w14:paraId="53473E36"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5. </w:t>
      </w:r>
      <w:r w:rsidRPr="00A81E67">
        <w:rPr>
          <w:rFonts w:ascii="Times New Roman" w:hAnsi="Times New Roman" w:cs="Times New Roman"/>
          <w:noProof/>
          <w:sz w:val="24"/>
          <w:szCs w:val="24"/>
        </w:rPr>
        <w:tab/>
        <w:t>Mok TS, Wu Y, Thongprasert S, Yang C-H, Chu D-T, Saijo N, et al. Gefitinib or Carboplatin–Paclitaxel in Pulmonary Adenocarcinoma. N Engl J Med [Internet]. 2009 Sep 3;361(10):947–57. Available from: http://www.nejm.org/doi/abs/10.1056/NEJMoa0810699</w:t>
      </w:r>
    </w:p>
    <w:p w14:paraId="6F2A90DB"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6. </w:t>
      </w:r>
      <w:r w:rsidRPr="00A81E67">
        <w:rPr>
          <w:rFonts w:ascii="Times New Roman" w:hAnsi="Times New Roman" w:cs="Times New Roman"/>
          <w:noProof/>
          <w:sz w:val="24"/>
          <w:szCs w:val="24"/>
        </w:rPr>
        <w:tab/>
        <w:t xml:space="preserve">National Institute for Health and Care Excellence (NICE). Palbociclib with fulvestrant for treating hormone receptor-positive, HER2-negative, advanced breast cancer. Technology appraisal guidance [TA619] [Internet]. NICE website. 2020. Available </w:t>
      </w:r>
      <w:r w:rsidRPr="00A81E67">
        <w:rPr>
          <w:rFonts w:ascii="Times New Roman" w:hAnsi="Times New Roman" w:cs="Times New Roman"/>
          <w:noProof/>
          <w:sz w:val="24"/>
          <w:szCs w:val="24"/>
        </w:rPr>
        <w:lastRenderedPageBreak/>
        <w:t>from: https://www.nice.org.uk/guidance/ta619</w:t>
      </w:r>
    </w:p>
    <w:p w14:paraId="4F040955"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7. </w:t>
      </w:r>
      <w:r w:rsidRPr="00A81E67">
        <w:rPr>
          <w:rFonts w:ascii="Times New Roman" w:hAnsi="Times New Roman" w:cs="Times New Roman"/>
          <w:noProof/>
          <w:sz w:val="24"/>
          <w:szCs w:val="24"/>
        </w:rPr>
        <w:tab/>
        <w:t>National Institute for Health and Care Excellence (NICE). Lenalidomide with rituximab for previously treated follicular lymphoma. Technology appraisal guidance [TA627] [Internet]. NICE website. 2020. Available from: https://www.nice.org.uk/guidance/ta627</w:t>
      </w:r>
    </w:p>
    <w:p w14:paraId="68E6F1BF"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8. </w:t>
      </w:r>
      <w:r w:rsidRPr="00A81E67">
        <w:rPr>
          <w:rFonts w:ascii="Times New Roman" w:hAnsi="Times New Roman" w:cs="Times New Roman"/>
          <w:noProof/>
          <w:sz w:val="24"/>
          <w:szCs w:val="24"/>
        </w:rPr>
        <w:tab/>
        <w:t>National Institute for Health and Care Excellence (NICE). Obinutuzumab with bendamustine for treating follicular lymphoma after rituximab. Technology appraisal guidance [TA629] [Internet]. NICE website. 2020. Available from: https://www.nice.org.uk/guidance/ta629</w:t>
      </w:r>
    </w:p>
    <w:p w14:paraId="7ED50D7E"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9. </w:t>
      </w:r>
      <w:r w:rsidRPr="00A81E67">
        <w:rPr>
          <w:rFonts w:ascii="Times New Roman" w:hAnsi="Times New Roman" w:cs="Times New Roman"/>
          <w:noProof/>
          <w:sz w:val="24"/>
          <w:szCs w:val="24"/>
        </w:rPr>
        <w:tab/>
        <w:t>National Institute for Health and Care Excellence (NICE). Trastuzumab emtansine for adjuvant treatment of HER2-positive early breast cancer. Technology appraisal guidance [TA632] [Internet]. NICE website. 2020. Available from: https://www.nice.org.uk/guidance/ta632</w:t>
      </w:r>
    </w:p>
    <w:p w14:paraId="4E738432"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10. </w:t>
      </w:r>
      <w:r w:rsidRPr="00A81E67">
        <w:rPr>
          <w:rFonts w:ascii="Times New Roman" w:hAnsi="Times New Roman" w:cs="Times New Roman"/>
          <w:noProof/>
          <w:sz w:val="24"/>
          <w:szCs w:val="24"/>
        </w:rPr>
        <w:tab/>
        <w:t>National Institute for Health and Care Excellence (NICE). Atezolizumab with nab-paclitaxel for untreated PD-L1-positive, locally advanced or metastatic, triple-negative breast cancer. Technology appraisal guidance [TA639] [Internet]. NICE website. 2020. Available from: https://www.nice.org.uk/guidance/ta639</w:t>
      </w:r>
    </w:p>
    <w:p w14:paraId="40A361E2"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11. </w:t>
      </w:r>
      <w:r w:rsidRPr="00A81E67">
        <w:rPr>
          <w:rFonts w:ascii="Times New Roman" w:hAnsi="Times New Roman" w:cs="Times New Roman"/>
          <w:noProof/>
          <w:sz w:val="24"/>
          <w:szCs w:val="24"/>
        </w:rPr>
        <w:tab/>
        <w:t>National Institute for Health and Care Excellence (NICE). Atezolizumab with carboplatin and etoposide for untreated extensive-stage small-cell lung cancer. Technology appraisal guidance [TA638] [Internet]. NICE website. 2020. Available from: https://www.nice.org.uk/guidance/ta638</w:t>
      </w:r>
    </w:p>
    <w:p w14:paraId="56EEEE45"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12. </w:t>
      </w:r>
      <w:r w:rsidRPr="00A81E67">
        <w:rPr>
          <w:rFonts w:ascii="Times New Roman" w:hAnsi="Times New Roman" w:cs="Times New Roman"/>
          <w:noProof/>
          <w:sz w:val="24"/>
          <w:szCs w:val="24"/>
        </w:rPr>
        <w:tab/>
        <w:t xml:space="preserve">National Institute for Health and Care Excellence (NICE). Gilteritinib for treating relapsed or refractory acute myeloid leukaemia. Technology appraisal guidance [TA642] [Internet]. NICE website. 2020. Available from: </w:t>
      </w:r>
      <w:r w:rsidRPr="00A81E67">
        <w:rPr>
          <w:rFonts w:ascii="Times New Roman" w:hAnsi="Times New Roman" w:cs="Times New Roman"/>
          <w:noProof/>
          <w:sz w:val="24"/>
          <w:szCs w:val="24"/>
        </w:rPr>
        <w:lastRenderedPageBreak/>
        <w:t>https://www.nice.org.uk/guidance/ta642</w:t>
      </w:r>
    </w:p>
    <w:p w14:paraId="2737BEBC"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13. </w:t>
      </w:r>
      <w:r w:rsidRPr="00A81E67">
        <w:rPr>
          <w:rFonts w:ascii="Times New Roman" w:hAnsi="Times New Roman" w:cs="Times New Roman"/>
          <w:noProof/>
          <w:sz w:val="24"/>
          <w:szCs w:val="24"/>
        </w:rPr>
        <w:tab/>
        <w:t>National Institute for Health and Care Excellence (NICE). Brentuximab vedotin in combination for untreated systemic anaplastic large cell lymphoma. Technology appraisal guidance [TA641] [Internet]. NICE website. 2020. Available from: https://www.nice.org.uk/guidance/ta641</w:t>
      </w:r>
    </w:p>
    <w:p w14:paraId="209CFAD4"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14. </w:t>
      </w:r>
      <w:r w:rsidRPr="00A81E67">
        <w:rPr>
          <w:rFonts w:ascii="Times New Roman" w:hAnsi="Times New Roman" w:cs="Times New Roman"/>
          <w:noProof/>
          <w:sz w:val="24"/>
          <w:szCs w:val="24"/>
        </w:rPr>
        <w:tab/>
        <w:t>National Institute for Health and Care Excellence (NICE). Avelumab with axitinib for untreated advanced renal cell carcinoma. Technology appraisal guidance [TA645] [Internet]. NICE website. 2020. Available from: https://www.nice.org.uk/guidance/ta645</w:t>
      </w:r>
    </w:p>
    <w:p w14:paraId="414F6A43"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15. </w:t>
      </w:r>
      <w:r w:rsidRPr="00A81E67">
        <w:rPr>
          <w:rFonts w:ascii="Times New Roman" w:hAnsi="Times New Roman" w:cs="Times New Roman"/>
          <w:noProof/>
          <w:sz w:val="24"/>
          <w:szCs w:val="24"/>
        </w:rPr>
        <w:tab/>
        <w:t>National Institute for Health and Care Excellence (NICE). Polatuzumab vedotin with rituximab and bendamustine for treating relapsed or refractory diffuse large B-cell lymphoma. Technology appraisal guidance [TA649] [Internet]. NICE website. 2020. Available from: https://www.nice.org.uk/guidance/ta649</w:t>
      </w:r>
    </w:p>
    <w:p w14:paraId="1EAC5E9D"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16. </w:t>
      </w:r>
      <w:r w:rsidRPr="00A81E67">
        <w:rPr>
          <w:rFonts w:ascii="Times New Roman" w:hAnsi="Times New Roman" w:cs="Times New Roman"/>
          <w:noProof/>
          <w:sz w:val="24"/>
          <w:szCs w:val="24"/>
        </w:rPr>
        <w:tab/>
        <w:t>National Institute for Health and Care Excellence (NICE). Pembrolizumab with axitinib for untreated advanced renal cell carcinoma. Technology appraisal guidance [TA650] [Internet]. NICE website. 2020. Available from: https://www.nice.org.uk/guidance/ta650</w:t>
      </w:r>
    </w:p>
    <w:p w14:paraId="55B67172"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17. </w:t>
      </w:r>
      <w:r w:rsidRPr="00A81E67">
        <w:rPr>
          <w:rFonts w:ascii="Times New Roman" w:hAnsi="Times New Roman" w:cs="Times New Roman"/>
          <w:noProof/>
          <w:sz w:val="24"/>
          <w:szCs w:val="24"/>
        </w:rPr>
        <w:tab/>
        <w:t>National Institute for Health and Care Excellence (NICE). Osimertinib for treating EGFR T790M mutation-positive advanced non-small-cell lung cancer. Technology appraisal guidance [TA653] [Internet]. NICE website. 2020. Available from: https://www.nice.org.uk/guidance/ta653</w:t>
      </w:r>
    </w:p>
    <w:p w14:paraId="532AF608"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18. </w:t>
      </w:r>
      <w:r w:rsidRPr="00A81E67">
        <w:rPr>
          <w:rFonts w:ascii="Times New Roman" w:hAnsi="Times New Roman" w:cs="Times New Roman"/>
          <w:noProof/>
          <w:sz w:val="24"/>
          <w:szCs w:val="24"/>
        </w:rPr>
        <w:tab/>
        <w:t xml:space="preserve">National Institute for Health and Care Excellence (NICE). Isatuximab with pomalidomide and dexamethasone for treating relapsed and refractory multiple myeloma. Technology appraisal guidance [TA658] [Internet]. NICE website. 2020. </w:t>
      </w:r>
      <w:r w:rsidRPr="00A81E67">
        <w:rPr>
          <w:rFonts w:ascii="Times New Roman" w:hAnsi="Times New Roman" w:cs="Times New Roman"/>
          <w:noProof/>
          <w:sz w:val="24"/>
          <w:szCs w:val="24"/>
        </w:rPr>
        <w:lastRenderedPageBreak/>
        <w:t>Available from: https://www.nice.org.uk/guidance/ta658</w:t>
      </w:r>
    </w:p>
    <w:p w14:paraId="322D8605"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19. </w:t>
      </w:r>
      <w:r w:rsidRPr="00A81E67">
        <w:rPr>
          <w:rFonts w:ascii="Times New Roman" w:hAnsi="Times New Roman" w:cs="Times New Roman"/>
          <w:noProof/>
          <w:sz w:val="24"/>
          <w:szCs w:val="24"/>
        </w:rPr>
        <w:tab/>
        <w:t>National Institute for Health and Care Excellence (NICE). Pembrolizumab for untreated metastatic or unresectable recurrent head and neck squamous cell carcinoma. Technology appraisal guidance [TA661] [Internet]. NICE website. 2020. Available from: https://www.nice.org.uk/guidance/ta661</w:t>
      </w:r>
    </w:p>
    <w:p w14:paraId="177B43FD"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20. </w:t>
      </w:r>
      <w:r w:rsidRPr="00A81E67">
        <w:rPr>
          <w:rFonts w:ascii="Times New Roman" w:hAnsi="Times New Roman" w:cs="Times New Roman"/>
          <w:noProof/>
          <w:sz w:val="24"/>
          <w:szCs w:val="24"/>
        </w:rPr>
        <w:tab/>
        <w:t>National Institute for Health and Care Excellence (NICE). Venetoclax with obinutuzumab for untreated chronic lymphocytic leukaemia. Technology appraisal guidance [TA663] [Internet]. NICE website. 2020. Available from: https://www.nice.org.uk/guidance/ta663</w:t>
      </w:r>
    </w:p>
    <w:p w14:paraId="6EEBF00A"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21. </w:t>
      </w:r>
      <w:r w:rsidRPr="00A81E67">
        <w:rPr>
          <w:rFonts w:ascii="Times New Roman" w:hAnsi="Times New Roman" w:cs="Times New Roman"/>
          <w:noProof/>
          <w:sz w:val="24"/>
          <w:szCs w:val="24"/>
        </w:rPr>
        <w:tab/>
        <w:t>National Institute for Health and Care Excellence (NICE). Atezolizumab with bevacizumab for treating advanced or unresectable hepatocellular carcinoma. Technology appraisal guidance [TA666] [Internet]. NICE website. 2020. Available from: https://www.nice.org.uk/guidance/ta666</w:t>
      </w:r>
    </w:p>
    <w:p w14:paraId="6C649323"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22. </w:t>
      </w:r>
      <w:r w:rsidRPr="00A81E67">
        <w:rPr>
          <w:rFonts w:ascii="Times New Roman" w:hAnsi="Times New Roman" w:cs="Times New Roman"/>
          <w:noProof/>
          <w:sz w:val="24"/>
          <w:szCs w:val="24"/>
        </w:rPr>
        <w:tab/>
        <w:t>National Institute for Health and Care Excellence (NICE). Brigatinib for ALK-positive advanced non-small-cell lung cancer that has not been previously treated with an ALK inhibitor Technology appraisal guidance [TA670] [Internet]. NICE website. 2021. Available from: https://www.nice.org.uk/guidance/ta670</w:t>
      </w:r>
    </w:p>
    <w:p w14:paraId="696D87F2"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23. </w:t>
      </w:r>
      <w:r w:rsidRPr="00A81E67">
        <w:rPr>
          <w:rFonts w:ascii="Times New Roman" w:hAnsi="Times New Roman" w:cs="Times New Roman"/>
          <w:noProof/>
          <w:sz w:val="24"/>
          <w:szCs w:val="24"/>
        </w:rPr>
        <w:tab/>
        <w:t>National Institute for Health and Care Excellence (NICE). Niraparib for maintenance treatment of advanced ovarian, fallopian tube and peritoneal cancer after response to first-line platinum-based chemotherapy. Technology appraisal guidance [TA673] [Internet]. NICE website. 2021. Available from: https://www.nice.org.uk/guidance/ta673</w:t>
      </w:r>
    </w:p>
    <w:p w14:paraId="2A052DDA"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24. </w:t>
      </w:r>
      <w:r w:rsidRPr="00A81E67">
        <w:rPr>
          <w:rFonts w:ascii="Times New Roman" w:hAnsi="Times New Roman" w:cs="Times New Roman"/>
          <w:noProof/>
          <w:sz w:val="24"/>
          <w:szCs w:val="24"/>
        </w:rPr>
        <w:tab/>
        <w:t xml:space="preserve">National Institute for Health and Care Excellence (NICE). Lenalidomide maintenance treatment after an autologous stem cell transplant for newly diagnosed multiple </w:t>
      </w:r>
      <w:r w:rsidRPr="00A81E67">
        <w:rPr>
          <w:rFonts w:ascii="Times New Roman" w:hAnsi="Times New Roman" w:cs="Times New Roman"/>
          <w:noProof/>
          <w:sz w:val="24"/>
          <w:szCs w:val="24"/>
        </w:rPr>
        <w:lastRenderedPageBreak/>
        <w:t>myeloma. Technology appraisal guidance [TA680] [Internet]. NICE website. 2021. Available from: https://www.nice.org.uk/guidance/ta680</w:t>
      </w:r>
    </w:p>
    <w:p w14:paraId="23BCBCFE"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25. </w:t>
      </w:r>
      <w:r w:rsidRPr="00A81E67">
        <w:rPr>
          <w:rFonts w:ascii="Times New Roman" w:hAnsi="Times New Roman" w:cs="Times New Roman"/>
          <w:noProof/>
          <w:sz w:val="24"/>
          <w:szCs w:val="24"/>
        </w:rPr>
        <w:tab/>
        <w:t>National Institute for Health and Care Excellence (NICE). Pembrolizumab with pemetrexed and platinum chemotherapy for untreated, metastatic, non-squamous non-small-cell lung cancer. Technology appraisal guidance [TA683] [Internet]. NICE website. 2021. Available from: https://www.nice.org.uk/guidance/ta683</w:t>
      </w:r>
    </w:p>
    <w:p w14:paraId="1AAB29FA"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26. </w:t>
      </w:r>
      <w:r w:rsidRPr="00A81E67">
        <w:rPr>
          <w:rFonts w:ascii="Times New Roman" w:hAnsi="Times New Roman" w:cs="Times New Roman"/>
          <w:noProof/>
          <w:sz w:val="24"/>
          <w:szCs w:val="24"/>
        </w:rPr>
        <w:tab/>
        <w:t>National Institute for Health and Care Excellence (NICE). Nivolumab for adjuvant treatment of completely resected melanoma with lymph node involvement or metastatic disease Technology appraisal guidance [TA684] [Internet]. NICE website. 2021. Available from: https://www.nice.org.uk/guidance/ta684</w:t>
      </w:r>
    </w:p>
    <w:p w14:paraId="33761D29"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27. </w:t>
      </w:r>
      <w:r w:rsidRPr="00A81E67">
        <w:rPr>
          <w:rFonts w:ascii="Times New Roman" w:hAnsi="Times New Roman" w:cs="Times New Roman"/>
          <w:noProof/>
          <w:sz w:val="24"/>
          <w:szCs w:val="24"/>
        </w:rPr>
        <w:tab/>
        <w:t>National Institute for Health and Care Excellence (NICE). Ribociclib with fulvestrant for treating hormone receptor-positive, HER2-negative advanced breast cancer after endocrine therapy. Technology appraisal guidance [TA687] [Internet]. NICE website. 2021. Available from: https://www.nice.org.uk/guidance/ta687</w:t>
      </w:r>
    </w:p>
    <w:p w14:paraId="5549705B"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28. </w:t>
      </w:r>
      <w:r w:rsidRPr="00A81E67">
        <w:rPr>
          <w:rFonts w:ascii="Times New Roman" w:hAnsi="Times New Roman" w:cs="Times New Roman"/>
          <w:noProof/>
          <w:sz w:val="24"/>
          <w:szCs w:val="24"/>
        </w:rPr>
        <w:tab/>
        <w:t>National Institute for Health and Care Excellence (NICE). Acalabrutinib for treating chronic lymphocytic leukaemia. Technology appraisal guidance [TA689] [Internet]. NICE website. 2021. Available from: https://www.nice.org.uk/guidance/ta689</w:t>
      </w:r>
    </w:p>
    <w:p w14:paraId="7D683151"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29. </w:t>
      </w:r>
      <w:r w:rsidRPr="00A81E67">
        <w:rPr>
          <w:rFonts w:ascii="Times New Roman" w:hAnsi="Times New Roman" w:cs="Times New Roman"/>
          <w:noProof/>
          <w:sz w:val="24"/>
          <w:szCs w:val="24"/>
        </w:rPr>
        <w:tab/>
        <w:t>National Institute for Health and Care Excellence (NICE). Carfilzomib with dexamethasone and lenalidomide for previously treated multiple myeloma. Technology appraisal guidance [TA695] [Internet]. NICE website. 2021. Available from: https://www.nice.org.uk/guidance/ta695</w:t>
      </w:r>
    </w:p>
    <w:p w14:paraId="2138DD99"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30. </w:t>
      </w:r>
      <w:r w:rsidRPr="00A81E67">
        <w:rPr>
          <w:rFonts w:ascii="Times New Roman" w:hAnsi="Times New Roman" w:cs="Times New Roman"/>
          <w:noProof/>
          <w:sz w:val="24"/>
          <w:szCs w:val="24"/>
        </w:rPr>
        <w:tab/>
        <w:t xml:space="preserve">National Institute for Health and Care Excellence (NICE). Olaparib plus bevacizumab for maintenance treatment of advanced ovarian, fallopian tube or primary peritoneal cancer. Technology appraisal guidance [TA693] [Internet]. NICE website. 2021. </w:t>
      </w:r>
      <w:r w:rsidRPr="00A81E67">
        <w:rPr>
          <w:rFonts w:ascii="Times New Roman" w:hAnsi="Times New Roman" w:cs="Times New Roman"/>
          <w:noProof/>
          <w:sz w:val="24"/>
          <w:szCs w:val="24"/>
        </w:rPr>
        <w:lastRenderedPageBreak/>
        <w:t>Available from: https://www.nice.org.uk/guidance/ta693</w:t>
      </w:r>
    </w:p>
    <w:p w14:paraId="1D9A0316"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31. </w:t>
      </w:r>
      <w:r w:rsidRPr="00A81E67">
        <w:rPr>
          <w:rFonts w:ascii="Times New Roman" w:hAnsi="Times New Roman" w:cs="Times New Roman"/>
          <w:noProof/>
          <w:sz w:val="24"/>
          <w:szCs w:val="24"/>
        </w:rPr>
        <w:tab/>
        <w:t>National Institute for Health and Care Excellence (NICE). Pembrolizumab for treating locally advanced or metastatic urothelial carcinoma after platinum-containing chemotherapy. Technology appraisal guidance [TA692] [Internet]. NICE website. 2021. Available from: https://www.nice.org.uk/guidance/ta692</w:t>
      </w:r>
    </w:p>
    <w:p w14:paraId="387527ED"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32. </w:t>
      </w:r>
      <w:r w:rsidRPr="00A81E67">
        <w:rPr>
          <w:rFonts w:ascii="Times New Roman" w:hAnsi="Times New Roman" w:cs="Times New Roman"/>
          <w:noProof/>
          <w:sz w:val="24"/>
          <w:szCs w:val="24"/>
        </w:rPr>
        <w:tab/>
        <w:t>National Institute for Health and Care Excellence (NICE). Atezolizumab monotherapy for untreated advanced non-small-cell lung cancer. Technology appraisal guidance [TA705] [Internet]. NICE website. 2021. Available from: https://www.nice.org.uk/guidance/ta705</w:t>
      </w:r>
    </w:p>
    <w:p w14:paraId="01898D23"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33. </w:t>
      </w:r>
      <w:r w:rsidRPr="00A81E67">
        <w:rPr>
          <w:rFonts w:ascii="Times New Roman" w:hAnsi="Times New Roman" w:cs="Times New Roman"/>
          <w:noProof/>
          <w:sz w:val="24"/>
          <w:szCs w:val="24"/>
        </w:rPr>
        <w:tab/>
        <w:t>National Institute for Health and Care Excellence (NICE). Nivolumab for previously treated unresectable advanced or recurrent oesophageal cancer. Technology appraisal guidance [TA707] [Internet]. NICE website. 2021. Available from: https://www.nice.org.uk/guidance/ta707</w:t>
      </w:r>
    </w:p>
    <w:p w14:paraId="14F8299F"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34. </w:t>
      </w:r>
      <w:r w:rsidRPr="00A81E67">
        <w:rPr>
          <w:rFonts w:ascii="Times New Roman" w:hAnsi="Times New Roman" w:cs="Times New Roman"/>
          <w:noProof/>
          <w:sz w:val="24"/>
          <w:szCs w:val="24"/>
        </w:rPr>
        <w:tab/>
        <w:t>National Institute for Health and Care Excellence (NICE). Pembrolizumab for untreated metastatic colorectal cancer with high microsatellite instability or mismatch repair deficiency. Technology appraisal guidance [TA709] [Internet]. NICE website. 2021. Available from: https://www.nice.org.uk/guidance/ta709</w:t>
      </w:r>
    </w:p>
    <w:p w14:paraId="0F616B31"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35. </w:t>
      </w:r>
      <w:r w:rsidRPr="00A81E67">
        <w:rPr>
          <w:rFonts w:ascii="Times New Roman" w:hAnsi="Times New Roman" w:cs="Times New Roman"/>
          <w:noProof/>
          <w:sz w:val="24"/>
          <w:szCs w:val="24"/>
        </w:rPr>
        <w:tab/>
        <w:t>National Institute for Health and Care Excellence (NICE). Nivolumab for advanced non-squamous non-small-cell lung cancer after chemotherapy. Technology appraisal guidance [TA713] [Internet]. NICE website. 2021. Available from: https://www.nice.org.uk/guidance/ta713</w:t>
      </w:r>
    </w:p>
    <w:p w14:paraId="2759FF25"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36. </w:t>
      </w:r>
      <w:r w:rsidRPr="00A81E67">
        <w:rPr>
          <w:rFonts w:ascii="Times New Roman" w:hAnsi="Times New Roman" w:cs="Times New Roman"/>
          <w:noProof/>
          <w:sz w:val="24"/>
          <w:szCs w:val="24"/>
        </w:rPr>
        <w:tab/>
        <w:t xml:space="preserve">National Institute for Health and Care Excellence (NICE). Nivolumab with ipilimumab and chemotherapy for untreated metastatic non-small-cell lung cancer Technology appraisal guidance [TA724] [Internet]. NICE website. 2021. Available from: </w:t>
      </w:r>
      <w:r w:rsidRPr="00A81E67">
        <w:rPr>
          <w:rFonts w:ascii="Times New Roman" w:hAnsi="Times New Roman" w:cs="Times New Roman"/>
          <w:noProof/>
          <w:sz w:val="24"/>
          <w:szCs w:val="24"/>
        </w:rPr>
        <w:lastRenderedPageBreak/>
        <w:t>https://www.nice.org.uk/guidance/ta724</w:t>
      </w:r>
    </w:p>
    <w:p w14:paraId="429E0373"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37. </w:t>
      </w:r>
      <w:r w:rsidRPr="00A81E67">
        <w:rPr>
          <w:rFonts w:ascii="Times New Roman" w:hAnsi="Times New Roman" w:cs="Times New Roman"/>
          <w:noProof/>
          <w:sz w:val="24"/>
          <w:szCs w:val="24"/>
        </w:rPr>
        <w:tab/>
        <w:t>National Institute for Health and Care Excellence (NICE). Abemaciclib with fulvestrant for treating hormone receptor-positive, HER2-negative advanced breast cancer after endocrine therapy. Technology appraisal guidance [TA725] [Internet]. NICE website. 2021. Available from: https://www.nice.org.uk/guidance/ta725</w:t>
      </w:r>
    </w:p>
    <w:p w14:paraId="42F71C2B"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38. </w:t>
      </w:r>
      <w:r w:rsidRPr="00A81E67">
        <w:rPr>
          <w:rFonts w:ascii="Times New Roman" w:hAnsi="Times New Roman" w:cs="Times New Roman"/>
          <w:noProof/>
          <w:sz w:val="24"/>
          <w:szCs w:val="24"/>
        </w:rPr>
        <w:tab/>
        <w:t>National Institute for Health and Care Excellence (NICE). Pembrolizumab with platinum- and fluoropyrimidine-based chemotherapy for untreated advanced oesophageal and gastro-oesophageal junction cancer. Technology appraisal guidance [TA737] [Internet]. NICE website. 2021. Available from: https://www.nice.org.uk/guidance/ta737</w:t>
      </w:r>
    </w:p>
    <w:p w14:paraId="1D00876C"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39. </w:t>
      </w:r>
      <w:r w:rsidRPr="00A81E67">
        <w:rPr>
          <w:rFonts w:ascii="Times New Roman" w:hAnsi="Times New Roman" w:cs="Times New Roman"/>
          <w:noProof/>
          <w:sz w:val="24"/>
          <w:szCs w:val="24"/>
        </w:rPr>
        <w:tab/>
        <w:t>National Institute for Health and Care Excellence (NICE). Nivolumab for treating recurrent or metastatic squamous cell carcinoma of the head and neck after platinum-based chemotherapy. Technology appraisal guidance [TA736] [Internet]. NICE website. 2021. Available from: https://www.nice.org.uk/guidance/ta736</w:t>
      </w:r>
    </w:p>
    <w:p w14:paraId="3857FFFE"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40. </w:t>
      </w:r>
      <w:r w:rsidRPr="00A81E67">
        <w:rPr>
          <w:rFonts w:ascii="Times New Roman" w:hAnsi="Times New Roman" w:cs="Times New Roman"/>
          <w:noProof/>
          <w:sz w:val="24"/>
          <w:szCs w:val="24"/>
        </w:rPr>
        <w:tab/>
        <w:t>National Institute for Health and Care Excellence (NICE). Atezolizumab for untreated PD-L1-positive advanced urothelial cancer when cisplatin is unsuitable Technology appraisal guidance [TA739] [Internet]. NICE website. 2021. Available from: https://www.nice.org.uk/guidance/ta739</w:t>
      </w:r>
    </w:p>
    <w:p w14:paraId="2304913C"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szCs w:val="24"/>
        </w:rPr>
      </w:pPr>
      <w:r w:rsidRPr="00A81E67">
        <w:rPr>
          <w:rFonts w:ascii="Times New Roman" w:hAnsi="Times New Roman" w:cs="Times New Roman"/>
          <w:noProof/>
          <w:sz w:val="24"/>
          <w:szCs w:val="24"/>
        </w:rPr>
        <w:t xml:space="preserve">41. </w:t>
      </w:r>
      <w:r w:rsidRPr="00A81E67">
        <w:rPr>
          <w:rFonts w:ascii="Times New Roman" w:hAnsi="Times New Roman" w:cs="Times New Roman"/>
          <w:noProof/>
          <w:sz w:val="24"/>
          <w:szCs w:val="24"/>
        </w:rPr>
        <w:tab/>
        <w:t>National Institute for Health and Care Excellence (NICE). Nivolumab for adjuvant treatment of resected oesophageal or gastro-oesophageal junction cancer. Technology appraisal guidance [TA746] [Internet]. NICE website. 2021. Available from: https://www.nice.org.uk/guidance/ta746</w:t>
      </w:r>
    </w:p>
    <w:p w14:paraId="01447C19" w14:textId="77777777" w:rsidR="00A81E67" w:rsidRPr="00A81E67" w:rsidRDefault="00A81E67" w:rsidP="00A81E67">
      <w:pPr>
        <w:widowControl w:val="0"/>
        <w:autoSpaceDE w:val="0"/>
        <w:autoSpaceDN w:val="0"/>
        <w:adjustRightInd w:val="0"/>
        <w:spacing w:line="480" w:lineRule="auto"/>
        <w:ind w:left="640" w:hanging="640"/>
        <w:rPr>
          <w:rFonts w:ascii="Times New Roman" w:hAnsi="Times New Roman" w:cs="Times New Roman"/>
          <w:noProof/>
          <w:sz w:val="24"/>
        </w:rPr>
      </w:pPr>
      <w:r w:rsidRPr="00A81E67">
        <w:rPr>
          <w:rFonts w:ascii="Times New Roman" w:hAnsi="Times New Roman" w:cs="Times New Roman"/>
          <w:noProof/>
          <w:sz w:val="24"/>
          <w:szCs w:val="24"/>
        </w:rPr>
        <w:t xml:space="preserve">42. </w:t>
      </w:r>
      <w:r w:rsidRPr="00A81E67">
        <w:rPr>
          <w:rFonts w:ascii="Times New Roman" w:hAnsi="Times New Roman" w:cs="Times New Roman"/>
          <w:noProof/>
          <w:sz w:val="24"/>
          <w:szCs w:val="24"/>
        </w:rPr>
        <w:tab/>
        <w:t xml:space="preserve">National Institute for Health and Care Excellence (NICE). Mogamulizumab for previously treated mycosis fungoides and Sézary syndrome. Technology appraisal </w:t>
      </w:r>
      <w:r w:rsidRPr="00A81E67">
        <w:rPr>
          <w:rFonts w:ascii="Times New Roman" w:hAnsi="Times New Roman" w:cs="Times New Roman"/>
          <w:noProof/>
          <w:sz w:val="24"/>
          <w:szCs w:val="24"/>
        </w:rPr>
        <w:lastRenderedPageBreak/>
        <w:t>guidance [TA754] [Internet]. NICE website. 2021. Available from: https://www.nice.org.uk/guidance/ta754</w:t>
      </w:r>
    </w:p>
    <w:p w14:paraId="1630107C" w14:textId="1EEB56D7" w:rsidR="006F2846" w:rsidRPr="006F2846" w:rsidRDefault="006F2846" w:rsidP="006F2846">
      <w:pPr>
        <w:shd w:val="clear" w:color="auto" w:fill="FFFFFF" w:themeFill="background1"/>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p w14:paraId="5B4109D6" w14:textId="77777777" w:rsidR="0049154D" w:rsidRDefault="0049154D"/>
    <w:sectPr w:rsidR="004915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2EE9" w14:textId="77777777" w:rsidR="00775E7E" w:rsidRDefault="00775E7E">
      <w:pPr>
        <w:spacing w:after="0" w:line="240" w:lineRule="auto"/>
      </w:pPr>
      <w:r>
        <w:separator/>
      </w:r>
    </w:p>
  </w:endnote>
  <w:endnote w:type="continuationSeparator" w:id="0">
    <w:p w14:paraId="5424FD1D" w14:textId="77777777" w:rsidR="00775E7E" w:rsidRDefault="0077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F91F" w14:textId="77777777" w:rsidR="00775E7E" w:rsidRDefault="00775E7E">
      <w:pPr>
        <w:spacing w:after="0" w:line="240" w:lineRule="auto"/>
      </w:pPr>
      <w:r>
        <w:separator/>
      </w:r>
    </w:p>
  </w:footnote>
  <w:footnote w:type="continuationSeparator" w:id="0">
    <w:p w14:paraId="3C7F31AD" w14:textId="77777777" w:rsidR="00775E7E" w:rsidRDefault="00775E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46"/>
    <w:rsid w:val="000A1E1C"/>
    <w:rsid w:val="00352ADC"/>
    <w:rsid w:val="00353E9F"/>
    <w:rsid w:val="003F12DB"/>
    <w:rsid w:val="0049154D"/>
    <w:rsid w:val="004A41BA"/>
    <w:rsid w:val="005539E6"/>
    <w:rsid w:val="006E35EB"/>
    <w:rsid w:val="006F2846"/>
    <w:rsid w:val="00775E7E"/>
    <w:rsid w:val="008F0F9C"/>
    <w:rsid w:val="00927E38"/>
    <w:rsid w:val="00A00683"/>
    <w:rsid w:val="00A81E67"/>
    <w:rsid w:val="00C558C4"/>
    <w:rsid w:val="00EA0F21"/>
    <w:rsid w:val="00FE1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77CD"/>
  <w15:docId w15:val="{FB6E969E-D3FE-4910-86FA-935F9AA0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8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ice.org.uk/guidance/ta619" TargetMode="External"/><Relationship Id="rId13" Type="http://schemas.openxmlformats.org/officeDocument/2006/relationships/hyperlink" Target="https://www.nice.org.uk/guidance/ta638" TargetMode="External"/><Relationship Id="rId18" Type="http://schemas.openxmlformats.org/officeDocument/2006/relationships/hyperlink" Target="https://www.nice.org.uk/guidance/ta650" TargetMode="External"/><Relationship Id="rId26" Type="http://schemas.openxmlformats.org/officeDocument/2006/relationships/hyperlink" Target="https://www.nice.org.uk/guidance/ta670" TargetMode="External"/><Relationship Id="rId39" Type="http://schemas.openxmlformats.org/officeDocument/2006/relationships/hyperlink" Target="https://www.nice.org.uk/guidance/ta713" TargetMode="External"/><Relationship Id="rId3" Type="http://schemas.openxmlformats.org/officeDocument/2006/relationships/settings" Target="settings.xml"/><Relationship Id="rId21" Type="http://schemas.openxmlformats.org/officeDocument/2006/relationships/hyperlink" Target="https://www.nice.org.uk/guidance/ta658" TargetMode="External"/><Relationship Id="rId34" Type="http://schemas.openxmlformats.org/officeDocument/2006/relationships/hyperlink" Target="https://www.nice.org.uk/guidance/ta693" TargetMode="External"/><Relationship Id="rId42" Type="http://schemas.openxmlformats.org/officeDocument/2006/relationships/hyperlink" Target="https://www.nice.org.uk/guidance/ta737" TargetMode="External"/><Relationship Id="rId47" Type="http://schemas.openxmlformats.org/officeDocument/2006/relationships/fontTable" Target="fontTable.xml"/><Relationship Id="rId7" Type="http://schemas.openxmlformats.org/officeDocument/2006/relationships/hyperlink" Target="https://www.nice.org.uk/guidance/ta620" TargetMode="External"/><Relationship Id="rId12" Type="http://schemas.openxmlformats.org/officeDocument/2006/relationships/hyperlink" Target="https://www.nice.org.uk/guidance/ta639" TargetMode="External"/><Relationship Id="rId17" Type="http://schemas.openxmlformats.org/officeDocument/2006/relationships/hyperlink" Target="https://www.nice.org.uk/guidance/ta649" TargetMode="External"/><Relationship Id="rId25" Type="http://schemas.openxmlformats.org/officeDocument/2006/relationships/hyperlink" Target="https://www.nice.org.uk/guidance/ta668" TargetMode="External"/><Relationship Id="rId33" Type="http://schemas.openxmlformats.org/officeDocument/2006/relationships/hyperlink" Target="https://www.nice.org.uk/guidance/ta695" TargetMode="External"/><Relationship Id="rId38" Type="http://schemas.openxmlformats.org/officeDocument/2006/relationships/hyperlink" Target="https://www.nice.org.uk/guidance/ta709" TargetMode="External"/><Relationship Id="rId46" Type="http://schemas.openxmlformats.org/officeDocument/2006/relationships/hyperlink" Target="https://www.nice.org.uk/guidance/ta754" TargetMode="External"/><Relationship Id="rId2" Type="http://schemas.openxmlformats.org/officeDocument/2006/relationships/styles" Target="styles.xml"/><Relationship Id="rId16" Type="http://schemas.openxmlformats.org/officeDocument/2006/relationships/hyperlink" Target="https://www.nice.org.uk/guidance/ta645" TargetMode="External"/><Relationship Id="rId20" Type="http://schemas.openxmlformats.org/officeDocument/2006/relationships/hyperlink" Target="https://www.nice.org.uk/guidance/ta655" TargetMode="External"/><Relationship Id="rId29" Type="http://schemas.openxmlformats.org/officeDocument/2006/relationships/hyperlink" Target="https://www.nice.org.uk/guidance/ta683" TargetMode="External"/><Relationship Id="rId41" Type="http://schemas.openxmlformats.org/officeDocument/2006/relationships/hyperlink" Target="https://www.nice.org.uk/guidance/ta72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ice.org.uk/guidance/ta632" TargetMode="External"/><Relationship Id="rId24" Type="http://schemas.openxmlformats.org/officeDocument/2006/relationships/hyperlink" Target="https://www.nice.org.uk/guidance/ta666" TargetMode="External"/><Relationship Id="rId32" Type="http://schemas.openxmlformats.org/officeDocument/2006/relationships/hyperlink" Target="https://www.nice.org.uk/guidance/ta689" TargetMode="External"/><Relationship Id="rId37" Type="http://schemas.openxmlformats.org/officeDocument/2006/relationships/hyperlink" Target="https://www.nice.org.uk/guidance/ta707" TargetMode="External"/><Relationship Id="rId40" Type="http://schemas.openxmlformats.org/officeDocument/2006/relationships/hyperlink" Target="https://www.nice.org.uk/guidance/ta724" TargetMode="External"/><Relationship Id="rId45" Type="http://schemas.openxmlformats.org/officeDocument/2006/relationships/hyperlink" Target="https://www.nice.org.uk/guidance/ta746" TargetMode="External"/><Relationship Id="rId5" Type="http://schemas.openxmlformats.org/officeDocument/2006/relationships/footnotes" Target="footnotes.xml"/><Relationship Id="rId15" Type="http://schemas.openxmlformats.org/officeDocument/2006/relationships/hyperlink" Target="https://www.nice.org.uk/guidance/ta641" TargetMode="External"/><Relationship Id="rId23" Type="http://schemas.openxmlformats.org/officeDocument/2006/relationships/hyperlink" Target="https://www.nice.org.uk/guidance/ta663" TargetMode="External"/><Relationship Id="rId28" Type="http://schemas.openxmlformats.org/officeDocument/2006/relationships/hyperlink" Target="https://www.nice.org.uk/guidance/ta680" TargetMode="External"/><Relationship Id="rId36" Type="http://schemas.openxmlformats.org/officeDocument/2006/relationships/hyperlink" Target="https://www.nice.org.uk/guidance/ta705" TargetMode="External"/><Relationship Id="rId10" Type="http://schemas.openxmlformats.org/officeDocument/2006/relationships/hyperlink" Target="https://www.nice.org.uk/guidance/ta629" TargetMode="External"/><Relationship Id="rId19" Type="http://schemas.openxmlformats.org/officeDocument/2006/relationships/hyperlink" Target="https://www.nice.org.uk/guidance/ta653" TargetMode="External"/><Relationship Id="rId31" Type="http://schemas.openxmlformats.org/officeDocument/2006/relationships/hyperlink" Target="https://www.nice.org.uk/guidance/ta687" TargetMode="External"/><Relationship Id="rId44" Type="http://schemas.openxmlformats.org/officeDocument/2006/relationships/hyperlink" Target="https://www.nice.org.uk/guidance/ta739" TargetMode="External"/><Relationship Id="rId4" Type="http://schemas.openxmlformats.org/officeDocument/2006/relationships/webSettings" Target="webSettings.xml"/><Relationship Id="rId9" Type="http://schemas.openxmlformats.org/officeDocument/2006/relationships/hyperlink" Target="https://www.nice.org.uk/guidance/ta627" TargetMode="External"/><Relationship Id="rId14" Type="http://schemas.openxmlformats.org/officeDocument/2006/relationships/hyperlink" Target="https://www.nice.org.uk/guidance/ta642" TargetMode="External"/><Relationship Id="rId22" Type="http://schemas.openxmlformats.org/officeDocument/2006/relationships/hyperlink" Target="https://www.nice.org.uk/guidance/ta661" TargetMode="External"/><Relationship Id="rId27" Type="http://schemas.openxmlformats.org/officeDocument/2006/relationships/hyperlink" Target="https://www.nice.org.uk/guidance/ta673" TargetMode="External"/><Relationship Id="rId30" Type="http://schemas.openxmlformats.org/officeDocument/2006/relationships/hyperlink" Target="https://www.nice.org.uk/guidance/ta684" TargetMode="External"/><Relationship Id="rId35" Type="http://schemas.openxmlformats.org/officeDocument/2006/relationships/hyperlink" Target="https://www.nice.org.uk/guidance/ta692" TargetMode="External"/><Relationship Id="rId43" Type="http://schemas.openxmlformats.org/officeDocument/2006/relationships/hyperlink" Target="https://www.nice.org.uk/guidance/ta736"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37460-39AD-46BD-BE92-6F229AF6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8434</Words>
  <Characters>48075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4</cp:revision>
  <dcterms:created xsi:type="dcterms:W3CDTF">2022-09-28T11:22:00Z</dcterms:created>
  <dcterms:modified xsi:type="dcterms:W3CDTF">2022-09-30T15:29:00Z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f76b70b8-bafe-3b90-8353-735dc7c32af6</vt:lpwstr>
  </property>
  <property fmtid="{D5CDD505-2E9C-101B-9397-08002B2CF9AE}" pid="24" name="Mendeley Citation Style_1">
    <vt:lpwstr>http://www.zotero.org/styles/vancouver</vt:lpwstr>
  </property>
</Properties>
</file>